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Οδηγός Χρήσης Ξενοδόχου</w:t>
      </w:r>
    </w:p>
    <w:p>
      <w:pPr>
        <w:pStyle w:val="Subtitle"/>
      </w:pPr>
      <w:r>
        <w:t>Πλατφόρμα Περιβαλλοντικής Κατάταξης Τουριστικών Καταλυμάτων — Παραγωγικό Σύστημα</w:t>
      </w:r>
    </w:p>
    <w:p>
      <w:pPr>
        <w:jc w:val="center"/>
        <w:spacing w:after="200"/>
      </w:pPr>
      <w:r>
        <w:rPr>
          <w:i/>
          <w:color w:val="595959"/>
        </w:rPr>
        <w:t>Έκδοση 1.0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FEFEF"/>
          </w:tcPr>
          <w:p>
            <w:pPr>
              <w:jc w:val="center"/>
            </w:pPr>
            <w:r>
              <w:rPr>
                <w:b/>
              </w:rPr>
              <w:t>Σκοπός</w:t>
            </w:r>
          </w:p>
        </w:tc>
        <w:tc>
          <w:tcPr>
            <w:tcW w:w="4513" w:type="dxa"/>
            <w:shd w:val="clear" w:fill="EFEFEF"/>
          </w:tcPr>
          <w:p>
            <w:pPr>
              <w:jc w:val="center"/>
            </w:pPr>
            <w:r>
              <w:rPr>
                <w:b/>
              </w:rPr>
              <w:t>Πεδίο χρήσης</w:t>
            </w:r>
          </w:p>
        </w:tc>
      </w:tr>
      <w:tr>
        <w:tc>
          <w:tcPr>
            <w:tcW w:w="4513" w:type="dxa"/>
          </w:tcPr>
          <w:p>
            <w:pPr>
              <w:jc w:val="center"/>
            </w:pPr>
            <w:r>
              <w:t>Να καθοδηγεί τον ξενοδόχο από την αυτοαξιολόγηση έως την αποδοχή της τελικής κατάταξης και την έκδοση της βεβαίωσης.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t>Αρχική σελίδα, αυτοαξιολόγηση, μετάλιο, υποβολή αίτησης &amp; επιλογή επιθεωρητή, αποδοχή τελικής κατάταξης, βεβαιώσεις.</w:t>
            </w:r>
          </w:p>
        </w:tc>
      </w:tr>
    </w:tbl>
    <w:p>
      <w:pPr>
        <w:pStyle w:val="Heading1"/>
      </w:pPr>
      <w:r>
        <w:t>1. Γρήγορη εικόνα της ροής εργασίας</w:t>
      </w:r>
    </w:p>
    <w:p>
      <w:r>
        <w:t>Ο ξενοδόχος συμπληρώνει την αυτοαξιολόγηση, υποβάλλει αίτηση επιλέγοντας επιθεωρητή και ημερομηνία, παρακολουθεί την εξέλιξη, και τέλος αποδέχεται (ή απορρίπτει τεκμηριωμένα) την τελική κατάταξη. Με την αποδοχή εκδίδεται η βεβαίωση τριετούς ισχύος.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500"/>
        <w:gridCol w:w="3000"/>
        <w:gridCol w:w="5526"/>
      </w:tblGrid>
      <w:tr>
        <w:trPr>
          <w:tblHeader/>
        </w:trPr>
        <w:tc>
          <w:tcPr>
            <w:tcW w:w="500" w:type="dxa"/>
            <w:shd w:val="clear"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w="3000" w:type="dxa"/>
            <w:shd w:val="clear" w:fill="1F3864"/>
          </w:tcPr>
          <w:p>
            <w:r>
              <w:rPr>
                <w:b/>
                <w:color w:val="FFFFFF"/>
              </w:rPr>
              <w:t>Στάδιο</w:t>
            </w:r>
          </w:p>
        </w:tc>
        <w:tc>
          <w:tcPr>
            <w:tcW w:w="5526" w:type="dxa"/>
            <w:shd w:val="clear" w:fill="1F3864"/>
          </w:tcPr>
          <w:p>
            <w:r>
              <w:rPr>
                <w:b/>
                <w:color w:val="FFFFFF"/>
              </w:rPr>
              <w:t>Τι κάνει ο ξενοδόχος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3000" w:type="dxa"/>
          </w:tcPr>
          <w:p>
            <w:r>
              <w:rPr>
                <w:b/>
              </w:rPr>
              <w:t>Αυτοαξιολόγηση</w:t>
            </w:r>
          </w:p>
        </w:tc>
        <w:tc>
          <w:tcPr>
            <w:tcW w:w="5526" w:type="dxa"/>
          </w:tcPr>
          <w:p>
            <w:r>
              <w:t>Συμπληρώνει τα κριτήρια, αναρτά τεκμήρια και υποβάλλει οριστικά την αυτοαξιολόγηση.</w:t>
            </w:r>
          </w:p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3000" w:type="dxa"/>
          </w:tcPr>
          <w:p>
            <w:r>
              <w:rPr>
                <w:b/>
              </w:rPr>
              <w:t>Υποβολή αίτησης</w:t>
            </w:r>
          </w:p>
        </w:tc>
        <w:tc>
          <w:tcPr>
            <w:tcW w:w="5526" w:type="dxa"/>
          </w:tcPr>
          <w:p>
            <w:r>
              <w:t>Επιλέγει επιθεωρητή με γεωγραφικά φίλτρα και προτείνει ημερομηνία αυτοψίας.</w:t>
            </w:r>
          </w:p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3000" w:type="dxa"/>
          </w:tcPr>
          <w:p>
            <w:r>
              <w:rPr>
                <w:b/>
              </w:rPr>
              <w:t>Παρακολούθηση</w:t>
            </w:r>
          </w:p>
        </w:tc>
        <w:tc>
          <w:tcPr>
            <w:tcW w:w="5526" w:type="dxa"/>
          </w:tcPr>
          <w:p>
            <w:r>
              <w:t>Παρακολουθεί τη χρονογραμμή και την κατάσταση της αίτησης (επιβεβαίωση ημ/νίας, αυτοψία, τελική κατάταξη).</w:t>
            </w:r>
          </w:p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3000" w:type="dxa"/>
          </w:tcPr>
          <w:p>
            <w:r>
              <w:rPr>
                <w:b/>
              </w:rPr>
              <w:t>Αποδοχή τελικής</w:t>
            </w:r>
          </w:p>
        </w:tc>
        <w:tc>
          <w:tcPr>
            <w:tcW w:w="5526" w:type="dxa"/>
          </w:tcPr>
          <w:p>
            <w:r>
              <w:t>Αποδέχεται την τελική κατάταξη (έκδοση βεβαίωσης) ή την απορρίπτει τεκμηριωμένα για διόρθωση από τον επιθεωρητή.</w:t>
            </w:r>
          </w:p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3000" w:type="dxa"/>
          </w:tcPr>
          <w:p>
            <w:r>
              <w:rPr>
                <w:b/>
              </w:rPr>
              <w:t>Βεβαίωση</w:t>
            </w:r>
          </w:p>
        </w:tc>
        <w:tc>
          <w:tcPr>
            <w:tcW w:w="5526" w:type="dxa"/>
          </w:tcPr>
          <w:p>
            <w:r>
              <w:t>Βλέπει τη βεβαίωση και το ιστορικό· μπορεί να ξεκινήσει νέο κύκλο αξιολόγησης.</w:t>
            </w:r>
          </w:p>
        </w:tc>
      </w:tr>
    </w:tbl>
    <w:p>
      <w:pPr>
        <w:pStyle w:val="Heading1"/>
      </w:pPr>
      <w:r>
        <w:t>2. Αρχική Σελίδα (Επισκόπηση)</w:t>
      </w:r>
    </w:p>
    <w:p>
      <w:pPr>
        <w:ind w:left="360" w:hanging="360"/>
      </w:pPr>
      <w:r>
        <w:rPr>
          <w:b/>
        </w:rPr>
        <w:t xml:space="preserve">•  Εκκρεμείς Ενέργειες: </w:t>
      </w:r>
      <w:r>
        <w:t>κάρτα με ό,τι απαιτείται από εσάς (π.χ. ολοκλήρωση αυτοαξιολόγησης, υποβολή αίτησης, αποδοχή τελικής κατάταξης). Η ίδια πληροφορία και στο «καμπανάκι» πάνω δεξιά.</w:t>
      </w:r>
    </w:p>
    <w:p>
      <w:pPr>
        <w:ind w:left="360" w:hanging="360"/>
      </w:pPr>
      <w:r>
        <w:rPr>
          <w:b/>
        </w:rPr>
        <w:t xml:space="preserve">•  Οι Βεβαιώσεις μου: </w:t>
      </w:r>
      <w:r>
        <w:t>ιστορικό βεβαιώσεων με ημερομηνία έκδοσης, ισχύ (3ετία), βαθμολογία, μετάλλιο και κουμπί προβολής του εγγράφου· κουμπί «Έναρξη Νέας Αξιολόγησης».</w:t>
      </w:r>
    </w:p>
    <w:p>
      <w:pPr>
        <w:ind w:left="360" w:hanging="360"/>
      </w:pPr>
      <w:r>
        <w:rPr>
          <w:b/>
        </w:rPr>
        <w:t xml:space="preserve">•  Η Βαθμολογία μου: </w:t>
      </w:r>
      <w:r>
        <w:t>συγκριτικά γραφήματα της βαθμολογίας σας ανά κατηγορία/υποκατηγορία έναντι του μέσου όρου αντίστοιχων καταλυμάτων, με φίλτρα (στάδιο, κατηγορία, γεωγραφία, μέγεθος).</w:t>
      </w:r>
    </w:p>
    <w:p>
      <w:pPr>
        <w:pStyle w:val="Heading1"/>
      </w:pPr>
      <w:r>
        <w:t>3. Αυτοαξιολόγηση (Κριτήρια)</w:t>
      </w:r>
    </w:p>
    <w:p>
      <w:pPr>
        <w:ind w:left="360" w:hanging="360"/>
      </w:pPr>
      <w:r>
        <w:rPr>
          <w:b/>
        </w:rPr>
        <w:t xml:space="preserve">•  Πλοήγηση: </w:t>
      </w:r>
      <w:r>
        <w:t>επιλέγετε πυλώνα από τις καρτέλες και υποκατηγορία από την αριστερή λίστα. Κάθε κριτήριο έχει «Επιλογή», «Παραδείγματα Πρακτικής Εφαρμογής» και «Τεκμήρια».</w:t>
      </w:r>
    </w:p>
    <w:p>
      <w:pPr>
        <w:ind w:left="360" w:hanging="360"/>
      </w:pPr>
      <w:r>
        <w:rPr>
          <w:b/>
        </w:rPr>
        <w:t xml:space="preserve">•  Συμπλήρωση: </w:t>
      </w:r>
      <w:r>
        <w:t>απαντάτε με βάση την πραγματική κατάσταση του καταλύματος. Στα υποχρεωτικά κριτήρια δεν επιτρέπεται «Όχι»· όπου προβλέπεται, υπάρχει «Μη εφαρμόσιμο (Δ/Α)».</w:t>
      </w:r>
    </w:p>
    <w:p>
      <w:pPr>
        <w:ind w:left="360" w:hanging="360"/>
      </w:pPr>
      <w:r>
        <w:rPr>
          <w:b/>
        </w:rPr>
        <w:t xml:space="preserve">•  Τεκμήρια: </w:t>
      </w:r>
      <w:r>
        <w:t>αναρτάτε τα απαιτούμενα αρχεία ανά κριτήριο, ταυτόχρονα με τη συμπλήρωση.</w:t>
      </w:r>
    </w:p>
    <w:p>
      <w:pPr>
        <w:ind w:left="360" w:hanging="360"/>
      </w:pPr>
      <w:r>
        <w:rPr>
          <w:b/>
        </w:rPr>
        <w:t xml:space="preserve">•  Αποθήκευση &amp; Υποβολή: </w:t>
      </w:r>
      <w:r>
        <w:t>«Προσωρινή Αποθήκευση» για διατήρηση προόδου· «Υποβολή» για οριστικοποίηση (δεν τροποποιείται μετά). Σε εκκρεμή υποχρεωτικά κριτήρια, εμφανίζεται modal με τις διορθώσεις.</w:t>
      </w:r>
    </w:p>
    <w:p>
      <w:pPr>
        <w:ind w:left="360" w:hanging="360"/>
      </w:pPr>
      <w:r>
        <w:rPr>
          <w:b/>
        </w:rPr>
        <w:t xml:space="preserve">•  Βοήθεια: </w:t>
      </w:r>
      <w:r>
        <w:t>ο διαδραστικός οδηγός (κουμπί «?») και ο σύνδεσμος «Επεξήγηση σελίδας» εξηγούν κάθε στοιχείο της οθόνης.</w:t>
      </w:r>
    </w:p>
    <w:p>
      <w:pPr>
        <w:pStyle w:val="Heading1"/>
      </w:pPr>
      <w:r>
        <w:t>4. Βαθμολογία &amp; Μετάλιο</w:t>
      </w:r>
    </w:p>
    <w:p>
      <w:pPr>
        <w:ind w:left="360" w:hanging="360"/>
      </w:pPr>
      <w:r>
        <w:t xml:space="preserve">•  Η μπάρα δείχνει τη συνολική (αναγμένη) βαθμολογία 0–95 και το μετάλιο που επιτυγχάνετε· δεξιά, οι πόντοι που λείπουν για την επόμενη βαθμίδα.</w:t>
      </w:r>
    </w:p>
    <w:p>
      <w:pPr>
        <w:ind w:left="360" w:hanging="360"/>
      </w:pPr>
      <w:r>
        <w:t xml:space="preserve">•  Κάθε κουμπί πυλώνα δείχνει «αρχική βαθμολογία → αναγωγή» στις μονάδες του πυλώνα, και πράσινο ✓ ή κόκκινο λουκέτο για το αν καλύπτετε την ελάχιστη βάση του.</w:t>
      </w:r>
    </w:p>
    <w:p>
      <w:pPr>
        <w:ind w:left="360" w:hanging="360"/>
      </w:pPr>
      <w:r>
        <w:t xml:space="preserve">•  Αν καλύπτετε τη συνολική βαθμολογία ανώτερου μεταλλίου αλλά υπολείπεστε σε κάποιον πυλώνα, το σύστημα υποβιβάζει αυτόματα στην υψηλότερη εφικτή βαθμίδα — με ένδειξη πάνω από τη μπάρα. Πριν την υποβολή, ενημερωτικό παράθυρο δείχνει το μετάλιο που θα λάβετε.</w:t>
      </w:r>
    </w:p>
    <w:p>
      <w:pPr>
        <w:pStyle w:val="Heading1"/>
      </w:pPr>
      <w:r>
        <w:t>5. Υποβολή Αίτησης &amp; Επιλογή Επιθεωρητή</w:t>
      </w:r>
    </w:p>
    <w:p>
      <w:pPr>
        <w:ind w:left="360" w:hanging="360"/>
      </w:pPr>
      <w:r>
        <w:t xml:space="preserve">•  Διαθέσιμη μετά την οριστική υποβολή της αυτοαξιολόγησης. Αναζητάτε επιθεωρητή με φίλτρα Περιφέρειας / Περιφερειακής Ενότητας και ονόματος.</w:t>
      </w:r>
    </w:p>
    <w:p>
      <w:pPr>
        <w:ind w:left="360" w:hanging="360"/>
      </w:pPr>
      <w:r>
        <w:t xml:space="preserve">•  Επιλέγετε επιθεωρητή και προτείνετε ημερομηνία επιθεώρησης, και υποβάλλετε την αίτηση.</w:t>
      </w:r>
    </w:p>
    <w:p>
      <w:pPr>
        <w:ind w:left="360" w:hanging="360"/>
      </w:pPr>
      <w:r>
        <w:t xml:space="preserve">•  Αν ο επιθεωρητής απορρίψει την ανάθεση, ειδοποιείστε με σχετικό μήνυμα και επιλέγετε νέο επιθεωρητή.</w:t>
      </w:r>
    </w:p>
    <w:p>
      <w:pPr>
        <w:pStyle w:val="Heading1"/>
      </w:pPr>
      <w:r>
        <w:t>6. Παρακολούθηση Εξέλιξης</w:t>
      </w:r>
    </w:p>
    <w:p>
      <w:pPr>
        <w:ind w:left="360" w:hanging="360"/>
      </w:pPr>
      <w:r>
        <w:t xml:space="preserve">•  Η σελίδα «Υποβολή Αίτησης» δείχνει την κάρτα της τρέχουσας αίτησης (επιθεωρητής, ημερομηνία, στάδιο) και χρονογραμμή με τα έξι βήματα της διαδικασίας.</w:t>
      </w:r>
    </w:p>
    <w:p>
      <w:pPr>
        <w:ind w:left="360" w:hanging="360"/>
      </w:pPr>
      <w:r>
        <w:t xml:space="preserve">•  Μπορείτε να προβάλλετε (μόνο ανάγνωση) την αυτοαξιολόγηση, την αυτοψία και την τελική κατάταξη.</w:t>
      </w:r>
    </w:p>
    <w:p>
      <w:pPr>
        <w:pStyle w:val="Heading1"/>
      </w:pPr>
      <w:r>
        <w:t>7. Αποδοχή ή Απόρριψη Τελικής Κατάταξης</w:t>
      </w:r>
    </w:p>
    <w:p>
      <w:pPr>
        <w:ind w:left="360" w:hanging="360"/>
      </w:pPr>
      <w:r>
        <w:t xml:space="preserve">•  Όταν ο επιθεωρητής υποβάλει την τελική κατάταξη, εμφανίζεται η βαθμολογία και το μετάλλιο προς αποδοχή.</w:t>
      </w:r>
    </w:p>
    <w:p>
      <w:pPr>
        <w:ind w:left="360" w:hanging="360"/>
      </w:pPr>
      <w:r>
        <w:rPr>
          <w:b/>
        </w:rPr>
        <w:t xml:space="preserve">•  Αποδοχή: </w:t>
      </w:r>
      <w:r>
        <w:t>εκδίδεται η βεβαίωση με ισχύ 3 ετών και ολοκληρώνεται η διαδικασία.</w:t>
      </w:r>
    </w:p>
    <w:p>
      <w:pPr>
        <w:ind w:left="360" w:hanging="360"/>
      </w:pPr>
      <w:r>
        <w:rPr>
          <w:b/>
        </w:rPr>
        <w:t xml:space="preserve">•  Απόρριψη με σχόλιο: </w:t>
      </w:r>
      <w:r>
        <w:t>η τελική κατάταξη επιστρέφει στον επιθεωρητή για διόρθωση και επανυποβολή· κατόπιν επανέρχεται σε εσάς προς αποδοχή.</w:t>
      </w:r>
    </w:p>
    <w:p>
      <w:pPr>
        <w:pStyle w:val="Heading1"/>
      </w:pPr>
      <w:r>
        <w:t>8. Βεβαιώσεις &amp; Νέος Κύκλος</w:t>
      </w:r>
    </w:p>
    <w:p>
      <w:pPr>
        <w:ind w:left="360" w:hanging="360"/>
      </w:pPr>
      <w:r>
        <w:t xml:space="preserve">•  Στην αρχική, η ενότητα «Οι Βεβαιώσεις μου» περιλαμβάνει τις εκδομένες βεβαιώσεις με ένδειξη ισχύος (Σε ισχύ / Έληξε) και προβολή του εγγράφου.</w:t>
      </w:r>
    </w:p>
    <w:p>
      <w:pPr>
        <w:ind w:left="360" w:hanging="360"/>
      </w:pPr>
      <w:r>
        <w:t xml:space="preserve">•  Με «Έναρξη Νέας Αξιολόγησης» ξεκινάτε νέο κύκλο· τα κριτήρια και τα τεκμήρια προσυμπληρώνονται από την προηγούμενη αξιολόγηση και μπορείτε να τα τροποποιήσετε.</w:t>
      </w:r>
    </w:p>
    <w:p>
      <w:pPr>
        <w:pStyle w:val="Heading1"/>
      </w:pPr>
      <w:r>
        <w:t>9. Οπτικές Ενδείξεις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300"/>
        <w:gridCol w:w="5726"/>
      </w:tblGrid>
      <w:tr>
        <w:trPr>
          <w:tblHeader/>
        </w:trPr>
        <w:tc>
          <w:tcPr>
            <w:tcW w:w="3300" w:type="dxa"/>
            <w:shd w:val="clear" w:fill="1F3864"/>
          </w:tcPr>
          <w:p>
            <w:r>
              <w:rPr>
                <w:b/>
                <w:color w:val="FFFFFF"/>
              </w:rPr>
              <w:t>Οπτική ένδειξη</w:t>
            </w:r>
          </w:p>
        </w:tc>
        <w:tc>
          <w:tcPr>
            <w:tcW w:w="5726" w:type="dxa"/>
            <w:shd w:val="clear" w:fill="1F3864"/>
          </w:tcPr>
          <w:p>
            <w:r>
              <w:rPr>
                <w:b/>
                <w:color w:val="FFFFFF"/>
              </w:rPr>
              <w:t>Τι σημαίνει στην πράξη</w:t>
            </w:r>
          </w:p>
        </w:tc>
      </w:tr>
      <w:tr>
        <w:tc>
          <w:tcPr>
            <w:tcW w:w="3300" w:type="dxa"/>
          </w:tcPr>
          <w:p>
            <w:r>
              <w:rPr>
                <w:b/>
              </w:rPr>
              <w:t>Καμπανάκι με αριθμό</w:t>
            </w:r>
          </w:p>
        </w:tc>
        <w:tc>
          <w:tcPr>
            <w:tcW w:w="5726" w:type="dxa"/>
          </w:tcPr>
          <w:p>
            <w:r>
              <w:t>Πλήθος εκκρεμών ενεργειών που απαιτούν δράση από εσάς.</w:t>
            </w:r>
          </w:p>
        </w:tc>
      </w:tr>
      <w:tr>
        <w:tc>
          <w:tcPr>
            <w:tcW w:w="3300" w:type="dxa"/>
          </w:tcPr>
          <w:p>
            <w:r>
              <w:rPr>
                <w:b/>
              </w:rPr>
              <w:t>Πράσινο ✓ / κόκκινο λουκέτο πυλώνα</w:t>
            </w:r>
          </w:p>
        </w:tc>
        <w:tc>
          <w:tcPr>
            <w:tcW w:w="5726" w:type="dxa"/>
          </w:tcPr>
          <w:p>
            <w:r>
              <w:t>Κάλυψη ή υστέρηση της ελάχιστης βάσης του πυλώνα για το μετάλιο-στόχο.</w:t>
            </w:r>
          </w:p>
        </w:tc>
      </w:tr>
      <w:tr>
        <w:tc>
          <w:tcPr>
            <w:tcW w:w="3300" w:type="dxa"/>
          </w:tcPr>
          <w:p>
            <w:r>
              <w:rPr>
                <w:b/>
              </w:rPr>
              <w:t>Κίτρινη ένδειξη πάνω από τη μπάρα</w:t>
            </w:r>
          </w:p>
        </w:tc>
        <w:tc>
          <w:tcPr>
            <w:tcW w:w="5726" w:type="dxa"/>
          </w:tcPr>
          <w:p>
            <w:r>
              <w:t>Υποβιβασμός βαθμίδας λόγω υστέρησης σε πυλώνα(ες) — αναφέρει ποιοι.</w:t>
            </w:r>
          </w:p>
        </w:tc>
      </w:tr>
      <w:tr>
        <w:tc>
          <w:tcPr>
            <w:tcW w:w="3300" w:type="dxa"/>
          </w:tcPr>
          <w:p>
            <w:r>
              <w:rPr>
                <w:b/>
              </w:rPr>
              <w:t>Χρονογραμμή αίτησης</w:t>
            </w:r>
          </w:p>
        </w:tc>
        <w:tc>
          <w:tcPr>
            <w:tcW w:w="5726" w:type="dxa"/>
          </w:tcPr>
          <w:p>
            <w:r>
              <w:t>Δείχνει το στάδιο της διαδικασίας και τις ημερομηνίες κάθε βήματος.</w:t>
            </w:r>
          </w:p>
        </w:tc>
      </w:tr>
      <w:tr>
        <w:tc>
          <w:tcPr>
            <w:tcW w:w="3300" w:type="dxa"/>
          </w:tcPr>
          <w:p>
            <w:r>
              <w:rPr>
                <w:b/>
              </w:rPr>
              <w:t>Σε ισχύ / Έληξε</w:t>
            </w:r>
          </w:p>
        </w:tc>
        <w:tc>
          <w:tcPr>
            <w:tcW w:w="5726" w:type="dxa"/>
          </w:tcPr>
          <w:p>
            <w:r>
              <w:t>Κατάσταση ισχύος της βεβαίωσης (εντός ή εκτός 3ετίας).</w:t>
            </w:r>
          </w:p>
        </w:tc>
      </w:tr>
    </w:tbl>
    <w:p>
      <w:pPr>
        <w:pStyle w:val="Heading1"/>
      </w:pPr>
      <w:r>
        <w:t>10. Checklist πριν από την οριστική υποβολή αυτοαξιολόγησης</w:t>
      </w:r>
    </w:p>
    <w:p>
      <w:r>
        <w:t>☐ Έχουν αξιολογηθεί όλες οι υποκατηγορίες.</w:t>
      </w:r>
    </w:p>
    <w:p>
      <w:r>
        <w:t>☐ Έχουν συμπληρωθεί όλα τα υποχρεωτικά κριτήρια.</w:t>
      </w:r>
    </w:p>
    <w:p>
      <w:r>
        <w:t>☐ Έχουν αναρτηθεί τα απαιτούμενα τεκμήρια.</w:t>
      </w:r>
    </w:p>
    <w:p>
      <w:r>
        <w:t>☐ Έχει ελεγχθεί το μετάλιο και τυχόν υποβιβασμός λόγω βάσεων πυλώνων.</w:t>
      </w:r>
    </w:p>
    <w:p>
      <w:r>
        <w:t>☐ Έχει γίνει τουλάχιστον μία προσωρινή αποθήκευση μετά τις τελευταίες αλλαγές.</w:t>
      </w:r>
    </w:p>
    <w:tbl>
      <w:tblPr>
        <w:tblW w:w="9026" w:type="dxa"/>
        <w:tblBorders>
          <w:top w:val="single" w:sz="8" w:space="0" w:color="2E9B5B"/>
          <w:left w:val="single" w:sz="8" w:space="0" w:color="2E9B5B"/>
          <w:bottom w:val="single" w:sz="8" w:space="0" w:color="2E9B5B"/>
          <w:right w:val="single" w:sz="8" w:space="0" w:color="2E9B5B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026"/>
      </w:tblGrid>
      <w:tr>
        <w:tc>
          <w:tcPr>
            <w:tcW w:w="9026" w:type="dxa"/>
            <w:shd w:val="clear" w:fill="EAF6EF"/>
          </w:tcPr>
          <w:p>
            <w:r>
              <w:rPr>
                <w:b/>
                <w:color w:val="217346"/>
              </w:rPr>
              <w:t>Καλή πρακτική</w:t>
            </w:r>
          </w:p>
          <w:p>
            <w:r>
              <w:t>Συμπληρώστε με ειλικρίνεια και τεκμηρίωση: συμπληρώνω κριτήριο → αναρτώ τεκμήριο → αποθηκεύω προσωρινά. Πριν την υποβολή, ελέγξτε το μετάλιο και τους πυλώνες που τυχόν υστερούν — έτσι γνωρίζετε εκ των προτέρων το αποτέλεσμα και πού μπορείτε να βελτιωθείτε.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60"/>
      <w:jc w:val="center"/>
    </w:pPr>
    <w:rPr>
      <w:rFonts w:ascii="Calibri" w:hAnsi="Calibri"/>
      <w:b/>
      <w:color w:val="1F3864"/>
      <w:sz w:val="40"/>
      <w:szCs w:val="40"/>
    </w:rPr>
  </w:style>
  <w:style w:type="paragraph" w:styleId="Subtitle">
    <w:name w:val="Subtitle"/>
    <w:basedOn w:val="Normal"/>
    <w:pPr>
      <w:spacing w:before="0" w:after="200"/>
      <w:jc w:val="center"/>
    </w:pPr>
    <w:rPr>
      <w:color w:val="595959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260" w:after="100"/>
      <w:outlineLvl w:val="0"/>
      <w:pBdr>
        <w:bottom w:val="single" w:sz="6" w:space="2" w:color="1F3864"/>
      </w:pBdr>
    </w:pPr>
    <w:rPr>
      <w:rFonts w:ascii="Calibri" w:hAnsi="Calibri"/>
      <w:b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180" w:after="60"/>
      <w:outlineLvl w:val="1"/>
    </w:pPr>
    <w:rPr>
      <w:rFonts w:ascii="Calibri" w:hAnsi="Calibri"/>
      <w:b/>
      <w:color w:val="2E74B5"/>
      <w:sz w:val="24"/>
      <w:szCs w:val="24"/>
    </w:r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