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spacing w:before="120" w:after="0"/>
        <w:jc w:val="center"/>
      </w:pPr>
      <w:r>
        <w:rPr>
          <w:color w:val="595959"/>
          <w:sz w:val="20"/>
        </w:rPr>
        <w:t>ΕΙΣΗΓΗΣΗ ΠΡΟΣ ΤΗ ΔΙΟΙΚΗΣΗ</w:t>
      </w:r>
    </w:p>
    <w:p>
      <w:pPr>
        <w:pStyle w:val="Title"/>
      </w:pPr>
      <w:r>
        <w:t>Εσωτερική Υλοποίηση έναντι Διαγωνιστικής Ανάθεσης</w:t>
      </w:r>
    </w:p>
    <w:p>
      <w:pPr>
        <w:jc w:val="center"/>
        <w:spacing w:after="200"/>
      </w:pPr>
      <w:r>
        <w:rPr>
          <w:color w:val="595959"/>
          <w:sz w:val="24"/>
        </w:rPr>
        <w:t>Σύστημα Πιστοποίησης Βιωσιμότητας Τουριστικών Καταλυμάτων</w:t>
      </w:r>
    </w:p>
    <w:p>
      <w:pPr>
        <w:pStyle w:val="Heading1"/>
      </w:pPr>
      <w:r>
        <w:t>1. Σύνοψη Εισήγησης</w:t>
      </w:r>
    </w:p>
    <w:p>
      <w:r>
        <w:t>Το σύστημα έχει ήδη υλοποιηθεί εσωτερικά και είναι λειτουργικό: μπορεί να επιδειχθεί άμεσα, καλύπτοντας τον πλήρη κύκλο από την αυτοαξιολόγηση έως την έκδοση και ανάρτηση της βεβαίωσης. Η ολοκλήρωση/παραγωγική λειτουργία απαιτεί ελάχιστο πρόσθετο χρόνο, με κόστος της τάξης των 30.000 € πλέον ΦΠΑ. Αντίθετα, η ανάθεση σε εξωτερική εταιρεία μέσω διαγωνισμού συνεπάγεται πολλαπλάσιο κόστος και χρόνο πολλών μηνών μέχρι να υπάρξει λειτουργικό αποτέλεσμα. Εισηγούμαστε την αξιοποίηση της εσωτερικής υλοποίησης.</w:t>
      </w:r>
    </w:p>
    <w:p>
      <w:pPr>
        <w:pStyle w:val="Heading1"/>
      </w:pPr>
      <w:r>
        <w:t>2. Σύγκριση Κόστους</w:t>
      </w:r>
    </w:p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top w:w="50" w:type="dxa"/>
          <w:left w:w="120" w:type="dxa"/>
          <w:bottom w:w="50" w:type="dxa"/>
          <w:right w:w="120" w:type="dxa"/>
        </w:tblCellMar>
      </w:tblPr>
      <w:tblGrid>
        <w:gridCol w:w="3626"/>
        <w:gridCol w:w="2700"/>
        <w:gridCol w:w="2700"/>
      </w:tblGrid>
      <w:tr>
        <w:trPr>
          <w:tblHeader/>
        </w:trPr>
        <w:tc>
          <w:tcPr>
            <w:tcW w:w="3626" w:type="dxa"/>
            <w:shd w:val="clear" w:fill="1F4E79"/>
          </w:tcPr>
          <w:p>
            <w:r>
              <w:rPr>
                <w:b/>
                <w:color w:val="FFFFFF"/>
              </w:rPr>
              <w:t>Στοιχείο</w:t>
            </w:r>
          </w:p>
        </w:tc>
        <w:tc>
          <w:tcPr>
            <w:tcW w:w="2700" w:type="dxa"/>
            <w:shd w:val="clear" w:fill="217346"/>
          </w:tcPr>
          <w:p>
            <w:pPr>
              <w:jc w:val="center"/>
            </w:pPr>
            <w:r>
              <w:rPr>
                <w:b/>
                <w:color w:val="FFFFFF"/>
              </w:rPr>
              <w:t>Εσωτερική Υλοποίηση</w:t>
            </w:r>
          </w:p>
        </w:tc>
        <w:tc>
          <w:tcPr>
            <w:tcW w:w="2700" w:type="dxa"/>
            <w:shd w:val="clear" w:fill="A6262B"/>
          </w:tcPr>
          <w:p>
            <w:pPr>
              <w:jc w:val="center"/>
            </w:pPr>
            <w:r>
              <w:rPr>
                <w:b/>
                <w:color w:val="FFFFFF"/>
              </w:rPr>
              <w:t>Εξωτερικός Διαγωνισμός</w:t>
            </w:r>
          </w:p>
        </w:tc>
      </w:tr>
      <w:tr>
        <w:tc>
          <w:tcPr>
            <w:tcW w:w="3626" w:type="dxa"/>
          </w:tcPr>
          <w:p>
            <w:r>
              <w:t>Καθαρή αξία (ανάπτυξη)</w:t>
            </w:r>
          </w:p>
        </w:tc>
        <w:tc>
          <w:tcPr>
            <w:tcW w:w="2700" w:type="dxa"/>
          </w:tcPr>
          <w:p>
            <w:pPr>
              <w:jc w:val="right"/>
            </w:pPr>
            <w:r>
              <w:rPr>
                <w:b/>
              </w:rPr>
              <w:t>~ 30.000 €</w:t>
            </w:r>
          </w:p>
        </w:tc>
        <w:tc>
          <w:tcPr>
            <w:tcW w:w="2700" w:type="dxa"/>
          </w:tcPr>
          <w:p>
            <w:pPr>
              <w:jc w:val="right"/>
            </w:pPr>
            <w:r>
              <w:t>~ 85.000 € (70.000–100.000)</w:t>
            </w:r>
          </w:p>
        </w:tc>
      </w:tr>
      <w:tr>
        <w:tc>
          <w:tcPr>
            <w:tcW w:w="3626" w:type="dxa"/>
          </w:tcPr>
          <w:p>
            <w:r>
              <w:t>Με ΦΠΑ 24%</w:t>
            </w:r>
          </w:p>
        </w:tc>
        <w:tc>
          <w:tcPr>
            <w:tcW w:w="2700" w:type="dxa"/>
          </w:tcPr>
          <w:p>
            <w:pPr>
              <w:jc w:val="right"/>
            </w:pPr>
            <w:r>
              <w:rPr>
                <w:b/>
              </w:rPr>
              <w:t>~ 37.200 €</w:t>
            </w:r>
          </w:p>
        </w:tc>
        <w:tc>
          <w:tcPr>
            <w:tcW w:w="2700" w:type="dxa"/>
          </w:tcPr>
          <w:p>
            <w:pPr>
              <w:jc w:val="right"/>
            </w:pPr>
            <w:r>
              <w:t>~ 105.400 €</w:t>
            </w:r>
          </w:p>
        </w:tc>
      </w:tr>
      <w:tr>
        <w:tc>
          <w:tcPr>
            <w:tcW w:w="3626" w:type="dxa"/>
            <w:shd w:val="clear" w:fill="DDEBF7"/>
          </w:tcPr>
          <w:p>
            <w:r>
              <w:rPr>
                <w:b/>
              </w:rPr>
              <w:t>Διαφορά (καθαρή)</w:t>
            </w:r>
          </w:p>
        </w:tc>
        <w:tc>
          <w:tcPr>
            <w:tcW w:w="5400" w:type="dxa"/>
            <w:gridSpan w:val="2"/>
            <w:shd w:val="clear" w:fill="DDEBF7"/>
          </w:tcPr>
          <w:p>
            <w:pPr>
              <w:jc w:val="center"/>
            </w:pPr>
            <w:r>
              <w:rPr>
                <w:b/>
              </w:rPr>
              <w:t>Εξοικονόμηση ~ 55.000 € (έως ~ 70.000 € με ΦΠΑ) — περίπου 65% χαμηλότερο κόστος</w:t>
            </w:r>
          </w:p>
        </w:tc>
      </w:tr>
    </w:tbl>
    <w:p>
      <w:pPr>
        <w:spacing w:before="40"/>
      </w:pPr>
      <w:r>
        <w:rPr>
          <w:i/>
          <w:color w:val="595959"/>
          <w:sz w:val="20"/>
        </w:rPr>
        <w:t>Η διαφορά διευρύνεται περαιτέρω αν στον διαγωνισμό προστεθεί πολυετής συντήρηση (συνολικό εύρος εξωτερικής ανάθεσης 95.000–135.000 € καθαρά).</w:t>
      </w:r>
    </w:p>
    <w:p>
      <w:pPr>
        <w:pStyle w:val="Heading1"/>
      </w:pPr>
      <w:r>
        <w:t>3. Σύγκριση Χρόνου έως Παραγωγική Λειτουργία</w:t>
      </w:r>
    </w:p>
    <w:p>
      <w:r>
        <w:t>Η διαγωνιστική διαδικασία προηγείται της υλοποίησης και απαιτεί πολλούς μήνες· η υλοποίηση ξεκινά μόνο μετά την υπογραφή σύμβασης. Η εσωτερική λύση είναι ήδη έτοιμη.</w:t>
      </w:r>
    </w:p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top w:w="50" w:type="dxa"/>
          <w:left w:w="120" w:type="dxa"/>
          <w:bottom w:w="50" w:type="dxa"/>
          <w:right w:w="120" w:type="dxa"/>
        </w:tblCellMar>
      </w:tblPr>
      <w:tblGrid>
        <w:gridCol w:w="6326"/>
        <w:gridCol w:w="2700"/>
      </w:tblGrid>
      <w:tr>
        <w:trPr>
          <w:tblHeader/>
        </w:trPr>
        <w:tc>
          <w:tcPr>
            <w:tcW w:w="6326" w:type="dxa"/>
            <w:shd w:val="clear" w:fill="A6262B"/>
          </w:tcPr>
          <w:p>
            <w:r>
              <w:rPr>
                <w:b/>
                <w:color w:val="FFFFFF"/>
              </w:rPr>
              <w:t>Φάση Διαγωνιστικής Διαδικασίας</w:t>
            </w:r>
          </w:p>
        </w:tc>
        <w:tc>
          <w:tcPr>
            <w:tcW w:w="2700" w:type="dxa"/>
            <w:shd w:val="clear" w:fill="A6262B"/>
          </w:tcPr>
          <w:p>
            <w:pPr>
              <w:jc w:val="center"/>
            </w:pPr>
            <w:r>
              <w:rPr>
                <w:b/>
                <w:color w:val="FFFFFF"/>
              </w:rPr>
              <w:t>Εκτιμώμενος χρόνος</w:t>
            </w:r>
          </w:p>
        </w:tc>
      </w:tr>
      <w:tr>
        <w:tc>
          <w:tcPr>
            <w:tcW w:w="6326" w:type="dxa"/>
          </w:tcPr>
          <w:p>
            <w:r>
              <w:t>Σύνταξη τευχών &amp; τεχνικών προδιαγραφών, διαβούλευση</w:t>
            </w:r>
          </w:p>
        </w:tc>
        <w:tc>
          <w:tcPr>
            <w:tcW w:w="2700" w:type="dxa"/>
          </w:tcPr>
          <w:p>
            <w:pPr>
              <w:jc w:val="center"/>
            </w:pPr>
            <w:r>
              <w:t>1 – 3 μήνες</w:t>
            </w:r>
          </w:p>
        </w:tc>
      </w:tr>
      <w:tr>
        <w:tc>
          <w:tcPr>
            <w:tcW w:w="6326" w:type="dxa"/>
          </w:tcPr>
          <w:p>
            <w:r>
              <w:t>Δημοσίευση &amp; προθεσμία υποβολής προσφορών (ΕΣΗΔΗΣ)</w:t>
            </w:r>
          </w:p>
        </w:tc>
        <w:tc>
          <w:tcPr>
            <w:tcW w:w="2700" w:type="dxa"/>
          </w:tcPr>
          <w:p>
            <w:pPr>
              <w:jc w:val="center"/>
            </w:pPr>
            <w:r>
              <w:t>1 – 1,5 μήνας</w:t>
            </w:r>
          </w:p>
        </w:tc>
      </w:tr>
      <w:tr>
        <w:tc>
          <w:tcPr>
            <w:tcW w:w="6326" w:type="dxa"/>
          </w:tcPr>
          <w:p>
            <w:r>
              <w:t>Αξιολόγηση προσφορών</w:t>
            </w:r>
          </w:p>
        </w:tc>
        <w:tc>
          <w:tcPr>
            <w:tcW w:w="2700" w:type="dxa"/>
          </w:tcPr>
          <w:p>
            <w:pPr>
              <w:jc w:val="center"/>
            </w:pPr>
            <w:r>
              <w:t>1 – 2 μήνες</w:t>
            </w:r>
          </w:p>
        </w:tc>
      </w:tr>
      <w:tr>
        <w:tc>
          <w:tcPr>
            <w:tcW w:w="6326" w:type="dxa"/>
          </w:tcPr>
          <w:p>
            <w:r>
              <w:t>Προδικαστικές προσφυγές / προσυμβατικός έλεγχος</w:t>
            </w:r>
          </w:p>
        </w:tc>
        <w:tc>
          <w:tcPr>
            <w:tcW w:w="2700" w:type="dxa"/>
          </w:tcPr>
          <w:p>
            <w:pPr>
              <w:jc w:val="center"/>
            </w:pPr>
            <w:r>
              <w:t>1 – 3 μήνες</w:t>
            </w:r>
          </w:p>
        </w:tc>
      </w:tr>
      <w:tr>
        <w:tc>
          <w:tcPr>
            <w:tcW w:w="6326" w:type="dxa"/>
          </w:tcPr>
          <w:p>
            <w:r>
              <w:t>Κατακύρωση &amp; υπογραφή σύμβασης</w:t>
            </w:r>
          </w:p>
        </w:tc>
        <w:tc>
          <w:tcPr>
            <w:tcW w:w="2700" w:type="dxa"/>
          </w:tcPr>
          <w:p>
            <w:pPr>
              <w:jc w:val="center"/>
            </w:pPr>
            <w:r>
              <w:t>~ 1 μήνας</w:t>
            </w:r>
          </w:p>
        </w:tc>
      </w:tr>
      <w:tr>
        <w:tc>
          <w:tcPr>
            <w:tcW w:w="6326" w:type="dxa"/>
          </w:tcPr>
          <w:p>
            <w:r>
              <w:t>Υλοποίηση από τον ανάδοχο (14–16 εβδομάδες)</w:t>
            </w:r>
          </w:p>
        </w:tc>
        <w:tc>
          <w:tcPr>
            <w:tcW w:w="2700" w:type="dxa"/>
          </w:tcPr>
          <w:p>
            <w:pPr>
              <w:jc w:val="center"/>
            </w:pPr>
            <w:r>
              <w:t>3,5 – 4 μήνες</w:t>
            </w:r>
          </w:p>
        </w:tc>
      </w:tr>
      <w:tr>
        <w:tc>
          <w:tcPr>
            <w:tcW w:w="6326" w:type="dxa"/>
            <w:shd w:val="clear" w:fill="F2DCDB"/>
          </w:tcPr>
          <w:p>
            <w:r>
              <w:rPr>
                <w:b/>
              </w:rPr>
              <w:t>ΣΥΝΟΛΟ έως λειτουργικό σύστημα</w:t>
            </w:r>
          </w:p>
        </w:tc>
        <w:tc>
          <w:tcPr>
            <w:tcW w:w="2700" w:type="dxa"/>
            <w:shd w:val="clear" w:fill="F2DCDB"/>
          </w:tcPr>
          <w:p>
            <w:pPr>
              <w:jc w:val="center"/>
            </w:pPr>
            <w:r>
              <w:rPr>
                <w:b/>
              </w:rPr>
              <w:t>~ 9 – 15 μήνες</w:t>
            </w:r>
          </w:p>
        </w:tc>
      </w:tr>
    </w:tbl>
    <w:tbl>
      <w:tblPr>
        <w:tblW w:w="902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top w:w="50" w:type="dxa"/>
          <w:left w:w="120" w:type="dxa"/>
          <w:bottom w:w="50" w:type="dxa"/>
          <w:right w:w="120" w:type="dxa"/>
        </w:tblCellMar>
      </w:tblPr>
      <w:tblGrid>
        <w:gridCol w:w="6326"/>
        <w:gridCol w:w="2700"/>
      </w:tblGrid>
      <w:tr>
        <w:trPr>
          <w:tblHeader/>
        </w:trPr>
        <w:tc>
          <w:tcPr>
            <w:tcW w:w="6326" w:type="dxa"/>
            <w:shd w:val="clear" w:fill="217346"/>
          </w:tcPr>
          <w:p>
            <w:r>
              <w:rPr>
                <w:b/>
                <w:color w:val="FFFFFF"/>
              </w:rPr>
              <w:t>Φάση Εσωτερικής Υλοποίησης</w:t>
            </w:r>
          </w:p>
        </w:tc>
        <w:tc>
          <w:tcPr>
            <w:tcW w:w="2700" w:type="dxa"/>
            <w:shd w:val="clear" w:fill="217346"/>
          </w:tcPr>
          <w:p>
            <w:pPr>
              <w:jc w:val="center"/>
            </w:pPr>
            <w:r>
              <w:rPr>
                <w:b/>
                <w:color w:val="FFFFFF"/>
              </w:rPr>
              <w:t>Εκτιμώμενος χρόνος</w:t>
            </w:r>
          </w:p>
        </w:tc>
      </w:tr>
      <w:tr>
        <w:tc>
          <w:tcPr>
            <w:tcW w:w="6326" w:type="dxa"/>
          </w:tcPr>
          <w:p>
            <w:r>
              <w:t>Λειτουργικό σύστημα — διαθέσιμο προς επίδειξη</w:t>
            </w:r>
          </w:p>
        </w:tc>
        <w:tc>
          <w:tcPr>
            <w:tcW w:w="2700" w:type="dxa"/>
          </w:tcPr>
          <w:p>
            <w:pPr>
              <w:jc w:val="center"/>
            </w:pPr>
            <w:r>
              <w:rPr>
                <w:b/>
              </w:rPr>
              <w:t>Άμεσα (τώρα)</w:t>
            </w:r>
          </w:p>
        </w:tc>
      </w:tr>
      <w:tr>
        <w:tc>
          <w:tcPr>
            <w:tcW w:w="6326" w:type="dxa"/>
          </w:tcPr>
          <w:p>
            <w:r>
              <w:t>Οριστικοποίηση παραγωγής (ανάρτηση Διαύγειας, δοκιμές, εγκατάσταση)</w:t>
            </w:r>
          </w:p>
        </w:tc>
        <w:tc>
          <w:tcPr>
            <w:tcW w:w="2700" w:type="dxa"/>
          </w:tcPr>
          <w:p>
            <w:pPr>
              <w:jc w:val="center"/>
            </w:pPr>
            <w:r>
              <w:t>4 – 6 εβδομάδες</w:t>
            </w:r>
          </w:p>
        </w:tc>
      </w:tr>
      <w:tr>
        <w:tc>
          <w:tcPr>
            <w:tcW w:w="6326" w:type="dxa"/>
            <w:shd w:val="clear" w:fill="E2EFDA"/>
          </w:tcPr>
          <w:p>
            <w:r>
              <w:rPr>
                <w:b/>
              </w:rPr>
              <w:t>ΣΥΝΟΛΟ έως λειτουργικό σύστημα</w:t>
            </w:r>
          </w:p>
        </w:tc>
        <w:tc>
          <w:tcPr>
            <w:tcW w:w="2700" w:type="dxa"/>
            <w:shd w:val="clear" w:fill="E2EFDA"/>
          </w:tcPr>
          <w:p>
            <w:pPr>
              <w:jc w:val="center"/>
            </w:pPr>
            <w:r>
              <w:rPr>
                <w:b/>
              </w:rPr>
              <w:t>~ 1 – 1,5 μήνας</w:t>
            </w:r>
          </w:p>
        </w:tc>
      </w:tr>
    </w:tbl>
    <w:p>
      <w:pPr>
        <w:spacing w:before="40"/>
      </w:pPr>
      <w:r>
        <w:rPr>
          <w:b/>
        </w:rPr>
        <w:t xml:space="preserve">Διαφορά χρόνου: εξοικονόμηση περίπου 8 – 13 μηνών </w:t>
      </w:r>
      <w:r>
        <w:t>έως την παραγωγική λειτουργία.</w:t>
      </w:r>
    </w:p>
    <w:p>
      <w:pPr>
        <w:pStyle w:val="Heading1"/>
      </w:pPr>
      <w:r>
        <w:t>4. Πρόσθετα Πλεονεκτήματα Εσωτερικής Υλοποίησης</w:t>
      </w:r>
    </w:p>
    <w:p>
      <w:pPr>
        <w:ind w:left="360" w:hanging="360"/>
      </w:pPr>
      <w:r>
        <w:rPr>
          <w:b/>
        </w:rPr>
        <w:t xml:space="preserve">•  Άμεση επίδειξη: </w:t>
      </w:r>
      <w:r>
        <w:t>υπάρχει ήδη λειτουργικό σύστημα που καλύπτει όλο τον κύκλο — η διοίκηση το βλέπει σήμερα, χωρίς αναμονή.</w:t>
      </w:r>
    </w:p>
    <w:p>
      <w:pPr>
        <w:ind w:left="360" w:hanging="360"/>
      </w:pPr>
      <w:r>
        <w:rPr>
          <w:b/>
        </w:rPr>
        <w:t xml:space="preserve">•  Χαμηλότερος κίνδυνος: </w:t>
      </w:r>
      <w:r>
        <w:t>το αποτέλεσμα είναι γνωστό και δοκιμασμένο, σε αντίθεση με την αβεβαιότητα παράδοσης ενός νέου αναδόχου.</w:t>
      </w:r>
    </w:p>
    <w:p>
      <w:pPr>
        <w:ind w:left="360" w:hanging="360"/>
      </w:pPr>
      <w:r>
        <w:rPr>
          <w:b/>
        </w:rPr>
        <w:t xml:space="preserve">•  Διατήρηση τεχνογνωσίας: </w:t>
      </w:r>
      <w:r>
        <w:t>η γνώση του συστήματος παραμένει στον φορέα, διευκολύνοντας μελλοντικές επεκτάσεις (Χρηματοδοτικά Εργαλεία, Κίνητρα, Εκθέσεις Βελτίωσης).</w:t>
      </w:r>
    </w:p>
    <w:p>
      <w:pPr>
        <w:ind w:left="360" w:hanging="360"/>
      </w:pPr>
      <w:r>
        <w:rPr>
          <w:b/>
        </w:rPr>
        <w:t xml:space="preserve">•  Ευελιξία: </w:t>
      </w:r>
      <w:r>
        <w:t>άμεση προσαρμογή σε αλλαγές απαιτήσεων, χωρίς τη διαδικασία τροποποιητικών συμβάσεων.</w:t>
      </w:r>
    </w:p>
    <w:p>
      <w:pPr>
        <w:pStyle w:val="Heading1"/>
      </w:pPr>
      <w:r>
        <w:t>5. Αντικειμενική Θεώρηση</w:t>
      </w:r>
    </w:p>
    <w:p>
      <w:r>
        <w:t>Για πληρότητα, η διαγωνιστική διαδικασία προσφέρει ανταγωνισμό τιμών και τυπικές εγγυήσεις/SLA αναδόχου. Τα οφέλη αυτά, ωστόσο, αντισταθμίζονται πλήρως από το ήδη υπάρχον, δοκιμασμένο αποτέλεσμα, το πολλαπλάσια χαμηλότερο κόστος και τον δραστικά συντομότερο χρόνο. Προτείνεται η εσωτερική υλοποίηση να συνοδευτεί από σαφές πλάνο συντήρησης/υποστήριξης ώστε να καλυφθεί και αυτή η διάσταση.</w:t>
      </w:r>
    </w:p>
    <w:p>
      <w:pPr>
        <w:pStyle w:val="Heading1"/>
      </w:pPr>
      <w:r>
        <w:t>6. Εισήγηση</w:t>
      </w:r>
    </w:p>
    <w:p>
      <w:r>
        <w:t>Εισηγούμαστε την αξιοποίηση της εσωτερικής υλοποίησης (κόστος ~30.000 € πλέον ΦΠΑ, παραγωγική λειτουργία εντός ~1–1,5 μήνα), έναντι της διαγωνιστικής ανάθεσης που συνεπάγεται κόστος της τάξης των 85.000 € και χρόνο 9–15 μηνών. Η επιλογή εξασφαλίζει εξοικονόμηση ~55.000 € και ~8–13 μηνών, με ταυτόχρονη μείωση του κινδύνου και άμεση παρουσίαση λειτουργικού αποτελέσματος.</w:t>
      </w:r>
    </w:p>
    <w:p>
      <w:pPr>
        <w:spacing w:before="360" w:after="0"/>
      </w:pPr>
      <w:r>
        <w:t>_______________________________</w:t>
      </w:r>
    </w:p>
    <w:p>
      <w:pPr>
        <w:spacing w:before="0"/>
      </w:pPr>
      <w:r>
        <w:rPr>
          <w:color w:val="595959"/>
          <w:sz w:val="20"/>
        </w:rPr>
        <w:t>Ονοματεπώνυμο / Ιδιότητα / Ημερομηνία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spacing w:before="0" w:after="60"/>
      <w:jc w:val="center"/>
    </w:pPr>
    <w:rPr>
      <w:rFonts w:ascii="Calibri" w:hAnsi="Calibri"/>
      <w:b/>
      <w:color w:val="1F4E79"/>
      <w:sz w:val="36"/>
      <w:szCs w:val="36"/>
    </w:rPr>
  </w:style>
  <w:style w:type="paragraph" w:styleId="Heading1">
    <w:name w:val="heading 1"/>
    <w:basedOn w:val="Normal"/>
    <w:next w:val="Normal"/>
    <w:pPr>
      <w:keepNext/>
      <w:spacing w:before="220" w:after="100"/>
      <w:outlineLvl w:val="0"/>
      <w:pBdr>
        <w:bottom w:val="single" w:sz="6" w:space="2" w:color="1F4E79"/>
      </w:pBdr>
    </w:pPr>
    <w:rPr>
      <w:rFonts w:ascii="Calibri" w:hAnsi="Calibri"/>
      <w:b/>
      <w:color w:val="1F4E79"/>
      <w:sz w:val="26"/>
      <w:szCs w:val="26"/>
    </w:rPr>
  </w:style>
  <w:style w:type="table" w:default="1" w:styleId="TableNormal">
    <w:name w:val="Normal Table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
</file>