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120" w:after="0"/>
        <w:jc w:val="center"/>
      </w:pPr>
      <w:r>
        <w:rPr>
          <w:color w:val="595959"/>
          <w:sz w:val="20"/>
        </w:rPr>
        <w:t>ΤΕΚΜΗΡΙΩΣΗ ΣΚΟΠΙΜΟΤΗΤΑΣ &amp; ΚΟΣΤΟΥΣ</w:t>
      </w:r>
    </w:p>
    <w:p>
      <w:pPr>
        <w:pStyle w:val="Title"/>
      </w:pPr>
      <w:r>
        <w:t>Εκτιμώμενος Προϋπολογισμός Έργου</w:t>
      </w:r>
    </w:p>
    <w:p>
      <w:pPr>
        <w:jc w:val="center"/>
        <w:spacing w:after="200"/>
      </w:pPr>
      <w:r>
        <w:rPr>
          <w:color w:val="595959"/>
          <w:sz w:val="24"/>
        </w:rPr>
        <w:t>Σύστημα Πιστοποίησης Βιωσιμότητας Τουριστικών Καταλυμάτων</w:t>
      </w:r>
    </w:p>
    <w:p>
      <w:pPr>
        <w:pStyle w:val="Heading1"/>
      </w:pPr>
      <w:r>
        <w:t>1. Αντικείμενο &amp; Σκοπός</w:t>
      </w:r>
    </w:p>
    <w:p>
      <w:r>
        <w:t>Το παρόν τεκμηριώνει το εύρος του εκτιμώμενου προϋπολογισμού για την υλοποίηση, από εξωτερικό ανάδοχο (εταιρεία πληροφορικής) μέσω διαγωνιστικής διαδικασίας, ολοκληρωμένου πληροφοριακού συστήματος για το Σύστημα Περιβαλλοντικής Κατάταξης Τουριστικών Καταλυμάτων. Το σύστημα καλύπτει τον πλήρη κύκλο: αυτοαξιολόγηση, ανάθεση/διενέργεια επιθεώρησης, βαθμολόγηση και απονομή μεταλλίου, αποδοχή τελικής κατάταξης, έκδοση βεβαίωσης τριετούς ισχύος και ανάρτηση στη Διαύγεια, με κεντρική εποπτεία.</w:t>
      </w:r>
    </w:p>
    <w:p>
      <w:pPr>
        <w:pStyle w:val="Heading1"/>
      </w:pPr>
      <w:r>
        <w:t>2. Μεθοδολογία Εκτίμησης</w:t>
      </w:r>
    </w:p>
    <w:p>
      <w:r>
        <w:t>Η εκτίμηση βασίζεται στην αναλυτική καταγραφή των λειτουργικών ενοτήτων (15 παραδοτέα) και στην εκτιμώμενη προσπάθεια ανάπτυξης, η οποία προσαρμόζεται στο πλαίσιο ανάθεσης σε εταιρεία: προστίθενται ρόλοι και δραστηριότητες πλήρους κύκλου ζωής λογισμικού (SDLC) που δεν περιλαμβάνονται στην «καθαρή» ανάπτυξη.</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50" w:type="dxa"/>
          <w:left w:w="120" w:type="dxa"/>
          <w:bottom w:w="50" w:type="dxa"/>
          <w:right w:w="120" w:type="dxa"/>
        </w:tblCellMar>
      </w:tblPr>
      <w:tblGrid>
        <w:gridCol w:w="5826"/>
        <w:gridCol w:w="3200"/>
      </w:tblGrid>
      <w:tr>
        <w:trPr>
          <w:tblHeader/>
        </w:trPr>
        <w:tc>
          <w:tcPr>
            <w:tcW w:w="5826" w:type="dxa"/>
            <w:shd w:val="clear" w:fill="1F4E79"/>
          </w:tcPr>
          <w:p>
            <w:r>
              <w:rPr>
                <w:b/>
                <w:color w:val="FFFFFF"/>
              </w:rPr>
              <w:t>Παράγοντας προσαρμογής</w:t>
            </w:r>
          </w:p>
        </w:tc>
        <w:tc>
          <w:tcPr>
            <w:tcW w:w="3200" w:type="dxa"/>
            <w:shd w:val="clear" w:fill="1F4E79"/>
          </w:tcPr>
          <w:p>
            <w:pPr>
              <w:jc w:val="center"/>
            </w:pPr>
            <w:r>
              <w:rPr>
                <w:b/>
                <w:color w:val="FFFFFF"/>
              </w:rPr>
              <w:t>Επίδραση</w:t>
            </w:r>
          </w:p>
        </w:tc>
      </w:tr>
      <w:tr>
        <w:tc>
          <w:tcPr>
            <w:tcW w:w="5826" w:type="dxa"/>
          </w:tcPr>
          <w:p>
            <w:r>
              <w:t>Επιπλέον ρόλοι (Διαχείριση Έργου, Ανάλυση, UX, QA/Δοκιμές, Αρχιτεκτονική)</w:t>
            </w:r>
          </w:p>
        </w:tc>
        <w:tc>
          <w:tcPr>
            <w:tcW w:w="3200" w:type="dxa"/>
          </w:tcPr>
          <w:p>
            <w:pPr>
              <w:jc w:val="center"/>
            </w:pPr>
            <w:r>
              <w:t>+40% έως +60% προσπάθεια</w:t>
            </w:r>
          </w:p>
        </w:tc>
      </w:tr>
      <w:tr>
        <w:tc>
          <w:tcPr>
            <w:tcW w:w="5826" w:type="dxa"/>
          </w:tcPr>
          <w:p>
            <w:r>
              <w:t>Τυπική τεκμηρίωση, μελέτη εφαρμογής, εκπαίδευση χρηστών, UAT</w:t>
            </w:r>
          </w:p>
        </w:tc>
        <w:tc>
          <w:tcPr>
            <w:tcW w:w="3200" w:type="dxa"/>
          </w:tcPr>
          <w:p>
            <w:pPr>
              <w:jc w:val="center"/>
            </w:pPr>
            <w:r>
              <w:t>περιλαμβάνεται στην προσπάθεια</w:t>
            </w:r>
          </w:p>
        </w:tc>
      </w:tr>
      <w:tr>
        <w:tc>
          <w:tcPr>
            <w:tcW w:w="5826" w:type="dxa"/>
          </w:tcPr>
          <w:p>
            <w:r>
              <w:t>Μεικτή ημερήσια χρέωση εταιρείας (μίγμα ρόλων)</w:t>
            </w:r>
          </w:p>
        </w:tc>
        <w:tc>
          <w:tcPr>
            <w:tcW w:w="3200" w:type="dxa"/>
          </w:tcPr>
          <w:p>
            <w:pPr>
              <w:jc w:val="center"/>
            </w:pPr>
            <w:r>
              <w:t>450 € – 550 € / ανθρωποημέρα</w:t>
            </w:r>
          </w:p>
        </w:tc>
      </w:tr>
      <w:tr>
        <w:tc>
          <w:tcPr>
            <w:tcW w:w="5826" w:type="dxa"/>
          </w:tcPr>
          <w:p>
            <w:r>
              <w:t>Περιθώριο κέρδους &amp; διαχείριση κινδύνου / απρόβλεπτα</w:t>
            </w:r>
          </w:p>
        </w:tc>
        <w:tc>
          <w:tcPr>
            <w:tcW w:w="3200" w:type="dxa"/>
          </w:tcPr>
          <w:p>
            <w:pPr>
              <w:jc w:val="center"/>
            </w:pPr>
            <w:r>
              <w:t>+10% έως +15%</w:t>
            </w:r>
          </w:p>
        </w:tc>
      </w:tr>
    </w:tbl>
    <w:p>
      <w:pPr>
        <w:spacing w:before="80"/>
      </w:pPr>
      <w:r>
        <w:t>Εκτιμώμενη προσπάθεια καθαρής ανάπτυξης: 99 ανθρωποημέρες. Με την προσαρμογή σε εταιρικό SDLC (συντελεστής 1,4–1,6) προκύπτουν περίπου </w:t>
      </w:r>
      <w:r>
        <w:rPr>
          <w:b/>
        </w:rPr>
        <w:t>140 – 160 ανθρωποημέρες</w:t>
      </w:r>
      <w:r>
        <w:t>.</w:t>
      </w:r>
    </w:p>
    <w:p>
      <w:pPr>
        <w:pStyle w:val="Heading1"/>
      </w:pPr>
      <w:r>
        <w:t>3. Εκτιμώμενος Προϋπολογισμός Ανάπτυξης</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50" w:type="dxa"/>
          <w:left w:w="120" w:type="dxa"/>
          <w:bottom w:w="50" w:type="dxa"/>
          <w:right w:w="120" w:type="dxa"/>
        </w:tblCellMar>
      </w:tblPr>
      <w:tblGrid>
        <w:gridCol w:w="3626"/>
        <w:gridCol w:w="2700"/>
        <w:gridCol w:w="2700"/>
      </w:tblGrid>
      <w:tr>
        <w:trPr>
          <w:tblHeader/>
        </w:trPr>
        <w:tc>
          <w:tcPr>
            <w:tcW w:w="3626" w:type="dxa"/>
            <w:shd w:val="clear" w:fill="1F4E79"/>
          </w:tcPr>
          <w:p>
            <w:r>
              <w:rPr>
                <w:b/>
                <w:color w:val="FFFFFF"/>
              </w:rPr>
              <w:t>Σενάριο</w:t>
            </w:r>
          </w:p>
        </w:tc>
        <w:tc>
          <w:tcPr>
            <w:tcW w:w="2700" w:type="dxa"/>
            <w:shd w:val="clear" w:fill="1F4E79"/>
          </w:tcPr>
          <w:p>
            <w:pPr>
              <w:jc w:val="right"/>
            </w:pPr>
            <w:r>
              <w:rPr>
                <w:b/>
                <w:color w:val="FFFFFF"/>
              </w:rPr>
              <w:t>Καθαρή αξία</w:t>
            </w:r>
          </w:p>
        </w:tc>
        <w:tc>
          <w:tcPr>
            <w:tcW w:w="2700" w:type="dxa"/>
            <w:shd w:val="clear" w:fill="1F4E79"/>
          </w:tcPr>
          <w:p>
            <w:pPr>
              <w:jc w:val="right"/>
            </w:pPr>
            <w:r>
              <w:rPr>
                <w:b/>
                <w:color w:val="FFFFFF"/>
              </w:rPr>
              <w:t>Με ΦΠΑ 24%</w:t>
            </w:r>
          </w:p>
        </w:tc>
      </w:tr>
      <w:tr>
        <w:tc>
          <w:tcPr>
            <w:tcW w:w="3626" w:type="dxa"/>
          </w:tcPr>
          <w:p>
            <w:r>
              <w:t>Συντηρητικό κάτω όριο</w:t>
            </w:r>
          </w:p>
        </w:tc>
        <w:tc>
          <w:tcPr>
            <w:tcW w:w="2700" w:type="dxa"/>
          </w:tcPr>
          <w:p>
            <w:pPr>
              <w:jc w:val="right"/>
            </w:pPr>
            <w:r>
              <w:t>70.000 €</w:t>
            </w:r>
          </w:p>
        </w:tc>
        <w:tc>
          <w:tcPr>
            <w:tcW w:w="2700" w:type="dxa"/>
          </w:tcPr>
          <w:p>
            <w:pPr>
              <w:jc w:val="right"/>
            </w:pPr>
            <w:r>
              <w:t>86.800 €</w:t>
            </w:r>
          </w:p>
        </w:tc>
      </w:tr>
      <w:tr>
        <w:tc>
          <w:tcPr>
            <w:tcW w:w="3626" w:type="dxa"/>
            <w:shd w:val="clear" w:fill="DDEBF7"/>
          </w:tcPr>
          <w:p>
            <w:r>
              <w:rPr>
                <w:b/>
              </w:rPr>
              <w:t>Συνιστώμενη βάση</w:t>
            </w:r>
          </w:p>
        </w:tc>
        <w:tc>
          <w:tcPr>
            <w:tcW w:w="2700" w:type="dxa"/>
            <w:shd w:val="clear" w:fill="DDEBF7"/>
          </w:tcPr>
          <w:p>
            <w:pPr>
              <w:jc w:val="right"/>
            </w:pPr>
            <w:r>
              <w:rPr>
                <w:b/>
              </w:rPr>
              <w:t>85.000 €</w:t>
            </w:r>
          </w:p>
        </w:tc>
        <w:tc>
          <w:tcPr>
            <w:tcW w:w="2700" w:type="dxa"/>
            <w:shd w:val="clear" w:fill="DDEBF7"/>
          </w:tcPr>
          <w:p>
            <w:pPr>
              <w:jc w:val="right"/>
            </w:pPr>
            <w:r>
              <w:rPr>
                <w:b/>
              </w:rPr>
              <w:t>105.400 €</w:t>
            </w:r>
          </w:p>
        </w:tc>
      </w:tr>
      <w:tr>
        <w:tc>
          <w:tcPr>
            <w:tcW w:w="3626" w:type="dxa"/>
          </w:tcPr>
          <w:p>
            <w:r>
              <w:t>Άνω όριο (πλήρες εύρος)</w:t>
            </w:r>
          </w:p>
        </w:tc>
        <w:tc>
          <w:tcPr>
            <w:tcW w:w="2700" w:type="dxa"/>
          </w:tcPr>
          <w:p>
            <w:pPr>
              <w:jc w:val="right"/>
            </w:pPr>
            <w:r>
              <w:t>100.000 €</w:t>
            </w:r>
          </w:p>
        </w:tc>
        <w:tc>
          <w:tcPr>
            <w:tcW w:w="2700" w:type="dxa"/>
          </w:tcPr>
          <w:p>
            <w:pPr>
              <w:jc w:val="right"/>
            </w:pPr>
            <w:r>
              <w:t>124.000 €</w:t>
            </w:r>
          </w:p>
        </w:tc>
      </w:tr>
    </w:tbl>
    <w:p>
      <w:pPr>
        <w:pStyle w:val="Heading1"/>
      </w:pPr>
      <w:r>
        <w:t>4. Συντήρηση &amp; Συνολικός Προϋπολογισμός</w:t>
      </w:r>
    </w:p>
    <w:p>
      <w:r>
        <w:t>Η συντήρηση/υποστήριξη αποτελεί ξεχωριστή γραμμή προϋπολογισμού και εκτιμάται σε 15%–18% της καθαρής αξίας ανά έτος, ήτοι περίπου 12.750 € – 15.300 € / έτος. Για τυπική απαίτηση τριετούς υποστήριξης προστίθενται περίπου 25.000 € – 46.000 €.</w:t>
      </w:r>
    </w:p>
    <w:p>
      <w:r>
        <w:rPr>
          <w:b/>
        </w:rPr>
        <w:t xml:space="preserve">Συνολικός προϋπολογισμός διαγωνισμού (ανάπτυξη + 3ετής συντήρηση): </w:t>
      </w:r>
      <w:r>
        <w:t>της τάξης των 95.000 € – 135.000 € καθαρά (περίπου 118.000 € – 167.000 € με ΦΠΑ).</w:t>
      </w:r>
    </w:p>
    <w:p>
      <w:pPr>
        <w:pStyle w:val="Heading1"/>
      </w:pPr>
      <w:r>
        <w:t>5. Πλαίσιο Διαγωνιστικής Διαδικασίας (ενδεικτικά)</w:t>
      </w:r>
    </w:p>
    <w:p>
      <w:pPr>
        <w:ind w:left="360" w:hanging="360"/>
      </w:pPr>
      <w:r>
        <w:t xml:space="preserve">•  Έως 30.000 € (καθαρά): απευθείας ανάθεση.</w:t>
      </w:r>
    </w:p>
    <w:p>
      <w:pPr>
        <w:ind w:left="360" w:hanging="360"/>
      </w:pPr>
      <w:r>
        <w:t xml:space="preserve">•  Άνω των 60.000 €: τακτικός ανοικτός διαγωνισμός μέσω ΕΣΗΔΗΣ — στην κατηγορία αυτή εμπίπτει το Έργο.</w:t>
      </w:r>
    </w:p>
    <w:p>
      <w:pPr>
        <w:ind w:left="360" w:hanging="360"/>
      </w:pPr>
      <w:r>
        <w:t xml:space="preserve">•  Κατώφλια ΕΕ (~143.000 € κεντρική διοίκηση / ~221.000 € λοιποί): υπέρβαση απαιτεί ευρωπαϊκή δημοσίευση — να προσεχθεί αν προστεθεί εκτενής πολυετής συντήρηση.</w:t>
      </w:r>
    </w:p>
    <w:p>
      <w:pPr>
        <w:spacing w:before="40"/>
      </w:pPr>
      <w:r>
        <w:rPr>
          <w:i/>
          <w:color w:val="595959"/>
          <w:sz w:val="20"/>
        </w:rPr>
        <w:t>Τα κατώφλια παρατίθενται ενδεικτικά και πρέπει να επιβεβαιωθούν με την αρμόδια νομική/οικονομική υπηρεσία βάσει της ισχύουσας νομοθεσίας.</w:t>
      </w:r>
    </w:p>
    <w:p>
      <w:pPr>
        <w:pStyle w:val="Heading1"/>
      </w:pPr>
      <w:r>
        <w:t>6. Παραδοχές &amp; Επιφυλάξεις</w:t>
      </w:r>
    </w:p>
    <w:p>
      <w:pPr>
        <w:ind w:left="360" w:hanging="360"/>
      </w:pPr>
      <w:r>
        <w:t xml:space="preserve">•  Τα ποσά είναι ενδεικτικές εκτιμήσεις αγοράς, όχι δεσμευτική κοστολόγηση· εξαρτώνται από το τελικό τεύχος προδιαγραφών, τις απαιτήσεις SLA/τεκμηρίωσης και τον ανταγωνισμό.</w:t>
      </w:r>
    </w:p>
    <w:p>
      <w:pPr>
        <w:ind w:left="360" w:hanging="360"/>
      </w:pPr>
      <w:r>
        <w:t xml:space="preserve">•  Η ύπαρξη ήδη λειτουργικού συστήματος δίνει εναλλακτική: αντί διαγωνισμού «εξ αρχής», σύμβαση υποστήριξης/επέκτασης του υπάρχοντος, με σημαντικά χαμηλότερο κόστος.</w:t>
      </w:r>
    </w:p>
    <w:p>
      <w:pPr>
        <w:ind w:left="360" w:hanging="360"/>
      </w:pPr>
      <w:r>
        <w:t xml:space="preserve">•  Δεν περιλαμβάνονται κόστη υποδομών φιλοξενίας (Azure), αδειών τρίτων και διαπιστεύσεων Διαύγειας, τα οποία βαρύνουν τον φορέα.</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default="1" w:styleId="Normal">
    <w:name w:val="Normal"/>
  </w:style>
  <w:style w:type="paragraph" w:styleId="Title">
    <w:name w:val="Title"/>
    <w:basedOn w:val="Normal"/>
    <w:pPr>
      <w:spacing w:before="0" w:after="60"/>
      <w:jc w:val="center"/>
    </w:pPr>
    <w:rPr>
      <w:rFonts w:ascii="Calibri" w:hAnsi="Calibri"/>
      <w:b/>
      <w:color w:val="1F4E79"/>
      <w:sz w:val="36"/>
      <w:szCs w:val="36"/>
    </w:rPr>
  </w:style>
  <w:style w:type="paragraph" w:styleId="Heading1">
    <w:name w:val="heading 1"/>
    <w:basedOn w:val="Normal"/>
    <w:next w:val="Normal"/>
    <w:pPr>
      <w:keepNext/>
      <w:spacing w:before="220" w:after="100"/>
      <w:outlineLvl w:val="0"/>
      <w:pBdr>
        <w:bottom w:val="single" w:sz="6" w:space="2" w:color="1F4E79"/>
      </w:pBdr>
    </w:pPr>
    <w:rPr>
      <w:rFonts w:ascii="Calibri" w:hAnsi="Calibri"/>
      <w:b/>
      <w:color w:val="1F4E79"/>
      <w:sz w:val="26"/>
      <w:szCs w:val="26"/>
    </w:rPr>
  </w:style>
  <w:style w:type="table" w:default="1" w:styleId="TableNormal">
    <w:name w:val="Normal Table"/>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