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2"/>
          <w:szCs w:val="32"/>
        </w:rPr>
        <w:t xml:space="preserve">受付番号判定の是正に関する追補報告書</w:t>
      </w:r>
    </w:p>
    <w:p>
      <w:pPr>
        <w:spacing w:after="40"/>
        <w:jc w:val="center"/>
      </w:pPr>
      <w:r>
        <w:rPr>
          <w:sz w:val="22"/>
          <w:szCs w:val="22"/>
        </w:rPr>
        <w:t xml:space="preserve">「受付確認」判定における受付番号・案内ページの取り扱いの修正</w:t>
      </w:r>
    </w:p>
    <w:p>
      <w:pPr>
        <w:spacing w:after="120"/>
        <w:jc w:val="center"/>
      </w:pPr>
      <w:r>
        <w:rPr>
          <w:color w:val="666666"/>
          <w:sz w:val="20"/>
          <w:szCs w:val="20"/>
        </w:rPr>
        <w:t xml:space="preserve">作成日：2026年10月13日</w:t>
      </w:r>
    </w:p>
    <w:p>
      <w:pPr>
        <w:pBdr>
          <w:bottom w:val="single" w:color="999999" w:sz="6"/>
        </w:pBdr>
        <w:spacing w:after="160"/>
      </w:pPr>
    </w:p>
    <w:p>
      <w:pPr>
        <w:pStyle w:val="Heading1"/>
      </w:pPr>
      <w:r>
        <w:t xml:space="preserve">1. ご指摘いただいた事象</w:t>
      </w:r>
    </w:p>
    <w:p>
      <w:pPr>
        <w:spacing w:after="90"/>
      </w:pPr>
      <w:r>
        <w:t xml:space="preserve">本番送信の実行結果のうち、2件のお問い合わせ先について、実際には受付番号が発行されていないにもかかわらず「受付確認」と判定されていた、とのご指摘をいただきました。</w:t>
      </w:r>
    </w:p>
    <w:p>
      <w:pPr>
        <w:pStyle w:val="ListParagraph"/>
        <w:numPr>
          <w:ilvl w:val="0"/>
          <w:numId w:val="1"/>
        </w:numPr>
        <w:spacing w:after="60"/>
      </w:pPr>
      <w:r>
        <w:t xml:space="preserve">いずれも、送信後の画面・遷移先に「受付番号」「管理番号」等の“語”は含まれるものの、実際の識別番号（数字）は表示されていないケースでした。</w:t>
      </w:r>
    </w:p>
    <w:p>
      <w:pPr>
        <w:pStyle w:val="ListParagraph"/>
        <w:numPr>
          <w:ilvl w:val="0"/>
          <w:numId w:val="1"/>
        </w:numPr>
        <w:spacing w:after="60"/>
      </w:pPr>
      <w:r>
        <w:t xml:space="preserve">また、遷移先が完了ページではなく、案内ページ・配信停止ページ等であったケースも含まれていました。</w:t>
      </w:r>
    </w:p>
    <w:p>
      <w:pPr>
        <w:pStyle w:val="Heading1"/>
      </w:pPr>
      <w:r>
        <w:t xml:space="preserve">2. 原因</w:t>
      </w:r>
    </w:p>
    <w:p>
      <w:pPr>
        <w:spacing w:after="90"/>
      </w:pPr>
      <w:r>
        <w:t xml:space="preserve">従来の判定では、受付番号の根拠を「『受付番号』等のラベル語の有無」で確認しており、案内文中に当該の語が含まれるだけで受付番号ありと解釈してしまう余地がありました。また、遷移先が案内・配信停止等のページであっても、完了文言やラベル語が含まれていれば受付確認としてしまう場合がありました。</w:t>
      </w:r>
    </w:p>
    <w:p>
      <w:pPr>
        <w:pStyle w:val="Heading1"/>
      </w:pPr>
      <w:r>
        <w:t xml:space="preserve">3. 修正内容</w:t>
      </w:r>
    </w:p>
    <w:p>
      <w:pPr>
        <w:spacing w:after="90"/>
      </w:pPr>
      <w:r>
        <w:t xml:space="preserve">「受付確認」のうち、受付番号・問い合わせ番号を根拠とする判定を、次の条件をすべて満たす場合に限定しました。</w:t>
      </w:r>
    </w:p>
    <w:p>
      <w:pPr>
        <w:pStyle w:val="ListParagraph"/>
        <w:numPr>
          <w:ilvl w:val="0"/>
          <w:numId w:val="1"/>
        </w:numPr>
        <w:spacing w:after="60"/>
      </w:pPr>
      <w:r>
        <w:t xml:space="preserve">ラベル語（受付番号・問い合わせ番号・整理番号・管理番号 等）の直後に、実際の識別番号が表示されていること。</w:t>
      </w:r>
    </w:p>
    <w:p>
      <w:pPr>
        <w:pStyle w:val="ListParagraph"/>
        <w:numPr>
          <w:ilvl w:val="0"/>
          <w:numId w:val="1"/>
        </w:numPr>
        <w:spacing w:after="60"/>
      </w:pPr>
      <w:r>
        <w:t xml:space="preserve">その識別番号が、数字を1文字以上含む実在の番号であること（語だけ・記号だけは不可）。</w:t>
      </w:r>
    </w:p>
    <w:p>
      <w:pPr>
        <w:pStyle w:val="ListParagraph"/>
        <w:numPr>
          <w:ilvl w:val="0"/>
          <w:numId w:val="1"/>
        </w:numPr>
        <w:spacing w:after="60"/>
      </w:pPr>
      <w:r>
        <w:t xml:space="preserve">その番号が、送信前には画面に存在せず、送信後に新規表示されたものであること。</w:t>
      </w:r>
    </w:p>
    <w:p>
      <w:pPr>
        <w:spacing w:after="90"/>
      </w:pPr>
      <w:r>
        <w:t xml:space="preserve">あわせて、遷移先URLが案内ページ・配信停止ページ・退会ページ・保証ページ・FAQ等に該当する場合は、受付番号・完了文言・URL遷移のいずれであっても「受付確認」として扱わないようにしました（これらは「送信処理完了（推定）」として記録します）。</w:t>
      </w:r>
    </w:p>
    <w:p>
      <w:pPr>
        <w:pBdr>
          <w:top w:val="single" w:color="BF9000" w:sz="6"/>
          <w:left w:val="single" w:color="BF9000" w:sz="6"/>
          <w:bottom w:val="single" w:color="BF9000" w:sz="6"/>
          <w:right w:val="single" w:color="BF9000" w:sz="6"/>
        </w:pBdr>
        <w:shd w:fill="FFF2CC" w:color="auto" w:val="clear"/>
        <w:spacing w:after="100" w:before="100"/>
      </w:pPr>
      <w:r>
        <w:rPr>
          <w:b/>
          <w:bCs/>
        </w:rPr>
        <w:t xml:space="preserve">上記に該当しない場合（ラベル語のみ・実番号なし・案内ページ等への遷移）は、「受付確認」ではなく「送信処理完了（推定）」として記録されます。「送信処理完了（推定）」は、送信操作は完了したが受付の確証が取れていない状態を表します。</w:t>
      </w:r>
    </w:p>
    <w:p>
      <w:pPr>
        <w:pStyle w:val="Heading1"/>
      </w:pPr>
      <w:r>
        <w:t xml:space="preserve">4. 検証結果（修正後）</w:t>
      </w:r>
    </w:p>
    <w:p>
      <w:pPr>
        <w:spacing w:after="90"/>
      </w:pPr>
      <w:r>
        <w:t xml:space="preserve">ご指摘の2件に相当するケース（受付番号の語のみ・実番号なし／案内・配信停止ページへの遷移）を、ローカルのテスト用フォームで再現し、修正版での判定を確認しました。実在企業・外部へは送信していません。</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80"/>
        <w:gridCol w:w="4780"/>
        <w:gridCol w:w="1720"/>
        <w:gridCol w:w="1720"/>
        <w:gridCol w:w="700"/>
      </w:tblGrid>
      <w:tr>
        <w:trPr>
          <w:tblHeader/>
        </w:trPr>
        <w:tc>
          <w:tcPr>
            <w:tcW w:type="dxa" w:w="680"/>
            <w:shd w:fill="D9E2F3" w:color="auto" w:val="clear"/>
            <w:tcMar>
              <w:top w:type="dxa" w:w="40"/>
              <w:left w:type="dxa" w:w="80"/>
              <w:bottom w:type="dxa" w:w="40"/>
              <w:right w:type="dxa" w:w="80"/>
            </w:tcMar>
          </w:tcPr>
          <w:p>
            <w:pPr>
              <w:jc w:val="center"/>
            </w:pPr>
            <w:r>
              <w:rPr>
                <w:b/>
                <w:bCs/>
              </w:rPr>
              <w:t xml:space="preserve">ケース</w:t>
            </w:r>
          </w:p>
        </w:tc>
        <w:tc>
          <w:tcPr>
            <w:tcW w:type="dxa" w:w="4780"/>
            <w:shd w:fill="D9E2F3" w:color="auto" w:val="clear"/>
            <w:tcMar>
              <w:top w:type="dxa" w:w="40"/>
              <w:left w:type="dxa" w:w="80"/>
              <w:bottom w:type="dxa" w:w="40"/>
              <w:right w:type="dxa" w:w="80"/>
            </w:tcMar>
          </w:tcPr>
          <w:p>
            <w:pPr>
              <w:jc w:val="center"/>
            </w:pPr>
            <w:r>
              <w:rPr>
                <w:b/>
                <w:bCs/>
              </w:rPr>
              <w:t xml:space="preserve">内容</w:t>
            </w:r>
          </w:p>
        </w:tc>
        <w:tc>
          <w:tcPr>
            <w:tcW w:type="dxa" w:w="1720"/>
            <w:shd w:fill="D9E2F3" w:color="auto" w:val="clear"/>
            <w:tcMar>
              <w:top w:type="dxa" w:w="40"/>
              <w:left w:type="dxa" w:w="80"/>
              <w:bottom w:type="dxa" w:w="40"/>
              <w:right w:type="dxa" w:w="80"/>
            </w:tcMar>
          </w:tcPr>
          <w:p>
            <w:pPr>
              <w:jc w:val="center"/>
            </w:pPr>
            <w:r>
              <w:rPr>
                <w:b/>
                <w:bCs/>
              </w:rPr>
              <w:t xml:space="preserve">修正前の判定</w:t>
            </w:r>
          </w:p>
        </w:tc>
        <w:tc>
          <w:tcPr>
            <w:tcW w:type="dxa" w:w="1720"/>
            <w:shd w:fill="D9E2F3" w:color="auto" w:val="clear"/>
            <w:tcMar>
              <w:top w:type="dxa" w:w="40"/>
              <w:left w:type="dxa" w:w="80"/>
              <w:bottom w:type="dxa" w:w="40"/>
              <w:right w:type="dxa" w:w="80"/>
            </w:tcMar>
          </w:tcPr>
          <w:p>
            <w:pPr>
              <w:jc w:val="center"/>
            </w:pPr>
            <w:r>
              <w:rPr>
                <w:b/>
                <w:bCs/>
              </w:rPr>
              <w:t xml:space="preserve">修正後の判定</w:t>
            </w:r>
          </w:p>
        </w:tc>
        <w:tc>
          <w:tcPr>
            <w:tcW w:type="dxa" w:w="700"/>
            <w:shd w:fill="D9E2F3" w:color="auto" w:val="clear"/>
            <w:tcMar>
              <w:top w:type="dxa" w:w="40"/>
              <w:left w:type="dxa" w:w="80"/>
              <w:bottom w:type="dxa" w:w="40"/>
              <w:right w:type="dxa" w:w="80"/>
            </w:tcMar>
          </w:tcPr>
          <w:p>
            <w:pPr>
              <w:jc w:val="center"/>
            </w:pPr>
            <w:r>
              <w:rPr>
                <w:b/>
                <w:bCs/>
              </w:rPr>
              <w:t xml:space="preserve">期待どおり</w:t>
            </w:r>
          </w:p>
        </w:tc>
      </w:tr>
      <w:tr>
        <w:tc>
          <w:tcPr>
            <w:tcW w:type="dxa" w:w="680"/>
            <w:tcMar>
              <w:top w:type="dxa" w:w="40"/>
              <w:left w:type="dxa" w:w="80"/>
              <w:bottom w:type="dxa" w:w="40"/>
              <w:right w:type="dxa" w:w="80"/>
            </w:tcMar>
          </w:tcPr>
          <w:p>
            <w:pPr>
              <w:jc w:val="center"/>
            </w:pPr>
            <w:r>
              <w:rPr>
                <w:b w:val="false"/>
                <w:bCs w:val="false"/>
              </w:rPr>
              <w:t xml:space="preserve">/m</w:t>
            </w:r>
          </w:p>
        </w:tc>
        <w:tc>
          <w:tcPr>
            <w:tcW w:type="dxa" w:w="4780"/>
            <w:tcMar>
              <w:top w:type="dxa" w:w="40"/>
              <w:left w:type="dxa" w:w="80"/>
              <w:bottom w:type="dxa" w:w="40"/>
              <w:right w:type="dxa" w:w="80"/>
            </w:tcMar>
          </w:tcPr>
          <w:p>
            <w:pPr>
              <w:jc w:val="left"/>
            </w:pPr>
            <w:r>
              <w:rPr>
                <w:b w:val="false"/>
                <w:bCs w:val="false"/>
              </w:rPr>
              <w:t xml:space="preserve">案内・保証ページへ遷移。受付番号の“語”はあるが実番号なし（完了文言・フォーム消失あり）</w:t>
            </w:r>
          </w:p>
        </w:tc>
        <w:tc>
          <w:tcPr>
            <w:tcW w:type="dxa" w:w="1720"/>
            <w:tcMar>
              <w:top w:type="dxa" w:w="40"/>
              <w:left w:type="dxa" w:w="80"/>
              <w:bottom w:type="dxa" w:w="40"/>
              <w:right w:type="dxa" w:w="80"/>
            </w:tcMar>
          </w:tcPr>
          <w:p>
            <w:pPr>
              <w:jc w:val="center"/>
            </w:pPr>
            <w:r>
              <w:rPr>
                <w:b w:val="false"/>
                <w:bCs w:val="false"/>
              </w:rPr>
              <w:t xml:space="preserve">受付確認</w:t>
            </w:r>
          </w:p>
        </w:tc>
        <w:tc>
          <w:tcPr>
            <w:tcW w:type="dxa" w:w="1720"/>
            <w:tcMar>
              <w:top w:type="dxa" w:w="40"/>
              <w:left w:type="dxa" w:w="80"/>
              <w:bottom w:type="dxa" w:w="40"/>
              <w:right w:type="dxa" w:w="80"/>
            </w:tcMar>
          </w:tcPr>
          <w:p>
            <w:pPr>
              <w:jc w:val="center"/>
            </w:pPr>
            <w:r>
              <w:rPr>
                <w:b w:val="false"/>
                <w:bCs w:val="false"/>
              </w:rPr>
              <w:t xml:space="preserve">送信処理完了（推定）</w:t>
            </w:r>
          </w:p>
        </w:tc>
        <w:tc>
          <w:tcPr>
            <w:tcW w:type="dxa" w:w="700"/>
            <w:tcMar>
              <w:top w:type="dxa" w:w="40"/>
              <w:left w:type="dxa" w:w="80"/>
              <w:bottom w:type="dxa" w:w="40"/>
              <w:right w:type="dxa" w:w="80"/>
            </w:tcMar>
          </w:tcPr>
          <w:p>
            <w:pPr>
              <w:jc w:val="center"/>
            </w:pPr>
            <w:r>
              <w:rPr>
                <w:b w:val="false"/>
                <w:bCs w:val="false"/>
              </w:rPr>
              <w:t xml:space="preserve">○</w:t>
            </w:r>
          </w:p>
        </w:tc>
      </w:tr>
      <w:tr>
        <w:tc>
          <w:tcPr>
            <w:tcW w:type="dxa" w:w="680"/>
            <w:tcMar>
              <w:top w:type="dxa" w:w="40"/>
              <w:left w:type="dxa" w:w="80"/>
              <w:bottom w:type="dxa" w:w="40"/>
              <w:right w:type="dxa" w:w="80"/>
            </w:tcMar>
          </w:tcPr>
          <w:p>
            <w:pPr>
              <w:jc w:val="center"/>
            </w:pPr>
            <w:r>
              <w:rPr>
                <w:b w:val="false"/>
                <w:bCs w:val="false"/>
              </w:rPr>
              <w:t xml:space="preserve">/n</w:t>
            </w:r>
          </w:p>
        </w:tc>
        <w:tc>
          <w:tcPr>
            <w:tcW w:type="dxa" w:w="4780"/>
            <w:tcMar>
              <w:top w:type="dxa" w:w="40"/>
              <w:left w:type="dxa" w:w="80"/>
              <w:bottom w:type="dxa" w:w="40"/>
              <w:right w:type="dxa" w:w="80"/>
            </w:tcMar>
          </w:tcPr>
          <w:p>
            <w:pPr>
              <w:jc w:val="left"/>
            </w:pPr>
            <w:r>
              <w:rPr>
                <w:b w:val="false"/>
                <w:bCs w:val="false"/>
              </w:rPr>
              <w:t xml:space="preserve">配信停止・案内ページへ遷移。「管理番号」の“語”はあるが実番号なし（フォーム残存）</w:t>
            </w:r>
          </w:p>
        </w:tc>
        <w:tc>
          <w:tcPr>
            <w:tcW w:type="dxa" w:w="1720"/>
            <w:tcMar>
              <w:top w:type="dxa" w:w="40"/>
              <w:left w:type="dxa" w:w="80"/>
              <w:bottom w:type="dxa" w:w="40"/>
              <w:right w:type="dxa" w:w="80"/>
            </w:tcMar>
          </w:tcPr>
          <w:p>
            <w:pPr>
              <w:jc w:val="center"/>
            </w:pPr>
            <w:r>
              <w:rPr>
                <w:b w:val="false"/>
                <w:bCs w:val="false"/>
              </w:rPr>
              <w:t xml:space="preserve">受付確認</w:t>
            </w:r>
          </w:p>
        </w:tc>
        <w:tc>
          <w:tcPr>
            <w:tcW w:type="dxa" w:w="1720"/>
            <w:tcMar>
              <w:top w:type="dxa" w:w="40"/>
              <w:left w:type="dxa" w:w="80"/>
              <w:bottom w:type="dxa" w:w="40"/>
              <w:right w:type="dxa" w:w="80"/>
            </w:tcMar>
          </w:tcPr>
          <w:p>
            <w:pPr>
              <w:jc w:val="center"/>
            </w:pPr>
            <w:r>
              <w:rPr>
                <w:b w:val="false"/>
                <w:bCs w:val="false"/>
              </w:rPr>
              <w:t xml:space="preserve">送信処理完了（推定）</w:t>
            </w:r>
          </w:p>
        </w:tc>
        <w:tc>
          <w:tcPr>
            <w:tcW w:type="dxa" w:w="700"/>
            <w:tcMar>
              <w:top w:type="dxa" w:w="40"/>
              <w:left w:type="dxa" w:w="80"/>
              <w:bottom w:type="dxa" w:w="40"/>
              <w:right w:type="dxa" w:w="80"/>
            </w:tcMar>
          </w:tcPr>
          <w:p>
            <w:pPr>
              <w:jc w:val="center"/>
            </w:pPr>
            <w:r>
              <w:rPr>
                <w:b w:val="false"/>
                <w:bCs w:val="false"/>
              </w:rPr>
              <w:t xml:space="preserve">○</w:t>
            </w:r>
          </w:p>
        </w:tc>
      </w:tr>
      <w:tr>
        <w:tc>
          <w:tcPr>
            <w:tcW w:type="dxa" w:w="680"/>
            <w:tcMar>
              <w:top w:type="dxa" w:w="40"/>
              <w:left w:type="dxa" w:w="80"/>
              <w:bottom w:type="dxa" w:w="40"/>
              <w:right w:type="dxa" w:w="80"/>
            </w:tcMar>
          </w:tcPr>
          <w:p>
            <w:pPr>
              <w:jc w:val="center"/>
            </w:pPr>
            <w:r>
              <w:rPr>
                <w:b w:val="false"/>
                <w:bCs w:val="false"/>
              </w:rPr>
              <w:t xml:space="preserve">/o</w:t>
            </w:r>
          </w:p>
        </w:tc>
        <w:tc>
          <w:tcPr>
            <w:tcW w:type="dxa" w:w="4780"/>
            <w:tcMar>
              <w:top w:type="dxa" w:w="40"/>
              <w:left w:type="dxa" w:w="80"/>
              <w:bottom w:type="dxa" w:w="40"/>
              <w:right w:type="dxa" w:w="80"/>
            </w:tcMar>
          </w:tcPr>
          <w:p>
            <w:pPr>
              <w:jc w:val="left"/>
            </w:pPr>
            <w:r>
              <w:rPr>
                <w:b w:val="false"/>
                <w:bCs w:val="false"/>
              </w:rPr>
              <w:t xml:space="preserve">送信後に実際の受付番号（数字を含む）が新規表示＋フォーム消失</w:t>
            </w:r>
          </w:p>
        </w:tc>
        <w:tc>
          <w:tcPr>
            <w:tcW w:type="dxa" w:w="1720"/>
            <w:tcMar>
              <w:top w:type="dxa" w:w="40"/>
              <w:left w:type="dxa" w:w="80"/>
              <w:bottom w:type="dxa" w:w="40"/>
              <w:right w:type="dxa" w:w="80"/>
            </w:tcMar>
          </w:tcPr>
          <w:p>
            <w:pPr>
              <w:jc w:val="center"/>
            </w:pPr>
            <w:r>
              <w:rPr>
                <w:b w:val="false"/>
                <w:bCs w:val="false"/>
              </w:rPr>
              <w:t xml:space="preserve">受付確認</w:t>
            </w:r>
          </w:p>
        </w:tc>
        <w:tc>
          <w:tcPr>
            <w:tcW w:type="dxa" w:w="1720"/>
            <w:tcMar>
              <w:top w:type="dxa" w:w="40"/>
              <w:left w:type="dxa" w:w="80"/>
              <w:bottom w:type="dxa" w:w="40"/>
              <w:right w:type="dxa" w:w="80"/>
            </w:tcMar>
          </w:tcPr>
          <w:p>
            <w:pPr>
              <w:jc w:val="center"/>
            </w:pPr>
            <w:r>
              <w:rPr>
                <w:b w:val="false"/>
                <w:bCs w:val="false"/>
              </w:rPr>
              <w:t xml:space="preserve">受付確認</w:t>
            </w:r>
          </w:p>
        </w:tc>
        <w:tc>
          <w:tcPr>
            <w:tcW w:type="dxa" w:w="700"/>
            <w:tcMar>
              <w:top w:type="dxa" w:w="40"/>
              <w:left w:type="dxa" w:w="80"/>
              <w:bottom w:type="dxa" w:w="40"/>
              <w:right w:type="dxa" w:w="80"/>
            </w:tcMar>
          </w:tcPr>
          <w:p>
            <w:pPr>
              <w:jc w:val="center"/>
            </w:pPr>
            <w:r>
              <w:rPr>
                <w:b w:val="false"/>
                <w:bCs w:val="false"/>
              </w:rPr>
              <w:t xml:space="preserve">○</w:t>
            </w:r>
          </w:p>
        </w:tc>
      </w:tr>
      <w:tr>
        <w:tc>
          <w:tcPr>
            <w:tcW w:type="dxa" w:w="680"/>
            <w:tcMar>
              <w:top w:type="dxa" w:w="40"/>
              <w:left w:type="dxa" w:w="80"/>
              <w:bottom w:type="dxa" w:w="40"/>
              <w:right w:type="dxa" w:w="80"/>
            </w:tcMar>
          </w:tcPr>
          <w:p>
            <w:pPr>
              <w:jc w:val="center"/>
            </w:pPr>
            <w:r>
              <w:rPr>
                <w:b w:val="false"/>
                <w:bCs w:val="false"/>
              </w:rPr>
              <w:t xml:space="preserve">/b</w:t>
            </w:r>
          </w:p>
        </w:tc>
        <w:tc>
          <w:tcPr>
            <w:tcW w:type="dxa" w:w="4780"/>
            <w:tcMar>
              <w:top w:type="dxa" w:w="40"/>
              <w:left w:type="dxa" w:w="80"/>
              <w:bottom w:type="dxa" w:w="40"/>
              <w:right w:type="dxa" w:w="80"/>
            </w:tcMar>
          </w:tcPr>
          <w:p>
            <w:pPr>
              <w:jc w:val="left"/>
            </w:pPr>
            <w:r>
              <w:rPr>
                <w:b w:val="false"/>
                <w:bCs w:val="false"/>
              </w:rPr>
              <w:t xml:space="preserve">送信後に実際の受付番号（数字を含む）が新規表示＋フォーム消失（回帰）</w:t>
            </w:r>
          </w:p>
        </w:tc>
        <w:tc>
          <w:tcPr>
            <w:tcW w:type="dxa" w:w="1720"/>
            <w:tcMar>
              <w:top w:type="dxa" w:w="40"/>
              <w:left w:type="dxa" w:w="80"/>
              <w:bottom w:type="dxa" w:w="40"/>
              <w:right w:type="dxa" w:w="80"/>
            </w:tcMar>
          </w:tcPr>
          <w:p>
            <w:pPr>
              <w:jc w:val="center"/>
            </w:pPr>
            <w:r>
              <w:rPr>
                <w:b w:val="false"/>
                <w:bCs w:val="false"/>
              </w:rPr>
              <w:t xml:space="preserve">受付確認</w:t>
            </w:r>
          </w:p>
        </w:tc>
        <w:tc>
          <w:tcPr>
            <w:tcW w:type="dxa" w:w="1720"/>
            <w:tcMar>
              <w:top w:type="dxa" w:w="40"/>
              <w:left w:type="dxa" w:w="80"/>
              <w:bottom w:type="dxa" w:w="40"/>
              <w:right w:type="dxa" w:w="80"/>
            </w:tcMar>
          </w:tcPr>
          <w:p>
            <w:pPr>
              <w:jc w:val="center"/>
            </w:pPr>
            <w:r>
              <w:rPr>
                <w:b w:val="false"/>
                <w:bCs w:val="false"/>
              </w:rPr>
              <w:t xml:space="preserve">受付確認</w:t>
            </w:r>
          </w:p>
        </w:tc>
        <w:tc>
          <w:tcPr>
            <w:tcW w:type="dxa" w:w="700"/>
            <w:tcMar>
              <w:top w:type="dxa" w:w="40"/>
              <w:left w:type="dxa" w:w="80"/>
              <w:bottom w:type="dxa" w:w="40"/>
              <w:right w:type="dxa" w:w="80"/>
            </w:tcMar>
          </w:tcPr>
          <w:p>
            <w:pPr>
              <w:jc w:val="center"/>
            </w:pPr>
            <w:r>
              <w:rPr>
                <w:b w:val="false"/>
                <w:bCs w:val="false"/>
              </w:rPr>
              <w:t xml:space="preserve">○</w:t>
            </w:r>
          </w:p>
        </w:tc>
      </w:tr>
      <w:tr>
        <w:tc>
          <w:tcPr>
            <w:tcW w:type="dxa" w:w="680"/>
            <w:tcMar>
              <w:top w:type="dxa" w:w="40"/>
              <w:left w:type="dxa" w:w="80"/>
              <w:bottom w:type="dxa" w:w="40"/>
              <w:right w:type="dxa" w:w="80"/>
            </w:tcMar>
          </w:tcPr>
          <w:p>
            <w:pPr>
              <w:jc w:val="center"/>
            </w:pPr>
            <w:r>
              <w:rPr>
                <w:b w:val="false"/>
                <w:bCs w:val="false"/>
              </w:rPr>
              <w:t xml:space="preserve">/i</w:t>
            </w:r>
          </w:p>
        </w:tc>
        <w:tc>
          <w:tcPr>
            <w:tcW w:type="dxa" w:w="4780"/>
            <w:tcMar>
              <w:top w:type="dxa" w:w="40"/>
              <w:left w:type="dxa" w:w="80"/>
              <w:bottom w:type="dxa" w:w="40"/>
              <w:right w:type="dxa" w:w="80"/>
            </w:tcMar>
          </w:tcPr>
          <w:p>
            <w:pPr>
              <w:jc w:val="left"/>
            </w:pPr>
            <w:r>
              <w:rPr>
                <w:b w:val="false"/>
                <w:bCs w:val="false"/>
              </w:rPr>
              <w:t xml:space="preserve">受付番号が送信前から表示されている（新規でない・回帰）</w:t>
            </w:r>
          </w:p>
        </w:tc>
        <w:tc>
          <w:tcPr>
            <w:tcW w:type="dxa" w:w="1720"/>
            <w:tcMar>
              <w:top w:type="dxa" w:w="40"/>
              <w:left w:type="dxa" w:w="80"/>
              <w:bottom w:type="dxa" w:w="40"/>
              <w:right w:type="dxa" w:w="80"/>
            </w:tcMar>
          </w:tcPr>
          <w:p>
            <w:pPr>
              <w:jc w:val="center"/>
            </w:pPr>
            <w:r>
              <w:rPr>
                <w:b w:val="false"/>
                <w:bCs w:val="false"/>
              </w:rPr>
              <w:t xml:space="preserve">送信処理完了（推定）</w:t>
            </w:r>
          </w:p>
        </w:tc>
        <w:tc>
          <w:tcPr>
            <w:tcW w:type="dxa" w:w="1720"/>
            <w:tcMar>
              <w:top w:type="dxa" w:w="40"/>
              <w:left w:type="dxa" w:w="80"/>
              <w:bottom w:type="dxa" w:w="40"/>
              <w:right w:type="dxa" w:w="80"/>
            </w:tcMar>
          </w:tcPr>
          <w:p>
            <w:pPr>
              <w:jc w:val="center"/>
            </w:pPr>
            <w:r>
              <w:rPr>
                <w:b w:val="false"/>
                <w:bCs w:val="false"/>
              </w:rPr>
              <w:t xml:space="preserve">送信処理完了（推定）</w:t>
            </w:r>
          </w:p>
        </w:tc>
        <w:tc>
          <w:tcPr>
            <w:tcW w:type="dxa" w:w="700"/>
            <w:tcMar>
              <w:top w:type="dxa" w:w="40"/>
              <w:left w:type="dxa" w:w="80"/>
              <w:bottom w:type="dxa" w:w="40"/>
              <w:right w:type="dxa" w:w="80"/>
            </w:tcMar>
          </w:tcPr>
          <w:p>
            <w:pPr>
              <w:jc w:val="center"/>
            </w:pPr>
            <w:r>
              <w:rPr>
                <w:b w:val="false"/>
                <w:bCs w:val="false"/>
              </w:rPr>
              <w:t xml:space="preserve">○</w:t>
            </w:r>
          </w:p>
        </w:tc>
      </w:tr>
    </w:tbl>
    <w:p>
      <w:pPr>
        <w:spacing w:after="40"/>
      </w:pPr>
      <w:r>
        <w:t xml:space="preserve"/>
      </w:r>
    </w:p>
    <w:p>
      <w:pPr>
        <w:spacing w:after="90"/>
      </w:pPr>
      <w:r>
        <w:t xml:space="preserve">ご指摘に相当する /m・/n は、修正前は「受付確認」となり得ましたが、修正後はいずれも「送信処理完了（推定）」となります。一方、実際の受付番号が新規表示された /o、および従来どおりの /b は「受付確認」を維持しており、正常系に影響がないことを確認しています。</w:t>
      </w:r>
    </w:p>
    <w:p>
      <w:pPr>
        <w:pStyle w:val="Heading1"/>
      </w:pPr>
      <w:r>
        <w:t xml:space="preserve">5. 本番運用について</w:t>
      </w:r>
    </w:p>
    <w:p>
      <w:pPr>
        <w:pStyle w:val="ListParagraph"/>
        <w:numPr>
          <w:ilvl w:val="0"/>
          <w:numId w:val="1"/>
        </w:numPr>
        <w:spacing w:after="60"/>
      </w:pPr>
      <w:r>
        <w:t xml:space="preserve">本修正により、受付番号を発行しないフォーム（完了画面に番号が出ないフォーム）は、「受付確認」ではなく「送信処理完了（推定）」として記録されます。これは実態に即した、より厳密な記録です。</w:t>
      </w:r>
    </w:p>
    <w:p>
      <w:pPr>
        <w:pStyle w:val="ListParagraph"/>
        <w:numPr>
          <w:ilvl w:val="0"/>
          <w:numId w:val="1"/>
        </w:numPr>
        <w:spacing w:after="60"/>
      </w:pPr>
      <w:r>
        <w:t xml:space="preserve">「送信処理完了（推定）」は失敗ではなく、送信操作そのものは完了しています。受付の確証（受付番号・完了ページ等）が取れていないことを表します。</w:t>
      </w:r>
    </w:p>
    <w:p>
      <w:pPr>
        <w:pBdr>
          <w:top w:val="single" w:color="BF9000" w:sz="6"/>
          <w:left w:val="single" w:color="BF9000" w:sz="6"/>
          <w:bottom w:val="single" w:color="BF9000" w:sz="6"/>
          <w:right w:val="single" w:color="BF9000" w:sz="6"/>
        </w:pBdr>
        <w:shd w:fill="FFF2CC" w:color="auto" w:val="clear"/>
        <w:spacing w:after="100" w:before="100"/>
      </w:pPr>
      <w:r>
        <w:rPr>
          <w:b/>
          <w:bCs/>
        </w:rPr>
        <w:t xml:space="preserve">「受付確認」はフォーム上の完了表示・受付番号等に基づく確認であり、先方へのメール到達・対応完了を保証するものではありません。</w:t>
      </w:r>
    </w:p>
    <w:p>
      <w:pPr>
        <w:pStyle w:val="Heading1"/>
      </w:pPr>
      <w:r>
        <w:t xml:space="preserve">6. 対象ファイル（SHA-256）</w:t>
      </w:r>
    </w:p>
    <w:p>
      <w:pPr>
        <w:spacing w:after="90"/>
      </w:pPr>
      <w:r>
        <w:t xml:space="preserve">修正版 ListersForm.exe</w:t>
      </w:r>
    </w:p>
    <w:p>
      <w:pPr>
        <w:spacing w:after="90"/>
      </w:pPr>
      <w:r>
        <w:rPr>
          <w:rFonts w:ascii="Consolas" w:cs="Consolas" w:eastAsia="Consolas" w:hAnsi="Consolas"/>
          <w:sz w:val="20"/>
          <w:szCs w:val="20"/>
        </w:rPr>
        <w:t xml:space="preserve">13c223f82ed067222e217e9e8b6073b1a30ccb85afe25bc61241f77ff0ae68fd</w:t>
      </w:r>
    </w:p>
    <w:p>
      <w:pPr>
        <w:spacing w:after="90" w:before="60"/>
      </w:pPr>
      <w:r>
        <w:t xml:space="preserve">PowerShell で次を実行し、表示されたハッシュが上記と一致することをご確認いただけます。</w:t>
      </w:r>
    </w:p>
    <w:p>
      <w:pPr>
        <w:spacing w:after="90"/>
      </w:pPr>
      <w:r>
        <w:rPr>
          <w:rFonts w:ascii="Consolas" w:cs="Consolas" w:eastAsia="Consolas" w:hAnsi="Consolas"/>
          <w:sz w:val="20"/>
          <w:szCs w:val="20"/>
        </w:rPr>
        <w:t xml:space="preserve">Get-FileHash .\ListersForm.exe -Algorithm SHA256</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pPr>
        <w:spacing w:line="3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10" w:before="240"/>
    </w:pPr>
    <w:rPr>
      <w:rFonts w:ascii="Yu Gothic" w:cs="Yu Gothic" w:eastAsia="Yu Gothic" w:hAnsi="Yu Gothic"/>
      <w:b/>
      <w:bCs/>
      <w:color w:val="1F4E79"/>
      <w:sz w:val="26"/>
      <w:szCs w:val="2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受付番号判定の是正に関する追補報告書</dc:title>
  <dc:creator>福猫1</dc:creator>
  <cp:lastModifiedBy>Un-named</cp:lastModifiedBy>
  <cp:revision>1</cp:revision>
  <dcterms:created xsi:type="dcterms:W3CDTF">2026-10-13T09:27:56.022Z</dcterms:created>
  <dcterms:modified xsi:type="dcterms:W3CDTF">2026-10-13T09:27:56.023Z</dcterms:modified>
</cp:coreProperties>
</file>

<file path=docProps/custom.xml><?xml version="1.0" encoding="utf-8"?>
<Properties xmlns="http://schemas.openxmlformats.org/officeDocument/2006/custom-properties" xmlns:vt="http://schemas.openxmlformats.org/officeDocument/2006/docPropsVTypes"/>
</file>