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3DFA9">
      <w:pPr>
        <w:pStyle w:val="2"/>
        <w:spacing w:before="360" w:after="180" w:line="276" w:lineRule="auto"/>
      </w:pPr>
      <w:r>
        <w:rPr>
          <w:b/>
          <w:bCs/>
          <w:color w:val="2E74B5"/>
          <w:sz w:val="32"/>
          <w:szCs w:val="32"/>
        </w:rPr>
        <w:t>ChronaApp · 前端单元测试报告</w:t>
      </w:r>
    </w:p>
    <w:p w14:paraId="3A80913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：V1.2</w:t>
      </w:r>
    </w:p>
    <w:p w14:paraId="32161C6D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：2026-05-05</w:t>
      </w:r>
    </w:p>
    <w:p w14:paraId="19AA6EE1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：frontend/src 目录前端单元测试</w:t>
      </w:r>
    </w:p>
    <w:p w14:paraId="4F5696E7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测试框架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：Vitest 3 + Testing Library + jsdom</w:t>
      </w:r>
    </w:p>
    <w:p w14:paraId="10A88BD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维护团队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Azalea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开发团队</w:t>
      </w:r>
    </w:p>
    <w:p w14:paraId="463421F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58BA9D5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文档概述</w:t>
      </w:r>
    </w:p>
    <w:p w14:paraId="0D5FCA37">
      <w:pPr>
        <w:spacing w:before="120" w:after="120" w:line="360" w:lineRule="auto"/>
      </w:pPr>
      <w:r>
        <w:t xml:space="preserve">本报告汇总前端 </w:t>
      </w:r>
      <w:r>
        <w:rPr>
          <w:b/>
          <w:bCs/>
        </w:rPr>
        <w:t>单元测试与覆盖率</w:t>
      </w:r>
      <w:r>
        <w:t xml:space="preserve"> 的现状，并给出 </w:t>
      </w:r>
      <w:r>
        <w:rPr>
          <w:b/>
          <w:bCs/>
        </w:rPr>
        <w:t>配置说明、目录结构、Mock 思路与常见问题</w:t>
      </w:r>
      <w:r>
        <w:t>，便于代码评审、发版说明或 CI 对照。</w:t>
      </w:r>
    </w:p>
    <w:p w14:paraId="54FA8F95">
      <w:pPr>
        <w:spacing w:before="120" w:after="120" w:line="360" w:lineRule="auto"/>
      </w:pPr>
      <w:r>
        <w:rPr>
          <w:b/>
          <w:bCs/>
        </w:rPr>
        <w:t>测试分层（建议）</w:t>
      </w:r>
      <w:r>
        <w:t>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2"/>
        <w:gridCol w:w="2588"/>
        <w:gridCol w:w="6076"/>
      </w:tblGrid>
      <w:tr w14:paraId="765C33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AB015F">
            <w:pPr>
              <w:jc w:val="left"/>
            </w:pPr>
            <w:r>
              <w:rPr>
                <w:color w:val="000000"/>
              </w:rPr>
              <w:t>层级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5F62F9">
            <w:pPr>
              <w:jc w:val="left"/>
            </w:pPr>
            <w:r>
              <w:rPr>
                <w:color w:val="000000"/>
              </w:rPr>
              <w:t>工具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3F6A59">
            <w:pPr>
              <w:jc w:val="left"/>
            </w:pPr>
            <w:r>
              <w:rPr>
                <w:color w:val="000000"/>
              </w:rPr>
              <w:t>典型覆盖对象</w:t>
            </w:r>
          </w:p>
        </w:tc>
      </w:tr>
      <w:tr w14:paraId="2A4B5C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A4424B">
            <w:pPr>
              <w:jc w:val="left"/>
            </w:pPr>
            <w:r>
              <w:t>单元测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11C37C">
            <w:pPr>
              <w:jc w:val="left"/>
            </w:pPr>
            <w:r>
              <w:t>Vitest + Testing Library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3EBA4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lib/</w:t>
            </w:r>
            <w:r>
              <w:t xml:space="preserve"> 工具、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features/*/api.ts</w:t>
            </w:r>
            <w:r>
              <w:t xml:space="preserve"> 请求封装、纯函数（如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groupAssignableRowsToTrackProjects</w:t>
            </w:r>
            <w:r>
              <w:t>）</w:t>
            </w:r>
          </w:p>
        </w:tc>
      </w:tr>
      <w:tr w14:paraId="2C1941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F8FFA9">
            <w:pPr>
              <w:jc w:val="left"/>
            </w:pPr>
            <w:r>
              <w:t>组件测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BC2CAF">
            <w:pPr>
              <w:jc w:val="left"/>
            </w:pPr>
            <w:r>
              <w:t xml:space="preserve">Vitest + jsdom +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@testing-library/react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889CFF">
            <w:pPr>
              <w:jc w:val="left"/>
            </w:pPr>
            <w:r>
              <w:t>关键页面加载、表单交互（当前仅 tasks 页有示例）</w:t>
            </w:r>
          </w:p>
        </w:tc>
      </w:tr>
      <w:tr w14:paraId="6DC5C5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2B42A8">
            <w:pPr>
              <w:jc w:val="left"/>
            </w:pPr>
            <w:r>
              <w:t>端到端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1AEDE">
            <w:pPr>
              <w:jc w:val="left"/>
            </w:pPr>
            <w:r>
              <w:t>Playwright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5EE8FF">
            <w:pPr>
              <w:jc w:val="left"/>
            </w:pPr>
            <w:r>
              <w:t xml:space="preserve">登录、导航、关键业务流程（见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e2e/</w:t>
            </w:r>
            <w:r>
              <w:t xml:space="preserve"> 与 E2E 文档）</w:t>
            </w:r>
          </w:p>
        </w:tc>
      </w:tr>
    </w:tbl>
    <w:p w14:paraId="76A0FF2F">
      <w:pPr>
        <w:spacing w:before="120" w:after="120" w:line="360" w:lineRule="auto"/>
      </w:pPr>
      <w:r>
        <w:rPr>
          <w:b/>
          <w:bCs/>
        </w:rPr>
        <w:t xml:space="preserve">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单元测试说明.md</w:t>
      </w:r>
      <w:r>
        <w:rPr>
          <w:b/>
          <w:bCs/>
        </w:rPr>
        <w:t xml:space="preserve"> 的关系</w:t>
      </w:r>
      <w:r>
        <w:t xml:space="preserve">：说明文档偏 </w:t>
      </w:r>
      <w:r>
        <w:rPr>
          <w:b/>
          <w:bCs/>
        </w:rPr>
        <w:t>日常开发速查</w:t>
      </w:r>
      <w:r>
        <w:t xml:space="preserve">；本报告偏 </w:t>
      </w:r>
      <w:r>
        <w:rPr>
          <w:b/>
          <w:bCs/>
        </w:rPr>
        <w:t>某次里程碑下的执行数据、配置逐项解释与问题排查</w:t>
      </w:r>
      <w:r>
        <w:t>，两者可交叉引用。</w:t>
      </w:r>
    </w:p>
    <w:p w14:paraId="21EFA741">
      <w:pPr>
        <w:spacing w:before="120" w:after="120" w:line="360" w:lineRule="auto"/>
      </w:pPr>
      <w:r>
        <w:t xml:space="preserve">建议在较大范围补充用例或发版前执行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test:run</w:t>
      </w:r>
      <w:r>
        <w:t xml:space="preserve"> 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test:coverage</w:t>
      </w:r>
      <w:r>
        <w:t xml:space="preserve">，并更新本文 </w:t>
      </w:r>
      <w:r>
        <w:rPr>
          <w:b/>
          <w:bCs/>
        </w:rPr>
        <w:t>「测试执行摘要」「覆盖率摘要」「详细用例清单」</w:t>
      </w:r>
      <w:r>
        <w:t xml:space="preserve"> 中的数字与日期。</w:t>
      </w:r>
    </w:p>
    <w:p w14:paraId="3A0B133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281BDF2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1. 技术栈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2"/>
        <w:gridCol w:w="5844"/>
      </w:tblGrid>
      <w:tr w14:paraId="1266DC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911D97">
            <w:pPr>
              <w:jc w:val="left"/>
            </w:pPr>
            <w:r>
              <w:rPr>
                <w:color w:val="000000"/>
              </w:rPr>
              <w:t>组件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6C0104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66EFA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94D68C">
            <w:pPr>
              <w:jc w:val="left"/>
            </w:pPr>
            <w:r>
              <w:rPr>
                <w:b/>
                <w:bCs/>
              </w:rPr>
              <w:t>Vitest 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FE48F4">
            <w:pPr>
              <w:jc w:val="left"/>
            </w:pPr>
            <w:r>
              <w:t>与 Vite 同构的测试运行器；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test</w:t>
            </w:r>
            <w:r>
              <w:t xml:space="preserve"> 为 watch，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test:run</w:t>
            </w:r>
            <w:r>
              <w:t xml:space="preserve"> 为单次 CI 式执行</w:t>
            </w:r>
          </w:p>
        </w:tc>
      </w:tr>
      <w:tr w14:paraId="0CA2D1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E9A51F">
            <w:pPr>
              <w:jc w:val="left"/>
            </w:pPr>
            <w:r>
              <w:rPr>
                <w:b/>
                <w:bCs/>
              </w:rPr>
              <w:t>@vitest/coverage-v8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0CBA85">
            <w:pPr>
              <w:jc w:val="left"/>
            </w:pPr>
            <w:r>
              <w:t>V8 覆盖率，与 Vitest 主版本对齐</w:t>
            </w:r>
          </w:p>
        </w:tc>
      </w:tr>
      <w:tr w14:paraId="596D08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791067">
            <w:pPr>
              <w:jc w:val="left"/>
            </w:pPr>
            <w:r>
              <w:rPr>
                <w:b/>
                <w:bCs/>
              </w:rPr>
              <w:t>jsdom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F21972">
            <w:pPr>
              <w:jc w:val="left"/>
            </w:pPr>
            <w:r>
              <w:t>在 Node 中模拟 DOM，供组件测试使用</w:t>
            </w:r>
          </w:p>
        </w:tc>
      </w:tr>
      <w:tr w14:paraId="4E528C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7CE5A5">
            <w:pPr>
              <w:jc w:val="left"/>
            </w:pPr>
            <w:r>
              <w:rPr>
                <w:b/>
                <w:bCs/>
              </w:rPr>
              <w:t>@testing-library/react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3E286A">
            <w:pPr>
              <w:jc w:val="left"/>
            </w:pPr>
            <w:r>
              <w:t>以角色/文本等方式查询组件，贴近用户视角</w:t>
            </w:r>
          </w:p>
        </w:tc>
      </w:tr>
      <w:tr w14:paraId="2BA000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55DBD9">
            <w:pPr>
              <w:jc w:val="left"/>
            </w:pPr>
            <w:r>
              <w:rPr>
                <w:b/>
                <w:bCs/>
              </w:rPr>
              <w:t>@testing-library/jest-dom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1E47AC">
            <w:pPr>
              <w:jc w:val="left"/>
            </w:pPr>
            <w:r>
              <w:t xml:space="preserve">扩展断言（如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toBeInTheDocument()</w:t>
            </w:r>
            <w:r>
              <w:t xml:space="preserve">），在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vitest.setup.ts</w:t>
            </w:r>
            <w:r>
              <w:t xml:space="preserve"> 中引入</w:t>
            </w:r>
          </w:p>
        </w:tc>
      </w:tr>
      <w:tr w14:paraId="4B577C4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4A1984">
            <w:pPr>
              <w:jc w:val="left"/>
            </w:pPr>
            <w:r>
              <w:rPr>
                <w:b/>
                <w:bCs/>
              </w:rPr>
              <w:t>@testing-library/user-event</w:t>
            </w:r>
            <w:r>
              <w:t>（可选）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2DD175">
            <w:pPr>
              <w:jc w:val="left"/>
            </w:pPr>
            <w:r>
              <w:t>模拟点击、输入等交互</w:t>
            </w:r>
          </w:p>
        </w:tc>
      </w:tr>
    </w:tbl>
    <w:p w14:paraId="0EA1DC56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5DE82EE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2. 配置说明（Vitest / Vite）</w:t>
      </w:r>
    </w:p>
    <w:p w14:paraId="7109B3C4">
      <w:pPr>
        <w:spacing w:before="120" w:after="120" w:line="360" w:lineRule="auto"/>
      </w:pPr>
      <w:r>
        <w:t xml:space="preserve">配置集中在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frontend/vite.config.ts</w:t>
      </w:r>
      <w:r>
        <w:t xml:space="preserve">，使用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defineConfig</w:t>
      </w:r>
      <w:r>
        <w:t xml:space="preserve"> 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</w:t>
      </w:r>
      <w:r>
        <w:t xml:space="preserve"> 字段（由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vitest/config</w:t>
      </w:r>
      <w:r>
        <w:t xml:space="preserve"> 提供类型）。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7"/>
        <w:gridCol w:w="3084"/>
        <w:gridCol w:w="2515"/>
      </w:tblGrid>
      <w:tr w14:paraId="557AE6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FDC95C">
            <w:pPr>
              <w:jc w:val="left"/>
            </w:pPr>
            <w:r>
              <w:rPr>
                <w:color w:val="000000"/>
              </w:rPr>
              <w:t>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52EB68">
            <w:pPr>
              <w:jc w:val="left"/>
            </w:pPr>
            <w:r>
              <w:rPr>
                <w:color w:val="000000"/>
              </w:rPr>
              <w:t>当前行为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AC8678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7AAB31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A6669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test.environment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58A38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jsdom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4EECE3">
            <w:pPr>
              <w:jc w:val="left"/>
            </w:pPr>
            <w:r>
              <w:t xml:space="preserve">组件测试需要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document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window</w:t>
            </w:r>
            <w:r>
              <w:t xml:space="preserve"> 等</w:t>
            </w:r>
          </w:p>
        </w:tc>
      </w:tr>
      <w:tr w14:paraId="5330DB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3F37F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test.setupFiles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29B1A9">
            <w:pPr>
              <w:jc w:val="left"/>
            </w:pPr>
            <w:r>
              <w:t xml:space="preserve">绝对路径指向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vitest.setup.ts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37B1CA">
            <w:pPr>
              <w:jc w:val="left"/>
            </w:pPr>
            <w:r>
              <w:t xml:space="preserve">全局注册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@testing-library/jest-dom/vitest</w:t>
            </w:r>
          </w:p>
        </w:tc>
      </w:tr>
      <w:tr w14:paraId="4679AB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3C78F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test.include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39AB4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src/**/*.test.ts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src/**/*.test.tsx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A4D63A">
            <w:pPr>
              <w:jc w:val="left"/>
            </w:pPr>
            <w:r>
              <w:t xml:space="preserve">仅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</w:t>
            </w:r>
            <w:r>
              <w:t xml:space="preserve"> 下匹配文件；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e2e/</w:t>
            </w:r>
            <w:r>
              <w:t xml:space="preserve"> 不参与 Vitest</w:t>
            </w:r>
          </w:p>
        </w:tc>
      </w:tr>
      <w:tr w14:paraId="513A03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EF8E8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test.coverage.provider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A3AF8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58BBA3">
            <w:pPr>
              <w:jc w:val="left"/>
            </w:pPr>
            <w:r>
              <w:t xml:space="preserve">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@vitest/coverage-v8</w:t>
            </w:r>
            <w:r>
              <w:t xml:space="preserve"> 一致</w:t>
            </w:r>
          </w:p>
        </w:tc>
      </w:tr>
      <w:tr w14:paraId="41D1AE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4319F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test.coverage.reporter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41D65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text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html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BE2F60">
            <w:pPr>
              <w:jc w:val="left"/>
            </w:pPr>
            <w:r>
              <w:t>终端摘要 + 浏览器 HTML + 机器可读 JSON</w:t>
            </w:r>
          </w:p>
        </w:tc>
      </w:tr>
      <w:tr w14:paraId="5FC41A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1AED9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test.coverage.reportsDirectory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2633F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frontend/coverage/</w:t>
            </w:r>
            <w:r>
              <w:t>（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path.resolve(__dirname, 'coverage')</w:t>
            </w:r>
            <w:r>
              <w:t>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E10EF4">
            <w:pPr>
              <w:jc w:val="left"/>
            </w:pPr>
            <w:r>
              <w:t xml:space="preserve">HTML 入口一般为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coverage/index.html</w:t>
            </w:r>
          </w:p>
        </w:tc>
      </w:tr>
      <w:tr w14:paraId="43CFDC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417DC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resolve.alias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38BFE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@</w:t>
            </w:r>
            <w:r>
              <w:rPr>
                <w:b/>
                <w:bCs/>
              </w:rPr>
              <w:t xml:space="preserve"> →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./src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BEA33D">
            <w:pPr>
              <w:jc w:val="left"/>
            </w:pPr>
            <w:r>
              <w:t xml:space="preserve">与业务代码一致；测试中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vi.mock('@/lib/...')</w:t>
            </w:r>
            <w:r>
              <w:t xml:space="preserve"> 依赖该别名</w:t>
            </w:r>
          </w:p>
        </w:tc>
      </w:tr>
    </w:tbl>
    <w:p w14:paraId="07E691CB">
      <w:pPr>
        <w:spacing w:before="120" w:after="120" w:line="360" w:lineRule="auto"/>
      </w:pPr>
      <w:r>
        <w:rPr>
          <w:b/>
          <w:bCs/>
        </w:rPr>
        <w:t xml:space="preserve">环境变量与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import.meta.env</w:t>
      </w:r>
      <w:r>
        <w:t xml:space="preserve">：业务侧通过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src/lib/api/public-env.ts</w:t>
      </w:r>
      <w:r>
        <w:t xml:space="preserve"> 读取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VITE_API_BASE_URL</w:t>
      </w:r>
      <w:r>
        <w:t xml:space="preserve">。在 Vitest 中可使用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vi.stubEnv('VITE_API_BASE_URL', ...)</w:t>
      </w:r>
      <w:r>
        <w:t xml:space="preserve"> 配合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vi.resetModules()</w:t>
      </w:r>
      <w:r>
        <w:t xml:space="preserve"> 与动态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import()</w:t>
      </w:r>
      <w:r>
        <w:t xml:space="preserve"> 做隔离测试（见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public-env.test.ts</w:t>
      </w:r>
      <w:r>
        <w:t>）。</w:t>
      </w:r>
    </w:p>
    <w:p w14:paraId="1E250F21">
      <w:pPr>
        <w:spacing w:before="120" w:after="120" w:line="360" w:lineRule="auto"/>
      </w:pPr>
      <w:r>
        <w:rPr>
          <w:b/>
          <w:bCs/>
        </w:rPr>
        <w:t>npm 脚本中的覆盖率收窄</w:t>
      </w:r>
      <w:r>
        <w:t>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test:coverage:tasks</w:t>
      </w:r>
      <w:r>
        <w:t xml:space="preserve"> 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--coverage.include=src/features/tasks/**</w:t>
      </w:r>
      <w:r>
        <w:t xml:space="preserve"> 并限定路径为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src/features/tasks</w:t>
      </w:r>
      <w:r>
        <w:t>，适合按模块迭代时不被全仓未测文件拉低观感。</w:t>
      </w:r>
    </w:p>
    <w:p w14:paraId="64434AE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299ECF8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3. npm 脚本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5"/>
        <w:gridCol w:w="5531"/>
      </w:tblGrid>
      <w:tr w14:paraId="28C23B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B3AF88">
            <w:pPr>
              <w:jc w:val="left"/>
            </w:pPr>
            <w:r>
              <w:rPr>
                <w:color w:val="000000"/>
              </w:rPr>
              <w:t>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6A2A8F">
            <w:pPr>
              <w:jc w:val="left"/>
            </w:pPr>
            <w:r>
              <w:rPr>
                <w:color w:val="000000"/>
              </w:rPr>
              <w:t>作用</w:t>
            </w:r>
          </w:p>
        </w:tc>
      </w:tr>
      <w:tr w14:paraId="671327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EB09E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test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A14658">
            <w:pPr>
              <w:jc w:val="left"/>
            </w:pPr>
            <w:r>
              <w:t xml:space="preserve">Vitest </w:t>
            </w:r>
            <w:r>
              <w:rPr>
                <w:b/>
                <w:bCs/>
              </w:rPr>
              <w:t>watch</w:t>
            </w:r>
            <w:r>
              <w:t xml:space="preserve"> 模式</w:t>
            </w:r>
          </w:p>
        </w:tc>
      </w:tr>
      <w:tr w14:paraId="73E82A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2ACED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test:run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A31118">
            <w:pPr>
              <w:jc w:val="left"/>
            </w:pPr>
            <w:r>
              <w:rPr>
                <w:b/>
                <w:bCs/>
              </w:rPr>
              <w:t>单次</w:t>
            </w:r>
            <w:r>
              <w:t>跑完全部单测（适合 CI / 提交前）</w:t>
            </w:r>
          </w:p>
        </w:tc>
      </w:tr>
      <w:tr w14:paraId="3FBDFB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EC9F8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56BCE6">
            <w:pPr>
              <w:jc w:val="left"/>
            </w:pPr>
            <w:r>
              <w:t xml:space="preserve">仅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src/features/tasks</w:t>
            </w:r>
            <w:r>
              <w:t xml:space="preserve"> 下用例，</w:t>
            </w:r>
            <w:r>
              <w:rPr>
                <w:b/>
                <w:bCs/>
              </w:rPr>
              <w:t>不</w:t>
            </w:r>
            <w:r>
              <w:t>收集覆盖率</w:t>
            </w:r>
          </w:p>
        </w:tc>
      </w:tr>
      <w:tr w14:paraId="0A8B58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C65D5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test:coverage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4F921E">
            <w:pPr>
              <w:jc w:val="left"/>
            </w:pPr>
            <w:r>
              <w:t>全量单测 + 覆盖率</w:t>
            </w:r>
          </w:p>
        </w:tc>
      </w:tr>
      <w:tr w14:paraId="31F978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2960A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test:coverage:tasks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6A1820">
            <w:pPr>
              <w:jc w:val="left"/>
            </w:pPr>
            <w:r>
              <w:t>仅 tasks 相关源码纳入覆盖率统计</w:t>
            </w:r>
          </w:p>
        </w:tc>
      </w:tr>
    </w:tbl>
    <w:p w14:paraId="0E827998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96E7363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4. 项目文件结构（与测试相关）</w:t>
      </w:r>
    </w:p>
    <w:p w14:paraId="4269F71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frontend/</w:t>
      </w:r>
    </w:p>
    <w:p w14:paraId="1E7C272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vite.config.ts              # Vite 构建 + Vitest test / coverage</w:t>
      </w:r>
    </w:p>
    <w:p w14:paraId="0A3078F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vitest.setup.ts             # 全局 setup（jest-dom）</w:t>
      </w:r>
    </w:p>
    <w:p w14:paraId="37ACA09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package.json                # test / test:run / test:coverage*</w:t>
      </w:r>
    </w:p>
    <w:p w14:paraId="3C7DEA0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coverage/                   # test:coverage 生成（通常 gitignore）</w:t>
      </w:r>
    </w:p>
    <w:p w14:paraId="762D304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e2e/                        # Playwright，非 Vitest include</w:t>
      </w:r>
    </w:p>
    <w:p w14:paraId="52BAD30F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└── src/</w:t>
      </w:r>
    </w:p>
    <w:p w14:paraId="6CE62B6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├── lib/</w:t>
      </w:r>
    </w:p>
    <w:p w14:paraId="5C8C841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├── utils.ts</w:t>
      </w:r>
    </w:p>
    <w:p w14:paraId="25CF751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├── utils.test.ts              # cn / tailwind-merge</w:t>
      </w:r>
    </w:p>
    <w:p w14:paraId="38ED243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├── currencies.ts</w:t>
      </w:r>
    </w:p>
    <w:p w14:paraId="3A8004C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├── currencies.test.ts</w:t>
      </w:r>
    </w:p>
    <w:p w14:paraId="2AF8ACE9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├── api/</w:t>
      </w:r>
    </w:p>
    <w:p w14:paraId="7D7228CD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│   ├── http.ts</w:t>
      </w:r>
    </w:p>
    <w:p w14:paraId="69DA19F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│   ├── http.test.ts           # apiRequest + fetch mock</w:t>
      </w:r>
    </w:p>
    <w:p w14:paraId="1AFE285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│   ├── public-env.ts</w:t>
      </w:r>
    </w:p>
    <w:p w14:paraId="714D202A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│   └── public-env.test.ts</w:t>
      </w:r>
    </w:p>
    <w:p w14:paraId="464A4FA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└── auth/</w:t>
      </w:r>
    </w:p>
    <w:p w14:paraId="2C9AE605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    ├── access-token.ts</w:t>
      </w:r>
    </w:p>
    <w:p w14:paraId="3110915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    ├── access-token.test.ts</w:t>
      </w:r>
    </w:p>
    <w:p w14:paraId="0E21382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    ├── jwt-payload.ts</w:t>
      </w:r>
    </w:p>
    <w:p w14:paraId="65B0B3C8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│       └── jwt-payload.test.ts</w:t>
      </w:r>
    </w:p>
    <w:p w14:paraId="6142443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└── features/</w:t>
      </w:r>
    </w:p>
    <w:p w14:paraId="23A8FC3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├── auth/api.test.ts           # 扩充：注册 / 重置 / 改密</w:t>
      </w:r>
    </w:p>
    <w:p w14:paraId="298E1654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├── tasks/</w:t>
      </w:r>
    </w:p>
    <w:p w14:paraId="23350AD1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│   ├── api.test.ts            # 扩充：CRUD / 批量归档</w:t>
      </w:r>
    </w:p>
    <w:p w14:paraId="08E7CC5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│   └── pages/tasks-page.test.tsx</w:t>
      </w:r>
    </w:p>
    <w:p w14:paraId="573FFEBE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├── clients/api.test.ts        # 扩充：组织上下文、创建/更新客户</w:t>
      </w:r>
    </w:p>
    <w:p w14:paraId="66982C6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├── time/api.test.ts           # 扩充：填报、周操作、计时器等</w:t>
      </w:r>
    </w:p>
    <w:p w14:paraId="5259454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  └── …（其它 feature 的 api.test.ts）</w:t>
      </w:r>
    </w:p>
    <w:p w14:paraId="07A4BDF0">
      <w:pPr>
        <w:spacing w:before="120" w:after="120" w:line="360" w:lineRule="auto"/>
      </w:pPr>
      <w:r>
        <w:rPr>
          <w:b/>
          <w:bCs/>
        </w:rPr>
        <w:t>约定</w:t>
      </w:r>
      <w:r>
        <w:t xml:space="preserve">：与源文件同目录的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*.test.ts</w:t>
      </w:r>
      <w: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*.test.tsx</w:t>
      </w:r>
      <w:r>
        <w:t>，命名清晰、便于评审时成对阅读。</w:t>
      </w:r>
    </w:p>
    <w:p w14:paraId="6E7025AF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C42C3E7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5. Mock 策略（摘要）</w:t>
      </w:r>
    </w:p>
    <w:p w14:paraId="21EC3579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features/*/api.ts</w:t>
      </w:r>
      <w:r>
        <w:t xml:space="preserve">：对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@/lib/api/http</w:t>
      </w:r>
      <w:r>
        <w:t xml:space="preserve"> 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vi.mock</w:t>
      </w:r>
      <w:r>
        <w:t xml:space="preserve">，将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apiRequest</w:t>
      </w:r>
      <w:r>
        <w:t xml:space="preserve"> 设为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vi.fn()</w:t>
      </w:r>
      <w:r>
        <w:t xml:space="preserve">，用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mockResolvedValue</w:t>
      </w:r>
      <w:r>
        <w:t xml:space="preserve"> 断言路径、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method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body</w:t>
      </w:r>
      <w:r>
        <w:t xml:space="preserve"> 及请求头；</w:t>
      </w:r>
      <w:r>
        <w:rPr>
          <w:b/>
          <w:bCs/>
        </w:rPr>
        <w:t>不发起真实 fetch</w:t>
      </w:r>
      <w:r>
        <w:t>。</w:t>
      </w:r>
    </w:p>
    <w:p w14:paraId="1DDE724A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lib/api/http.ts</w:t>
      </w:r>
      <w:r>
        <w:t xml:space="preserve">：对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fetch</w:t>
      </w:r>
      <w:r>
        <w:t xml:space="preserve"> 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vi.stubGlobal('fetch', vi.fn())</w:t>
      </w:r>
      <w:r>
        <w:t xml:space="preserve">，并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vi.mock</w:t>
      </w:r>
      <w:r>
        <w:t xml:space="preserve">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getPublicApiBaseUrl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getAccessToken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clearAccessToken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notifyAuthExpired</w:t>
      </w:r>
      <w:r>
        <w:t xml:space="preserve">，验证 JSON 解析、401 清理 token、错误体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message</w:t>
      </w:r>
      <w:r>
        <w:t xml:space="preserve"> 等分支。</w:t>
      </w:r>
    </w:p>
    <w:p w14:paraId="45DA6AA3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bcrypt / 外部 SDK</w:t>
      </w:r>
      <w:r>
        <w:t xml:space="preserve">：前端不在此仓库做单测；认证相关仅测 </w:t>
      </w:r>
      <w:r>
        <w:rPr>
          <w:b/>
          <w:bCs/>
        </w:rPr>
        <w:t>请求拼装</w:t>
      </w:r>
      <w:r>
        <w:t>。</w:t>
      </w:r>
    </w:p>
    <w:p w14:paraId="5C217C32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b/>
          <w:bCs/>
        </w:rPr>
        <w:t>带 TanStack Query 的页面</w:t>
      </w:r>
      <w:r>
        <w:t xml:space="preserve">：使用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QueryClientProvider</w:t>
      </w:r>
      <w:r>
        <w:t xml:space="preserve">，可调低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queries.retry</w:t>
      </w:r>
      <w:r>
        <w:t xml:space="preserve">；可对具体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api</w:t>
      </w:r>
      <w:r>
        <w:t xml:space="preserve"> 模块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vi.mock(..., importOriginal)</w:t>
      </w:r>
      <w:r>
        <w:t xml:space="preserve"> 局部替换。</w:t>
      </w:r>
    </w:p>
    <w:p w14:paraId="3F1A7CB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F0F97B4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6. 常见问题排查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3"/>
        <w:gridCol w:w="2543"/>
        <w:gridCol w:w="4130"/>
      </w:tblGrid>
      <w:tr w14:paraId="2F97DD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835A2C">
            <w:pPr>
              <w:jc w:val="left"/>
            </w:pPr>
            <w:r>
              <w:rPr>
                <w:color w:val="000000"/>
              </w:rPr>
              <w:t>现象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C3591D">
            <w:pPr>
              <w:jc w:val="left"/>
            </w:pPr>
            <w:r>
              <w:rPr>
                <w:color w:val="000000"/>
              </w:rPr>
              <w:t>可能原因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3E1446">
            <w:pPr>
              <w:jc w:val="left"/>
            </w:pPr>
            <w:r>
              <w:rPr>
                <w:color w:val="000000"/>
              </w:rPr>
              <w:t>处理建议</w:t>
            </w:r>
          </w:p>
        </w:tc>
      </w:tr>
      <w:tr w14:paraId="7C88EF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70ACA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 test files found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42EACF">
            <w:pPr>
              <w:jc w:val="left"/>
            </w:pPr>
            <w:r>
              <w:t xml:space="preserve">文件不在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</w:t>
            </w:r>
            <w:r>
              <w:t xml:space="preserve"> 或扩展名不是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.test.ts(x)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D57245">
            <w:pPr>
              <w:jc w:val="left"/>
            </w:pPr>
            <w:r>
              <w:t xml:space="preserve">对照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vite.config.ts</w:t>
            </w:r>
            <w:r>
              <w:t xml:space="preserve"> 的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test.include</w:t>
            </w:r>
          </w:p>
        </w:tc>
      </w:tr>
      <w:tr w14:paraId="0252D0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0F1CF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Failed to resolve import "@/..."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27652">
            <w:pPr>
              <w:jc w:val="left"/>
            </w:pPr>
            <w:r>
              <w:t>Vitest 未继承 Vite 别名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CE5A0C">
            <w:pPr>
              <w:jc w:val="left"/>
            </w:pPr>
            <w:r>
              <w:t xml:space="preserve">确认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vite.config.ts</w:t>
            </w:r>
            <w:r>
              <w:t xml:space="preserve"> 中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resolve.alias</w:t>
            </w:r>
            <w:r>
              <w:t xml:space="preserve"> 存在且路径正确</w:t>
            </w:r>
          </w:p>
        </w:tc>
      </w:tr>
      <w:tr w14:paraId="71F9D1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AC53F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import.meta.env</w:t>
            </w:r>
            <w:r>
              <w:rPr>
                <w:b/>
                <w:bCs/>
              </w:rPr>
              <w:t xml:space="preserve"> 在测试中不符合预期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A2D188">
            <w:pPr>
              <w:jc w:val="left"/>
            </w:pPr>
            <w:r>
              <w:t>模块在首次 import 时已缓存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4D9229">
            <w:pPr>
              <w:jc w:val="left"/>
            </w:pPr>
            <w:r>
              <w:t xml:space="preserve">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vi.stubEnv</w:t>
            </w:r>
            <w:r>
              <w:t xml:space="preserve"> +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vi.resetModules()</w:t>
            </w:r>
            <w:r>
              <w:t xml:space="preserve"> + 动态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import()</w:t>
            </w:r>
            <w:r>
              <w:t xml:space="preserve">（见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public-env.test.ts</w:t>
            </w:r>
            <w:r>
              <w:t>）</w:t>
            </w:r>
          </w:p>
        </w:tc>
      </w:tr>
      <w:tr w14:paraId="54F688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2B8A29">
            <w:pPr>
              <w:jc w:val="left"/>
            </w:pPr>
            <w:r>
              <w:rPr>
                <w:b/>
                <w:bCs/>
              </w:rPr>
              <w:t>组件测试找不到 role / 文本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5D0237">
            <w:pPr>
              <w:jc w:val="left"/>
            </w:pPr>
            <w:r>
              <w:t xml:space="preserve">语义化不足或异步未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await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E67C19">
            <w:pPr>
              <w:jc w:val="left"/>
            </w:pPr>
            <w:r>
              <w:t xml:space="preserve">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findBy*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waitFor</w:t>
            </w:r>
            <w:r>
              <w:t xml:space="preserve">，或检查是否被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aria</w:t>
            </w:r>
            <w:r>
              <w:t xml:space="preserve"> 隐藏</w:t>
            </w:r>
          </w:p>
        </w:tc>
      </w:tr>
      <w:tr w14:paraId="4C8C28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6305B5">
            <w:pPr>
              <w:jc w:val="left"/>
            </w:pPr>
            <w:r>
              <w:rPr>
                <w:b/>
                <w:bCs/>
              </w:rPr>
              <w:t>覆盖率全仓仍然很低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A1150F">
            <w:pPr>
              <w:jc w:val="left"/>
            </w:pPr>
            <w:r>
              <w:t xml:space="preserve">大量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pages/*.tsx</w:t>
            </w:r>
            <w:r>
              <w:t>、布局、路由未写单测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2526D2">
            <w:pPr>
              <w:jc w:val="left"/>
            </w:pPr>
            <w:r>
              <w:t xml:space="preserve">正常；可先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test:coverage:tasks</w:t>
            </w:r>
            <w:r>
              <w:t xml:space="preserve"> 或按 feature 收窄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coverage.include</w:t>
            </w:r>
          </w:p>
        </w:tc>
      </w:tr>
      <w:tr w14:paraId="390E43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09431C">
            <w:pPr>
              <w:jc w:val="left"/>
            </w:pPr>
            <w:r>
              <w:rPr>
                <w:b/>
                <w:bCs/>
              </w:rPr>
              <w:t>watch 模式在 CI 挂起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2BB4F3">
            <w:pPr>
              <w:jc w:val="left"/>
            </w:pPr>
            <w:r>
              <w:t xml:space="preserve">误用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test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6AD241">
            <w:pPr>
              <w:jc w:val="left"/>
            </w:pPr>
            <w:r>
              <w:t xml:space="preserve">CI 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test:run</w:t>
            </w:r>
            <w:r>
              <w:t xml:space="preserve"> 或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vitest run</w:t>
            </w:r>
          </w:p>
        </w:tc>
      </w:tr>
    </w:tbl>
    <w:p w14:paraId="69A914D8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288CAAC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7. 测试执行摘要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4"/>
        <w:gridCol w:w="6982"/>
      </w:tblGrid>
      <w:tr w14:paraId="4EDA88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275F34">
            <w:pPr>
              <w:jc w:val="left"/>
            </w:pPr>
            <w:r>
              <w:rPr>
                <w:color w:val="000000"/>
              </w:rPr>
              <w:t>指标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EA523E">
            <w:pPr>
              <w:jc w:val="left"/>
            </w:pPr>
            <w:r>
              <w:rPr>
                <w:color w:val="000000"/>
              </w:rPr>
              <w:t>结果</w:t>
            </w:r>
          </w:p>
        </w:tc>
      </w:tr>
      <w:tr w14:paraId="712B4B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9F52A5">
            <w:pPr>
              <w:jc w:val="left"/>
            </w:pPr>
            <w:r>
              <w:t>执行命令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7C667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test:run</w:t>
            </w:r>
            <w:r>
              <w:t xml:space="preserve">（等价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vitest run</w:t>
            </w:r>
            <w:r>
              <w:t>）</w:t>
            </w:r>
          </w:p>
        </w:tc>
      </w:tr>
      <w:tr w14:paraId="7A8F44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8650A9">
            <w:pPr>
              <w:jc w:val="left"/>
            </w:pPr>
            <w:r>
              <w:t>测试文件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7AFFE9">
            <w:pPr>
              <w:jc w:val="left"/>
            </w:pPr>
            <w:r>
              <w:rPr>
                <w:b/>
                <w:bCs/>
              </w:rPr>
              <w:t>20</w:t>
            </w:r>
            <w:r>
              <w:t xml:space="preserve"> 个，</w:t>
            </w:r>
            <w:r>
              <w:rPr>
                <w:b/>
                <w:bCs/>
              </w:rPr>
              <w:t>全部通过</w:t>
            </w:r>
          </w:p>
        </w:tc>
      </w:tr>
      <w:tr w14:paraId="6A9037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F0C85B">
            <w:pPr>
              <w:jc w:val="left"/>
            </w:pPr>
            <w:r>
              <w:t>测试用例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D6551A">
            <w:pPr>
              <w:jc w:val="left"/>
            </w:pPr>
            <w:r>
              <w:rPr>
                <w:b/>
                <w:bCs/>
              </w:rPr>
              <w:t>70</w:t>
            </w:r>
            <w:r>
              <w:t xml:space="preserve"> 条，</w:t>
            </w:r>
            <w:r>
              <w:rPr>
                <w:b/>
                <w:bCs/>
              </w:rPr>
              <w:t>全部通过</w:t>
            </w:r>
          </w:p>
        </w:tc>
      </w:tr>
      <w:tr w14:paraId="066611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4202E3">
            <w:pPr>
              <w:jc w:val="left"/>
            </w:pPr>
            <w:r>
              <w:t>失败 / 跳过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1FABCD">
            <w:pPr>
              <w:jc w:val="left"/>
            </w:pPr>
            <w:r>
              <w:rPr>
                <w:b/>
                <w:bCs/>
              </w:rPr>
              <w:t>0</w:t>
            </w:r>
          </w:p>
        </w:tc>
      </w:tr>
    </w:tbl>
    <w:p w14:paraId="7E72BA09">
      <w:pPr>
        <w:spacing w:before="120" w:after="120" w:line="360" w:lineRule="auto"/>
      </w:pPr>
      <w:r>
        <w:rPr>
          <w:b/>
          <w:bCs/>
        </w:rPr>
        <w:t>说明</w:t>
      </w:r>
      <w:r>
        <w:t>：上表为 2026-05-05 更新文档时的一次本地执行结果；重新运行后</w:t>
      </w:r>
      <w:r>
        <w:rPr>
          <w:b/>
          <w:bCs/>
        </w:rPr>
        <w:t>耗时</w:t>
      </w:r>
      <w:r>
        <w:t>（尤其首次冷启动）可能波动，</w:t>
      </w:r>
      <w:r>
        <w:rPr>
          <w:b/>
          <w:bCs/>
        </w:rPr>
        <w:t>用例数</w:t>
      </w:r>
      <w:r>
        <w:t xml:space="preserve">以仓库内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src/**/*.test.ts(x)</w:t>
      </w:r>
      <w:r>
        <w:t xml:space="preserve"> 为准。</w:t>
      </w:r>
    </w:p>
    <w:p w14:paraId="0447BCFB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2B8B671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8. 代码覆盖率摘要（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test:coverage</w:t>
      </w:r>
      <w:r>
        <w:rPr>
          <w:b/>
          <w:bCs/>
          <w:color w:val="2E74B5"/>
          <w:sz w:val="28"/>
          <w:szCs w:val="28"/>
        </w:rPr>
        <w:t>）</w:t>
      </w:r>
    </w:p>
    <w:p w14:paraId="43B0468F">
      <w:pPr>
        <w:spacing w:before="120" w:after="120" w:line="360" w:lineRule="auto"/>
      </w:pPr>
      <w:r>
        <w:t>全量收集下，</w:t>
      </w:r>
      <w:r>
        <w:rPr>
          <w:b/>
          <w:bCs/>
        </w:rPr>
        <w:t>页面与路由文件</w:t>
      </w:r>
      <w:r>
        <w:t>占源码体量很大，</w:t>
      </w:r>
      <w:r>
        <w:rPr>
          <w:b/>
          <w:bCs/>
        </w:rPr>
        <w:t>语句/行覆盖率</w:t>
      </w:r>
      <w:r>
        <w:t xml:space="preserve">会长期偏低；本次通过补充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lib/api/http</w:t>
      </w:r>
      <w:r>
        <w:rPr>
          <w:b/>
          <w:bCs/>
        </w:rP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lib</w:t>
      </w:r>
      <w:r>
        <w:rPr>
          <w:b/>
          <w:bCs/>
        </w:rPr>
        <w:t xml:space="preserve"> 工具与多模块 API 封装</w:t>
      </w:r>
      <w:r>
        <w:t xml:space="preserve"> 等，全量语句覆盖率由约 </w:t>
      </w:r>
      <w:r>
        <w:rPr>
          <w:b/>
          <w:bCs/>
        </w:rPr>
        <w:t>3.1%</w:t>
      </w:r>
      <w:r>
        <w:t xml:space="preserve"> 提升至约 </w:t>
      </w:r>
      <w:r>
        <w:rPr>
          <w:b/>
          <w:bCs/>
        </w:rPr>
        <w:t>4.4%</w:t>
      </w:r>
      <w:r>
        <w:t>；</w:t>
      </w:r>
      <w:r>
        <w:rPr>
          <w:b/>
          <w:bCs/>
        </w:rPr>
        <w:t>函数覆盖率</w:t>
      </w:r>
      <w:r>
        <w:t xml:space="preserve">提升至约 </w:t>
      </w:r>
      <w:r>
        <w:rPr>
          <w:b/>
          <w:bCs/>
        </w:rPr>
        <w:t>30.6%</w:t>
      </w:r>
      <w:r>
        <w:t>（v8 报表为全路径汇总，含未测文件）。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07"/>
        <w:gridCol w:w="2849"/>
      </w:tblGrid>
      <w:tr w14:paraId="6A4B54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C9F8F7">
            <w:pPr>
              <w:jc w:val="left"/>
            </w:pPr>
            <w:r>
              <w:rPr>
                <w:color w:val="000000"/>
              </w:rPr>
              <w:t>维度（All files，报告截取）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913758">
            <w:pPr>
              <w:jc w:val="left"/>
            </w:pPr>
            <w:r>
              <w:rPr>
                <w:color w:val="000000"/>
              </w:rPr>
              <w:t>比例（约）</w:t>
            </w:r>
          </w:p>
        </w:tc>
      </w:tr>
      <w:tr w14:paraId="587F0E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1BE050">
            <w:pPr>
              <w:jc w:val="left"/>
            </w:pPr>
            <w:r>
              <w:t>Statements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1DC2A8">
            <w:pPr>
              <w:jc w:val="left"/>
            </w:pPr>
            <w:r>
              <w:rPr>
                <w:b/>
                <w:bCs/>
              </w:rPr>
              <w:t>4.41%</w:t>
            </w:r>
          </w:p>
        </w:tc>
      </w:tr>
      <w:tr w14:paraId="66BA43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5E1F2A">
            <w:pPr>
              <w:jc w:val="left"/>
            </w:pPr>
            <w:r>
              <w:t>Branches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5F290">
            <w:pPr>
              <w:jc w:val="left"/>
            </w:pPr>
            <w:r>
              <w:rPr>
                <w:b/>
                <w:bCs/>
              </w:rPr>
              <w:t>56.42%</w:t>
            </w:r>
          </w:p>
        </w:tc>
      </w:tr>
      <w:tr w14:paraId="5E55BF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1B25BC">
            <w:pPr>
              <w:jc w:val="left"/>
            </w:pPr>
            <w:r>
              <w:t>Functions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58CCCA">
            <w:pPr>
              <w:jc w:val="left"/>
            </w:pPr>
            <w:r>
              <w:rPr>
                <w:b/>
                <w:bCs/>
              </w:rPr>
              <w:t>30.59%</w:t>
            </w:r>
          </w:p>
        </w:tc>
      </w:tr>
      <w:tr w14:paraId="157BD3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CAE843">
            <w:pPr>
              <w:jc w:val="left"/>
            </w:pPr>
            <w:r>
              <w:t>Lines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4FD30A">
            <w:pPr>
              <w:jc w:val="left"/>
            </w:pPr>
            <w:r>
              <w:rPr>
                <w:b/>
                <w:bCs/>
              </w:rPr>
              <w:t>4.41%</w:t>
            </w:r>
          </w:p>
        </w:tc>
      </w:tr>
    </w:tbl>
    <w:p w14:paraId="1DBAE685">
      <w:pPr>
        <w:spacing w:before="120" w:after="120" w:line="360" w:lineRule="auto"/>
      </w:pPr>
      <w:r>
        <w:rPr>
          <w:b/>
          <w:bCs/>
        </w:rPr>
        <w:t>部分文件参考（便于对照 HTML）</w:t>
      </w:r>
      <w:r>
        <w:t>：</w:t>
      </w:r>
    </w:p>
    <w:p w14:paraId="718144FC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src/lib/utils.ts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src/lib/currencies.ts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src/lib/api/public-env.ts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src/features/auth/api.ts</w:t>
      </w:r>
      <w:r>
        <w:t>：</w:t>
      </w:r>
      <w:r>
        <w:rPr>
          <w:b/>
          <w:bCs/>
        </w:rPr>
        <w:t>语句 100%</w:t>
      </w:r>
    </w:p>
    <w:p w14:paraId="44F667CA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src/lib/api/http.ts</w:t>
      </w:r>
      <w:r>
        <w:t xml:space="preserve">：约 </w:t>
      </w:r>
      <w:r>
        <w:rPr>
          <w:b/>
          <w:bCs/>
        </w:rPr>
        <w:t>90%</w:t>
      </w:r>
      <w:r>
        <w:t xml:space="preserve"> 语句（余下为 JSON 解析失败、非对象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message</w:t>
      </w:r>
      <w:r>
        <w:t xml:space="preserve"> 等分支）</w:t>
      </w:r>
    </w:p>
    <w:p w14:paraId="6BE6763F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src/features/time/api.ts</w:t>
      </w:r>
      <w:r>
        <w:t xml:space="preserve">：语句比例显著高于 time 模块内未测的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time-format.ts</w:t>
      </w:r>
      <w: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time-range.ts</w:t>
      </w:r>
    </w:p>
    <w:p w14:paraId="4095318D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src/features/tasks/api.ts</w:t>
      </w:r>
      <w:r>
        <w:t>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downloadTasksExport</w:t>
      </w:r>
      <w:r>
        <w:t xml:space="preserve"> 等仍依赖真实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fetch</w:t>
      </w:r>
      <w:r>
        <w:t>/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document</w:t>
      </w:r>
      <w:r>
        <w:t>，当前未覆盖</w:t>
      </w:r>
    </w:p>
    <w:p w14:paraId="76A5E454">
      <w:pPr>
        <w:spacing w:before="120" w:after="120" w:line="360" w:lineRule="auto"/>
      </w:pPr>
      <w:r>
        <w:rPr>
          <w:b/>
          <w:bCs/>
        </w:rPr>
        <w:t>HTML 报告</w:t>
      </w:r>
      <w:r>
        <w:t>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frontend/coverage/index.html</w:t>
      </w:r>
      <w:r>
        <w:t>。</w:t>
      </w:r>
    </w:p>
    <w:p w14:paraId="4B876AA1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6C6F1BC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9. 详细用例清单（按测试文件）</w:t>
      </w:r>
    </w:p>
    <w:p w14:paraId="2A78D017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9.1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src/lib/utils.test.ts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4944"/>
        <w:gridCol w:w="3595"/>
      </w:tblGrid>
      <w:tr w14:paraId="1890A9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08F852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630E4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F6A052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560879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7462A2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E13288">
            <w:pPr>
              <w:jc w:val="left"/>
            </w:pPr>
            <w:r>
              <w:t>合并 class 字符串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B31E2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cn</w:t>
            </w:r>
            <w:r>
              <w:t xml:space="preserve"> 基础行为</w:t>
            </w:r>
          </w:p>
        </w:tc>
      </w:tr>
      <w:tr w14:paraId="3C689F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63AC99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324B42">
            <w:pPr>
              <w:jc w:val="left"/>
            </w:pPr>
            <w:r>
              <w:t>tailwind 冲突保留后者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8E35F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tailwind-merge</w:t>
            </w:r>
          </w:p>
        </w:tc>
      </w:tr>
      <w:tr w14:paraId="0A25AB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2F71AD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26C51C">
            <w:pPr>
              <w:jc w:val="left"/>
            </w:pPr>
            <w:r>
              <w:t>忽略 falsy 输入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9E761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clsx</w:t>
            </w:r>
            <w:r>
              <w:t xml:space="preserve"> 语义</w:t>
            </w:r>
          </w:p>
        </w:tc>
      </w:tr>
    </w:tbl>
    <w:p w14:paraId="1E672E68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9.2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src/lib/currencies.test.ts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8"/>
        <w:gridCol w:w="6192"/>
        <w:gridCol w:w="2526"/>
      </w:tblGrid>
      <w:tr w14:paraId="35D5C0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4D849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572B9F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E9254C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467A64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A54CCC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7698F0">
            <w:pPr>
              <w:jc w:val="left"/>
            </w:pPr>
            <w:r>
              <w:t>已知代码返回标签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44F3C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currencyLabel</w:t>
            </w:r>
          </w:p>
        </w:tc>
      </w:tr>
      <w:tr w14:paraId="3AD495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0FB1F7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63905E">
            <w:pPr>
              <w:jc w:val="left"/>
            </w:pPr>
            <w:r>
              <w:t>未知代码原样返回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BD856F">
            <w:pPr>
              <w:jc w:val="left"/>
            </w:pPr>
            <w:r>
              <w:t>回退行为</w:t>
            </w:r>
          </w:p>
        </w:tc>
      </w:tr>
      <w:tr w14:paraId="628483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43695E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BAA518">
            <w:pPr>
              <w:jc w:val="left"/>
            </w:pPr>
            <w:r>
              <w:t>SUPPORTED_CURRENCIES code 大写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D180E2">
            <w:pPr>
              <w:jc w:val="left"/>
            </w:pPr>
            <w:r>
              <w:t>数据约定</w:t>
            </w:r>
          </w:p>
        </w:tc>
      </w:tr>
    </w:tbl>
    <w:p w14:paraId="4F2527C5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9.3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src/lib/auth/jwt-payload.test.ts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4"/>
        <w:gridCol w:w="5411"/>
        <w:gridCol w:w="3161"/>
      </w:tblGrid>
      <w:tr w14:paraId="1A7CCC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855B7F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BEEC12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67751F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166158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0575B7">
            <w:pPr>
              <w:jc w:val="left"/>
            </w:pPr>
            <w:r>
              <w:t>1–4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DFAE3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parseJwtPayloadJson</w:t>
            </w:r>
            <w:r>
              <w:t xml:space="preserve"> 空/短 token/合法/非法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2427EE">
            <w:pPr>
              <w:jc w:val="left"/>
            </w:pPr>
            <w:r>
              <w:t>JWT payload 展示用解析</w:t>
            </w:r>
          </w:p>
        </w:tc>
      </w:tr>
      <w:tr w14:paraId="3A7152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40911F">
            <w:pPr>
              <w:jc w:val="left"/>
            </w:pPr>
            <w:r>
              <w:t>5–7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662FD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emailToInitials</w:t>
            </w:r>
            <w:r>
              <w:t xml:space="preserve"> 多种邮箱格式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A7F64D">
            <w:pPr>
              <w:jc w:val="left"/>
            </w:pPr>
            <w:r>
              <w:t>头像缩写规则</w:t>
            </w:r>
          </w:p>
        </w:tc>
      </w:tr>
    </w:tbl>
    <w:p w14:paraId="5930E37A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9.4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src/lib/auth/access-token.test.ts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3600"/>
        <w:gridCol w:w="5055"/>
      </w:tblGrid>
      <w:tr w14:paraId="10821C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786107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95F8DA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E0620C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36DADD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97277F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4CCA7E">
            <w:pPr>
              <w:jc w:val="left"/>
            </w:pPr>
            <w:r>
              <w:t>set / get / clear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4D315">
            <w:pPr>
              <w:jc w:val="left"/>
            </w:pPr>
            <w:r>
              <w:t>sessionStorage 键名与读写</w:t>
            </w:r>
          </w:p>
        </w:tc>
      </w:tr>
      <w:tr w14:paraId="7B2931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2F987E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89463F">
            <w:pPr>
              <w:jc w:val="left"/>
            </w:pPr>
            <w:r>
              <w:t>notifyAuthExpired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457516">
            <w:pPr>
              <w:jc w:val="left"/>
            </w:pPr>
            <w:r>
              <w:t>自定义事件派发</w:t>
            </w:r>
          </w:p>
        </w:tc>
      </w:tr>
    </w:tbl>
    <w:p w14:paraId="6BF37C3B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9.5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src/lib/api/public-env.test.ts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6"/>
        <w:gridCol w:w="4765"/>
        <w:gridCol w:w="3395"/>
      </w:tblGrid>
      <w:tr w14:paraId="45F964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D1ADD6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9BFF69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93432D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3D4DC3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164ADB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03141A">
            <w:pPr>
              <w:jc w:val="left"/>
            </w:pPr>
            <w:r>
              <w:t>未配置或空串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B9196">
            <w:pPr>
              <w:jc w:val="left"/>
            </w:pPr>
            <w:r>
              <w:t>基址为空</w:t>
            </w:r>
          </w:p>
        </w:tc>
      </w:tr>
      <w:tr w14:paraId="721B29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BD3F59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D02575">
            <w:pPr>
              <w:jc w:val="left"/>
            </w:pPr>
            <w:r>
              <w:t>配置带尾斜杠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920FBF">
            <w:pPr>
              <w:jc w:val="left"/>
            </w:pPr>
            <w:r>
              <w:t>去尾斜杠</w:t>
            </w:r>
          </w:p>
        </w:tc>
      </w:tr>
    </w:tbl>
    <w:p w14:paraId="50A7840F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9.6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src/lib/api/http.test.ts</w:t>
      </w:r>
      <w:r>
        <w:rPr>
          <w:b/>
          <w:bCs/>
          <w:color w:val="2E74B5"/>
          <w:sz w:val="26"/>
          <w:szCs w:val="26"/>
        </w:rPr>
        <w:t>（新增）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4"/>
        <w:gridCol w:w="3751"/>
        <w:gridCol w:w="4971"/>
      </w:tblGrid>
      <w:tr w14:paraId="5BEC83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F28DCE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02C0C8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F21E1D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2F6635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9BE310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A629B6">
            <w:pPr>
              <w:jc w:val="left"/>
            </w:pPr>
            <w:r>
              <w:t>成功 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F94B9A">
            <w:pPr>
              <w:jc w:val="left"/>
            </w:pPr>
            <w:r>
              <w:t>URL 拼接与解析</w:t>
            </w:r>
          </w:p>
        </w:tc>
      </w:tr>
      <w:tr w14:paraId="137EC9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906015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2A8737">
            <w:pPr>
              <w:jc w:val="left"/>
            </w:pPr>
            <w:r>
              <w:t>Bearer 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6B7BC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getAccessToken</w:t>
            </w:r>
            <w:r>
              <w:t xml:space="preserve"> 注入</w:t>
            </w:r>
          </w:p>
        </w:tc>
      </w:tr>
      <w:tr w14:paraId="0A5418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0C7BB6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56DEDB">
            <w:pPr>
              <w:jc w:val="left"/>
            </w:pPr>
            <w:r>
              <w:t>204 / 空 body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E095E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undefined</w:t>
            </w:r>
            <w:r>
              <w:t xml:space="preserve"> 返回</w:t>
            </w:r>
          </w:p>
        </w:tc>
      </w:tr>
      <w:tr w14:paraId="0F6783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4A410D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24B4FE">
            <w:pPr>
              <w:jc w:val="left"/>
            </w:pPr>
            <w:r>
              <w:t>401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75118">
            <w:pPr>
              <w:jc w:val="left"/>
            </w:pPr>
            <w:r>
              <w:t xml:space="preserve">清 token +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notifyAuthExpired</w:t>
            </w:r>
          </w:p>
        </w:tc>
      </w:tr>
      <w:tr w14:paraId="3793D2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1AFFD6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9D9406">
            <w:pPr>
              <w:jc w:val="left"/>
            </w:pPr>
            <w:r>
              <w:t>4xx 与 JSON message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59F28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ApiError</w:t>
            </w:r>
          </w:p>
        </w:tc>
      </w:tr>
    </w:tbl>
    <w:p w14:paraId="75B80A2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9.7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src/features/auth/api.test.ts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7"/>
        <w:gridCol w:w="3919"/>
        <w:gridCol w:w="4850"/>
      </w:tblGrid>
      <w:tr w14:paraId="791E5B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966D6A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227799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ECB2AD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42C87B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96A70A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CAF39">
            <w:pPr>
              <w:jc w:val="left"/>
            </w:pPr>
            <w:r>
              <w:t>loginRequest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23F2E4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/auth/login</w:t>
            </w:r>
          </w:p>
        </w:tc>
      </w:tr>
      <w:tr w14:paraId="45D87B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1E838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9D59D4">
            <w:pPr>
              <w:jc w:val="left"/>
            </w:pPr>
            <w:r>
              <w:t>forgotPasswordRequest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148844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/auth/forgot-password</w:t>
            </w:r>
          </w:p>
        </w:tc>
      </w:tr>
      <w:tr w14:paraId="66D4FF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8C6D38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646A07">
            <w:pPr>
              <w:jc w:val="left"/>
            </w:pPr>
            <w:r>
              <w:t>registerRequest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E3502A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/auth/register</w:t>
            </w:r>
          </w:p>
        </w:tc>
      </w:tr>
      <w:tr w14:paraId="2B89FE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3D0190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16684B">
            <w:pPr>
              <w:jc w:val="left"/>
            </w:pPr>
            <w:r>
              <w:t>resetPasswordRequest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E4C6CD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/auth/reset-password</w:t>
            </w:r>
          </w:p>
        </w:tc>
      </w:tr>
      <w:tr w14:paraId="3E9F26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515F83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2017E5">
            <w:pPr>
              <w:jc w:val="left"/>
            </w:pPr>
            <w:r>
              <w:t>changePasswordRequest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1C65B6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/account/change-password</w:t>
            </w:r>
          </w:p>
        </w:tc>
      </w:tr>
    </w:tbl>
    <w:p w14:paraId="10A1A4F5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9.8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src/features/tasks/api.test.ts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4"/>
        <w:gridCol w:w="4175"/>
        <w:gridCol w:w="3977"/>
      </w:tblGrid>
      <w:tr w14:paraId="618A3D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DC0B07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1CE276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BD52E5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19946B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CA847FE">
            <w:pPr>
              <w:jc w:val="left"/>
            </w:pPr>
            <w:r>
              <w:t>1–2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29F3CF">
            <w:pPr>
              <w:jc w:val="left"/>
            </w:pPr>
            <w:r>
              <w:t>listTasks 无 q / 有 q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28AEBA">
            <w:pPr>
              <w:jc w:val="left"/>
            </w:pPr>
            <w:r>
              <w:t>列表与查询串</w:t>
            </w:r>
          </w:p>
        </w:tc>
      </w:tr>
      <w:tr w14:paraId="755E8B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EAB22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537FAC">
            <w:pPr>
              <w:jc w:val="left"/>
            </w:pPr>
            <w:r>
              <w:t>fetchTask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3B9B70">
            <w:pPr>
              <w:jc w:val="left"/>
            </w:pPr>
            <w:r>
              <w:t xml:space="preserve">GET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/tasks/:id</w:t>
            </w:r>
          </w:p>
        </w:tc>
      </w:tr>
      <w:tr w14:paraId="0E2587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7D1887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2EA20C">
            <w:pPr>
              <w:jc w:val="left"/>
            </w:pPr>
            <w:r>
              <w:t>createTask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B7B0C64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/tasks</w:t>
            </w:r>
          </w:p>
        </w:tc>
      </w:tr>
      <w:tr w14:paraId="29860B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6F133E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954A57">
            <w:pPr>
              <w:jc w:val="left"/>
            </w:pPr>
            <w:r>
              <w:t>updateTask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13F849">
            <w:pPr>
              <w:jc w:val="left"/>
            </w:pPr>
            <w:r>
              <w:t xml:space="preserve">PATCH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/tasks/:id</w:t>
            </w:r>
          </w:p>
        </w:tc>
      </w:tr>
      <w:tr w14:paraId="2F0DBA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01D428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C98D85">
            <w:pPr>
              <w:jc w:val="left"/>
            </w:pPr>
            <w:r>
              <w:t>archiveTask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DF8834">
            <w:pPr>
              <w:jc w:val="left"/>
            </w:pPr>
            <w:r>
              <w:t>POST archive</w:t>
            </w:r>
          </w:p>
        </w:tc>
      </w:tr>
      <w:tr w14:paraId="64144B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BBF4D8">
            <w:pPr>
              <w:jc w:val="left"/>
            </w:pPr>
            <w: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F3026C">
            <w:pPr>
              <w:jc w:val="left"/>
            </w:pPr>
            <w:r>
              <w:t>batchArchiveTasks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33330F">
            <w:pPr>
              <w:jc w:val="left"/>
            </w:pPr>
            <w:r>
              <w:t>POST batch</w:t>
            </w:r>
          </w:p>
        </w:tc>
      </w:tr>
      <w:tr w14:paraId="1A51BD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117672">
            <w:pPr>
              <w:jc w:val="left"/>
            </w:pPr>
            <w:r>
              <w:t>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B983B6">
            <w:pPr>
              <w:jc w:val="left"/>
            </w:pPr>
            <w:r>
              <w:t>deleteTask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8A4E76">
            <w:pPr>
              <w:jc w:val="left"/>
            </w:pPr>
            <w:r>
              <w:t>DELETE</w:t>
            </w:r>
          </w:p>
        </w:tc>
      </w:tr>
    </w:tbl>
    <w:p w14:paraId="74DD9588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9.9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src/features/tasks/pages/tasks-page.test.tsx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"/>
        <w:gridCol w:w="3757"/>
        <w:gridCol w:w="4982"/>
      </w:tblGrid>
      <w:tr w14:paraId="7DBC2D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4A9801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B14094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244E5A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321E22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F02F9D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C952B6">
            <w:pPr>
              <w:jc w:val="left"/>
            </w:pPr>
            <w:r>
              <w:t>renders title after load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BA4B87">
            <w:pPr>
              <w:jc w:val="left"/>
            </w:pPr>
            <w:r>
              <w:t xml:space="preserve">QueryClient + mock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listTasks</w:t>
            </w:r>
          </w:p>
        </w:tc>
      </w:tr>
    </w:tbl>
    <w:p w14:paraId="2C66F86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9.10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src/features/clients/api.test.ts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4080"/>
        <w:gridCol w:w="4356"/>
      </w:tblGrid>
      <w:tr w14:paraId="71734A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458C98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4574AD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C49D4E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794E30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0A73A5">
            <w:pPr>
              <w:jc w:val="left"/>
            </w:pPr>
            <w:r>
              <w:t>1–3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B0546E">
            <w:pPr>
              <w:jc w:val="left"/>
            </w:pPr>
            <w:r>
              <w:t>listClients、fetchClient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549569">
            <w:pPr>
              <w:jc w:val="left"/>
            </w:pPr>
            <w:r>
              <w:t>列表与详情</w:t>
            </w:r>
          </w:p>
        </w:tc>
      </w:tr>
      <w:tr w14:paraId="5699F8B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D9A65F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554602">
            <w:pPr>
              <w:jc w:val="left"/>
            </w:pPr>
            <w:r>
              <w:t>fetchOrganizationContext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79918D">
            <w:pPr>
              <w:jc w:val="left"/>
            </w:pPr>
            <w:r>
              <w:t xml:space="preserve">GET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/organizations/context</w:t>
            </w:r>
          </w:p>
        </w:tc>
      </w:tr>
      <w:tr w14:paraId="4E7C71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2E2E16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B918F6">
            <w:pPr>
              <w:jc w:val="left"/>
            </w:pPr>
            <w:r>
              <w:t>createClient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79E13E">
            <w:pPr>
              <w:jc w:val="left"/>
            </w:pPr>
            <w:r>
              <w:t xml:space="preserve">POST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/clients</w:t>
            </w:r>
          </w:p>
        </w:tc>
      </w:tr>
      <w:tr w14:paraId="668D4C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75571C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5B1A78">
            <w:pPr>
              <w:jc w:val="left"/>
            </w:pPr>
            <w:r>
              <w:t>updateClient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F4A7B1">
            <w:pPr>
              <w:jc w:val="left"/>
            </w:pPr>
            <w:r>
              <w:t xml:space="preserve">PATCH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/clients/:id</w:t>
            </w:r>
          </w:p>
        </w:tc>
      </w:tr>
    </w:tbl>
    <w:p w14:paraId="068EAABA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9.11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src/features/time/api.test.ts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4930"/>
        <w:gridCol w:w="3336"/>
      </w:tblGrid>
      <w:tr w14:paraId="1317C2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87D035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5EE48E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B130E2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3302D9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504D2F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0046B3">
            <w:pPr>
              <w:jc w:val="left"/>
            </w:pPr>
            <w:r>
              <w:t>timeEntriesResourcePath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84AB4D7">
            <w:pPr>
              <w:jc w:val="left"/>
            </w:pPr>
            <w:r>
              <w:t>常量</w:t>
            </w:r>
          </w:p>
        </w:tc>
      </w:tr>
      <w:tr w14:paraId="7FF433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5D2BDF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310C8B">
            <w:pPr>
              <w:jc w:val="left"/>
            </w:pPr>
            <w:r>
              <w:t>listAssignableTimeRows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05139F">
            <w:pPr>
              <w:jc w:val="left"/>
            </w:pPr>
            <w:r>
              <w:t>assignable-rows</w:t>
            </w:r>
          </w:p>
        </w:tc>
      </w:tr>
      <w:tr w14:paraId="5EDA32E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ED44F4">
            <w:pPr>
              <w:jc w:val="left"/>
            </w:pPr>
            <w:r>
              <w:t>3–4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CC777E">
            <w:pPr>
              <w:jc w:val="left"/>
            </w:pPr>
            <w:r>
              <w:t>listTimeEntries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90CC07">
            <w:pPr>
              <w:jc w:val="left"/>
            </w:pPr>
            <w:r>
              <w:t>week / month+forUser</w:t>
            </w:r>
          </w:p>
        </w:tc>
      </w:tr>
      <w:tr w14:paraId="39803D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87E3EC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3F151B">
            <w:pPr>
              <w:jc w:val="left"/>
            </w:pPr>
            <w:r>
              <w:t>listTrackTimeOptions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6CA401">
            <w:pPr>
              <w:jc w:val="left"/>
            </w:pPr>
            <w:r>
              <w:t>track-time-options</w:t>
            </w:r>
          </w:p>
        </w:tc>
      </w:tr>
      <w:tr w14:paraId="5770F9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F50860">
            <w:pPr>
              <w:jc w:val="left"/>
            </w:pPr>
            <w:r>
              <w:t>6–8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E60C48">
            <w:pPr>
              <w:jc w:val="left"/>
            </w:pPr>
            <w:r>
              <w:t>create / update / deleteTimeEntry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8120B2">
            <w:pPr>
              <w:jc w:val="left"/>
            </w:pPr>
            <w:r>
              <w:t>填报 CRUD</w:t>
            </w:r>
          </w:p>
        </w:tc>
      </w:tr>
      <w:tr w14:paraId="2CE557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AF6817">
            <w:pPr>
              <w:jc w:val="left"/>
            </w:pPr>
            <w:r>
              <w:t>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1DCF0D">
            <w:pPr>
              <w:jc w:val="left"/>
            </w:pPr>
            <w:r>
              <w:t>submit / withdraw week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E2EDE9">
            <w:pPr>
              <w:jc w:val="left"/>
            </w:pPr>
            <w:r>
              <w:t>周提交与撤回</w:t>
            </w:r>
          </w:p>
        </w:tc>
      </w:tr>
      <w:tr w14:paraId="7EB095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DBFF50">
            <w:pPr>
              <w:jc w:val="left"/>
            </w:pPr>
            <w:r>
              <w:t>10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6A42EA">
            <w:pPr>
              <w:jc w:val="left"/>
            </w:pPr>
            <w:r>
              <w:t>copyFromRecentDay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F52798">
            <w:pPr>
              <w:jc w:val="left"/>
            </w:pPr>
            <w:r>
              <w:t>复制最近一天</w:t>
            </w:r>
          </w:p>
        </w:tc>
      </w:tr>
      <w:tr w14:paraId="7565B6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6F961A">
            <w:pPr>
              <w:jc w:val="left"/>
            </w:pPr>
            <w:r>
              <w:t>11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ADADB6">
            <w:pPr>
              <w:jc w:val="left"/>
            </w:pPr>
            <w:r>
              <w:t>timer active / start / stop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96E80">
            <w:pPr>
              <w:jc w:val="left"/>
            </w:pPr>
            <w:r>
              <w:t>计时器 API</w:t>
            </w:r>
          </w:p>
        </w:tc>
      </w:tr>
      <w:tr w14:paraId="3648A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B2AFDC">
            <w:pPr>
              <w:jc w:val="left"/>
            </w:pPr>
            <w:r>
              <w:t>12–13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0BC57E">
            <w:pPr>
              <w:jc w:val="left"/>
            </w:pPr>
            <w:r>
              <w:t>groupAssignableRowsToTrackProjects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DAA072">
            <w:pPr>
              <w:jc w:val="left"/>
            </w:pPr>
            <w:r>
              <w:t>任务排序、多项目客户排序</w:t>
            </w:r>
          </w:p>
        </w:tc>
      </w:tr>
    </w:tbl>
    <w:p w14:paraId="30AAB20C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 xml:space="preserve">9.12～9.20 其它 feature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api.test.ts</w:t>
      </w:r>
      <w:r>
        <w:rPr>
          <w:b/>
          <w:bCs/>
          <w:color w:val="2E74B5"/>
          <w:sz w:val="26"/>
          <w:szCs w:val="26"/>
        </w:rPr>
        <w:t>（与此前一致，路径占位类）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79"/>
        <w:gridCol w:w="1146"/>
        <w:gridCol w:w="4331"/>
      </w:tblGrid>
      <w:tr w14:paraId="7BB8CF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C799A2">
            <w:pPr>
              <w:jc w:val="left"/>
            </w:pPr>
            <w:r>
              <w:rPr>
                <w:color w:val="000000"/>
              </w:rPr>
              <w:t>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BCEB7C">
            <w:pPr>
              <w:jc w:val="left"/>
            </w:pPr>
            <w:r>
              <w:rPr>
                <w:color w:val="000000"/>
              </w:rPr>
              <w:t>用例数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196C90">
            <w:pPr>
              <w:jc w:val="left"/>
            </w:pPr>
            <w:r>
              <w:rPr>
                <w:color w:val="000000"/>
              </w:rPr>
              <w:t>意图简述</w:t>
            </w:r>
          </w:p>
        </w:tc>
      </w:tr>
      <w:tr w14:paraId="6081CA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CA3E7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D8060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B54272">
            <w:pPr>
              <w:jc w:val="left"/>
            </w:pPr>
            <w:r>
              <w:t>资源路径、分页列表、详情</w:t>
            </w:r>
          </w:p>
        </w:tc>
      </w:tr>
      <w:tr w14:paraId="426EA9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3EF5A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expenses/api.test.ts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F4E343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2DA8B1">
            <w:pPr>
              <w:jc w:val="left"/>
            </w:pPr>
            <w:r>
              <w:t>表单选项、列表筛选</w:t>
            </w:r>
          </w:p>
        </w:tc>
      </w:tr>
      <w:tr w14:paraId="04C936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0F851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reports/api.test.ts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371590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5A290F">
            <w:pPr>
              <w:jc w:val="left"/>
            </w:pPr>
            <w:r>
              <w:t>根路径、筛选项、工时报表查询</w:t>
            </w:r>
          </w:p>
        </w:tc>
      </w:tr>
      <w:tr w14:paraId="772DE1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84599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team/api.test.ts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3360C6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11960B">
            <w:pPr>
              <w:jc w:val="left"/>
            </w:pPr>
            <w:r>
              <w:t>成员列表</w:t>
            </w:r>
          </w:p>
        </w:tc>
      </w:tr>
      <w:tr w14:paraId="69CA70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72861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approvals/api.test.ts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78701D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1F8D04">
            <w:pPr>
              <w:jc w:val="left"/>
            </w:pPr>
            <w:r>
              <w:t>meta 与组织头</w:t>
            </w:r>
          </w:p>
        </w:tc>
      </w:tr>
      <w:tr w14:paraId="1681FF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C6EFF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organization/api.test.ts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AAD6CF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665DBC">
            <w:pPr>
              <w:jc w:val="left"/>
            </w:pPr>
            <w:r>
              <w:t>组织资源路径</w:t>
            </w:r>
          </w:p>
        </w:tc>
      </w:tr>
      <w:tr w14:paraId="42383D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55058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dashboard/api.test.ts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3F87AC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B8C915">
            <w:pPr>
              <w:jc w:val="left"/>
            </w:pPr>
            <w:r>
              <w:t>工作台路径占位</w:t>
            </w:r>
          </w:p>
        </w:tc>
      </w:tr>
      <w:tr w14:paraId="3CEE47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6898B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settings/api.test.ts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4D1011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333D7A">
            <w:pPr>
              <w:jc w:val="left"/>
            </w:pPr>
            <w:r>
              <w:t>设置路径占位</w:t>
            </w:r>
          </w:p>
        </w:tc>
      </w:tr>
      <w:tr w14:paraId="3D5A07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B91EB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access/api.test.ts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2AFF2E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EE00A9">
            <w:pPr>
              <w:jc w:val="left"/>
            </w:pPr>
            <w:r>
              <w:t>权限路径占位</w:t>
            </w:r>
          </w:p>
        </w:tc>
      </w:tr>
    </w:tbl>
    <w:p w14:paraId="31ACED26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87952CB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10. 尚未重点覆盖的说明</w:t>
      </w:r>
    </w:p>
    <w:p w14:paraId="60BD03A7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t xml:space="preserve">各模块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pages/*.tsx</w:t>
      </w:r>
      <w:r>
        <w:t xml:space="preserve">、大型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components/*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app/router.tsx</w:t>
      </w:r>
      <w:r>
        <w:t xml:space="preserve"> 等仍以 e2e 或后续组件测为主。</w:t>
      </w:r>
    </w:p>
    <w:p w14:paraId="52D770A0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tasks/api.ts</w:t>
      </w:r>
      <w:r>
        <w:t xml:space="preserve"> 中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downloadTasksExport</w:t>
      </w:r>
      <w:r>
        <w:t>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fetch</w:t>
      </w:r>
      <w:r>
        <w:t xml:space="preserve"> +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document.createElement</w:t>
      </w:r>
      <w:r>
        <w:t xml:space="preserve">）需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vi.stubGlobal</w:t>
      </w:r>
      <w:r>
        <w:rPr>
          <w:b/>
          <w:bCs/>
        </w:rPr>
        <w:t xml:space="preserve"> + DOM mock</w:t>
      </w:r>
      <w:r>
        <w:t xml:space="preserve"> 或集成测单独覆盖。</w:t>
      </w:r>
    </w:p>
    <w:p w14:paraId="670839CA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projects/api.ts</w:t>
      </w:r>
      <w:r>
        <w:t xml:space="preserve"> 中表单/metadata 转换、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reports-export.ts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time-format.ts</w:t>
      </w:r>
      <w:r>
        <w:t xml:space="preserve"> 等纯逻辑文件适合下一轮抽取用例。</w:t>
      </w:r>
    </w:p>
    <w:p w14:paraId="604E2662">
      <w:pPr>
        <w:jc w:val="center"/>
        <w:rPr>
          <w:color w:val="CCCCCC"/>
        </w:rPr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828F7F7">
      <w:pPr>
        <w:pStyle w:val="3"/>
        <w:spacing w:before="288" w:after="180" w:line="276" w:lineRule="auto"/>
        <w:rPr>
          <w:rFonts w:hint="default" w:eastAsia="微软雅黑"/>
          <w:lang w:val="en-US" w:eastAsia="zh-CN"/>
        </w:rPr>
      </w:pPr>
      <w:r>
        <w:rPr>
          <w:b/>
          <w:bCs/>
          <w:color w:val="2E74B5"/>
          <w:sz w:val="28"/>
          <w:szCs w:val="28"/>
        </w:rPr>
        <w:t xml:space="preserve">11. 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测试执行日志</w:t>
      </w:r>
    </w:p>
    <w:p w14:paraId="6AAC7157">
      <w:pPr>
        <w:jc w:val="center"/>
        <w:rPr>
          <w:color w:val="CCCCCC"/>
        </w:rPr>
      </w:pPr>
      <w:r>
        <w:drawing>
          <wp:inline distT="0" distB="0" distL="114300" distR="114300">
            <wp:extent cx="5730875" cy="71164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1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52DE84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2</w:t>
      </w:r>
      <w:r>
        <w:rPr>
          <w:b/>
          <w:bCs/>
          <w:color w:val="2E74B5"/>
          <w:sz w:val="28"/>
          <w:szCs w:val="28"/>
        </w:rPr>
        <w:t>. 相关文件索引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32"/>
        <w:gridCol w:w="5124"/>
      </w:tblGrid>
      <w:tr w14:paraId="584C79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D6C0D5">
            <w:pPr>
              <w:jc w:val="left"/>
            </w:pPr>
            <w:r>
              <w:rPr>
                <w:color w:val="000000"/>
              </w:rPr>
              <w:t>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CF6245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DF8F8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413B5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frontend/docs/单元测试报告.md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E4FF5C">
            <w:pPr>
              <w:jc w:val="left"/>
            </w:pPr>
            <w:r>
              <w:t>本报告</w:t>
            </w:r>
          </w:p>
        </w:tc>
      </w:tr>
      <w:tr w14:paraId="6C6BD2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2DB11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frontend/docs/单元测试说明.md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ED870A0">
            <w:pPr>
              <w:jc w:val="left"/>
            </w:pPr>
            <w:r>
              <w:t>开发向说明</w:t>
            </w:r>
          </w:p>
        </w:tc>
      </w:tr>
      <w:tr w14:paraId="6A2915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A591F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frontend/vite.config.ts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41A5D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include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setupFiles</w:t>
            </w:r>
          </w:p>
        </w:tc>
      </w:tr>
      <w:tr w14:paraId="0A89B9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3CDA6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frontend/vitest.setup.ts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C6342C">
            <w:pPr>
              <w:jc w:val="left"/>
            </w:pPr>
            <w:r>
              <w:t>jest-dom 注册</w:t>
            </w:r>
          </w:p>
        </w:tc>
      </w:tr>
      <w:tr w14:paraId="63C50C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079119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frontend/package.json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582AE7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test*</w:t>
            </w:r>
            <w:r>
              <w:t xml:space="preserve"> 脚本</w:t>
            </w:r>
          </w:p>
        </w:tc>
      </w:tr>
      <w:tr w14:paraId="58B4C8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773A4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frontend/coverage/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00C82">
            <w:pPr>
              <w:jc w:val="left"/>
            </w:pPr>
            <w:r>
              <w:t>覆盖率输出目录</w:t>
            </w:r>
          </w:p>
        </w:tc>
      </w:tr>
    </w:tbl>
    <w:p w14:paraId="031C04F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F738CA3">
      <w:pPr>
        <w:spacing w:before="120" w:after="120" w:line="360" w:lineRule="auto"/>
      </w:pPr>
      <w:r>
        <w:rPr>
          <w:i/>
          <w:iCs/>
        </w:rPr>
        <w:t xml:space="preserve">本文档第 7、8、9 节中的数字会随代码变化；发版或大规模补测后请重新执行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test:run</w:t>
      </w:r>
      <w:r>
        <w:rPr>
          <w:i/>
          <w:i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test:coverage</w:t>
      </w:r>
      <w:r>
        <w:rPr>
          <w:i/>
          <w:iCs/>
        </w:rPr>
        <w:t xml:space="preserve"> 并更新表格与日期。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694A7E"/>
    <w:rsid w:val="3A766411"/>
    <w:rsid w:val="55634C68"/>
    <w:rsid w:val="60BD3846"/>
    <w:rsid w:val="670E0F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2422</Words>
  <Characters>5442</Characters>
  <TotalTime>1</TotalTime>
  <ScaleCrop>false</ScaleCrop>
  <LinksUpToDate>false</LinksUpToDate>
  <CharactersWithSpaces>6180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2026-05-05T03:41:00Z</dcterms:created>
  <dc:creator>Un-named</dc:creator>
  <cp:lastModifiedBy>WPS_1747897672</cp:lastModifiedBy>
  <dcterms:modified xsi:type="dcterms:W3CDTF">2026-05-05T03:55:15Z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eyJoZGlkIjoiY2E5ZDhjMWQ2OWJkNDQzMzhkMTJhMDFjMzA2YTdlNzMiLCJ1c2VySWQiOiIxNzAxOTU3MTYzIn0=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966FD5145F214265BE515AF7C9271F8F_12</vt:lpwstr>
  </property>
</Properties>
</file>