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Service Blueprint, SLOs &amp; Cloud Cost Envelope</w:t>
      </w:r>
    </w:p>
    <w:p>
      <w:pPr>
        <w:jc w:val="center"/>
      </w:pPr>
      <w:r>
        <w:rPr>
          <w:i/>
        </w:rPr>
        <w:t>Cloud Computing &amp; DevOps — operational contract before infrastructure/deployment automation</w:t>
      </w:r>
    </w:p>
    <w:p>
      <w:r>
        <w:t>This submission turns the supplied three-scenario CSV into a complete operational contract. The design uses a two-tier web service: a stateless application tier and a managed PostgreSQL data tier. The cost figures are planning envelopes, not vendor quotations.</w:t>
      </w:r>
    </w:p>
    <w:p>
      <w:pPr>
        <w:pStyle w:val="Heading1"/>
      </w:pPr>
      <w:r>
        <w:t>1. Executive architecture</w:t>
      </w:r>
    </w:p>
    <w:p>
      <w:r>
        <w:t>Primary request path: Client → HTTPS load balancer/reverse proxy → stateless application tier → PostgreSQL. The application tier reads runtime secrets from Secrets Manager and emits metrics/logs to CloudWatch. Database backups are retained through managed database backup facilities and/or AWS Backup.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48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blue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8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Service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Control / proof</w:t>
            </w:r>
          </w:p>
        </w:tc>
      </w:tr>
      <w:tr>
        <w:tc>
          <w:tcPr>
            <w:tcW w:type="dxa" w:w="2880"/>
          </w:tcPr>
          <w:p>
            <w:r>
              <w:t>Request</w:t>
            </w:r>
          </w:p>
        </w:tc>
        <w:tc>
          <w:tcPr>
            <w:tcW w:type="dxa" w:w="2880"/>
          </w:tcPr>
          <w:p>
            <w:r>
              <w:t>Client → ALB → app task → DB → app → ALB → client</w:t>
            </w:r>
          </w:p>
        </w:tc>
        <w:tc>
          <w:tcPr>
            <w:tcW w:type="dxa" w:w="2880"/>
          </w:tcPr>
          <w:p>
            <w:r>
              <w:t>TLS, health checks, request IDs, structured errors, timeout budget</w:t>
            </w:r>
          </w:p>
        </w:tc>
      </w:tr>
      <w:tr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App → PostgreSQL; App → Secrets Manager; App → CloudWatch</w:t>
            </w:r>
          </w:p>
        </w:tc>
        <w:tc>
          <w:tcPr>
            <w:tcW w:type="dxa" w:w="2880"/>
          </w:tcPr>
          <w:p>
            <w:r>
              <w:t>Connection pool, dependency timeouts, retries only for safe/idempotent operations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Git → CI test/scan → container image → registry → rolling deployment</w:t>
            </w:r>
          </w:p>
        </w:tc>
        <w:tc>
          <w:tcPr>
            <w:tcW w:type="dxa" w:w="2880"/>
          </w:tcPr>
          <w:p>
            <w:r>
              <w:t>Immutable version/tag, automated tests, health checks, rollback procedure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Transactional data → PostgreSQL; backups → managed backup/S3</w:t>
            </w:r>
          </w:p>
        </w:tc>
        <w:tc>
          <w:tcPr>
            <w:tcW w:type="dxa" w:w="2880"/>
          </w:tcPr>
          <w:p>
            <w:r>
              <w:t>Encryption at rest/in transit, backup retention, periodic restore test</w:t>
            </w:r>
          </w:p>
        </w:tc>
      </w:tr>
      <w:tr>
        <w:tc>
          <w:tcPr>
            <w:tcW w:type="dxa" w:w="2880"/>
          </w:tcPr>
          <w:p>
            <w:r>
              <w:t>Failure</w:t>
            </w:r>
          </w:p>
        </w:tc>
        <w:tc>
          <w:tcPr>
            <w:tcW w:type="dxa" w:w="2880"/>
          </w:tcPr>
          <w:p>
            <w:r>
              <w:t>Detect → page → mitigate → recover → verify</w:t>
            </w:r>
          </w:p>
        </w:tc>
        <w:tc>
          <w:tcPr>
            <w:tcW w:type="dxa" w:w="2880"/>
          </w:tcPr>
          <w:p>
            <w:r>
              <w:t>SLO burn alerts, runbook, rollback/scale/failover, post-incident review</w:t>
            </w:r>
          </w:p>
        </w:tc>
      </w:tr>
    </w:tbl>
    <w:p>
      <w:pPr>
        <w:pStyle w:val="Heading1"/>
      </w:pPr>
      <w:r>
        <w:t>3. SLO contract</w:t>
      </w:r>
    </w:p>
    <w:p>
      <w:r>
        <w:t>Availability is defined as successful service time / total service time. For this project, the availability SLI is measured from valid HTTP requests: successful responses divided by total valid requests, with 5xx responses and timeouts counted as failures. P95 latency is measured server-side from request receipt to response completion.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Availability</w:t>
            </w:r>
          </w:p>
        </w:tc>
        <w:tc>
          <w:tcPr>
            <w:tcW w:type="dxa" w:w="1440"/>
          </w:tcPr>
          <w:p>
            <w:r>
              <w:t>Error budget / 30d</w:t>
            </w:r>
          </w:p>
        </w:tc>
        <w:tc>
          <w:tcPr>
            <w:tcW w:type="dxa" w:w="1440"/>
          </w:tcPr>
          <w:p>
            <w:r>
              <w:t>P95 latency</w:t>
            </w:r>
          </w:p>
        </w:tc>
        <w:tc>
          <w:tcPr>
            <w:tcW w:type="dxa" w:w="1440"/>
          </w:tcPr>
          <w:p>
            <w:r>
              <w:t>RPO</w:t>
            </w:r>
          </w:p>
        </w:tc>
        <w:tc>
          <w:tcPr>
            <w:tcW w:type="dxa" w:w="1440"/>
          </w:tcPr>
          <w:p>
            <w:r>
              <w:t>RTO</w:t>
            </w:r>
          </w:p>
        </w:tc>
      </w:tr>
      <w:tr>
        <w:tc>
          <w:tcPr>
            <w:tcW w:type="dxa" w:w="1440"/>
          </w:tcPr>
          <w:p>
            <w:r>
              <w:t>Lean</w:t>
            </w:r>
          </w:p>
        </w:tc>
        <w:tc>
          <w:tcPr>
            <w:tcW w:type="dxa" w:w="1440"/>
          </w:tcPr>
          <w:p>
            <w:r>
              <w:t>99.0%</w:t>
            </w:r>
          </w:p>
        </w:tc>
        <w:tc>
          <w:tcPr>
            <w:tcW w:type="dxa" w:w="1440"/>
          </w:tcPr>
          <w:p>
            <w:r>
              <w:t>432.0 min</w:t>
            </w:r>
          </w:p>
        </w:tc>
        <w:tc>
          <w:tcPr>
            <w:tcW w:type="dxa" w:w="1440"/>
          </w:tcPr>
          <w:p>
            <w:r>
              <w:t>800 ms</w:t>
            </w:r>
          </w:p>
        </w:tc>
        <w:tc>
          <w:tcPr>
            <w:tcW w:type="dxa" w:w="1440"/>
          </w:tcPr>
          <w:p>
            <w:r>
              <w:t>1440 min</w:t>
            </w:r>
          </w:p>
        </w:tc>
        <w:tc>
          <w:tcPr>
            <w:tcW w:type="dxa" w:w="1440"/>
          </w:tcPr>
          <w:p>
            <w:r>
              <w:t>240 min</w:t>
            </w:r>
          </w:p>
        </w:tc>
      </w:tr>
      <w:tr>
        <w:tc>
          <w:tcPr>
            <w:tcW w:type="dxa" w:w="1440"/>
          </w:tcPr>
          <w:p>
            <w:r>
              <w:t>Balanced</w:t>
            </w:r>
          </w:p>
        </w:tc>
        <w:tc>
          <w:tcPr>
            <w:tcW w:type="dxa" w:w="1440"/>
          </w:tcPr>
          <w:p>
            <w:r>
              <w:t>99.5%</w:t>
            </w:r>
          </w:p>
        </w:tc>
        <w:tc>
          <w:tcPr>
            <w:tcW w:type="dxa" w:w="1440"/>
          </w:tcPr>
          <w:p>
            <w:r>
              <w:t>216.0 min</w:t>
            </w:r>
          </w:p>
        </w:tc>
        <w:tc>
          <w:tcPr>
            <w:tcW w:type="dxa" w:w="1440"/>
          </w:tcPr>
          <w:p>
            <w:r>
              <w:t>500 ms</w:t>
            </w:r>
          </w:p>
        </w:tc>
        <w:tc>
          <w:tcPr>
            <w:tcW w:type="dxa" w:w="1440"/>
          </w:tcPr>
          <w:p>
            <w:r>
              <w:t>60 min</w:t>
            </w:r>
          </w:p>
        </w:tc>
        <w:tc>
          <w:tcPr>
            <w:tcW w:type="dxa" w:w="1440"/>
          </w:tcPr>
          <w:p>
            <w:r>
              <w:t>60 min</w:t>
            </w:r>
          </w:p>
        </w:tc>
      </w:tr>
      <w:tr>
        <w:tc>
          <w:tcPr>
            <w:tcW w:type="dxa" w:w="1440"/>
          </w:tcPr>
          <w:p>
            <w:r>
              <w:t>Resilient</w:t>
            </w:r>
          </w:p>
        </w:tc>
        <w:tc>
          <w:tcPr>
            <w:tcW w:type="dxa" w:w="1440"/>
          </w:tcPr>
          <w:p>
            <w:r>
              <w:t>99.9%</w:t>
            </w:r>
          </w:p>
        </w:tc>
        <w:tc>
          <w:tcPr>
            <w:tcW w:type="dxa" w:w="1440"/>
          </w:tcPr>
          <w:p>
            <w:r>
              <w:t>43.2 min</w:t>
            </w:r>
          </w:p>
        </w:tc>
        <w:tc>
          <w:tcPr>
            <w:tcW w:type="dxa" w:w="1440"/>
          </w:tcPr>
          <w:p>
            <w:r>
              <w:t>300 ms</w:t>
            </w:r>
          </w:p>
        </w:tc>
        <w:tc>
          <w:tcPr>
            <w:tcW w:type="dxa" w:w="1440"/>
          </w:tcPr>
          <w:p>
            <w:r>
              <w:t>15 min</w:t>
            </w:r>
          </w:p>
        </w:tc>
        <w:tc>
          <w:tcPr>
            <w:tcW w:type="dxa" w:w="1440"/>
          </w:tcPr>
          <w:p>
            <w:r>
              <w:t>30 min</w:t>
            </w:r>
          </w:p>
        </w:tc>
      </w:tr>
    </w:tbl>
    <w:p>
      <w:pPr>
        <w:pStyle w:val="Heading1"/>
      </w:pPr>
      <w:r>
        <w:t>4. Paging thresholds</w:t>
      </w:r>
    </w:p>
    <w:p>
      <w:pPr>
        <w:pStyle w:val="ListBullet"/>
      </w:pPr>
      <w:r>
        <w:t>Page when HTTP error rate exceeds 5% for 5 minutes, or exceeds 1% for 1 hour.</w:t>
      </w:r>
    </w:p>
    <w:p>
      <w:pPr>
        <w:pStyle w:val="ListBullet"/>
      </w:pPr>
      <w:r>
        <w:t>Page when P95 latency exceeds 1.5× the scenario target for 10 consecutive minutes.</w:t>
      </w:r>
    </w:p>
    <w:p>
      <w:pPr>
        <w:pStyle w:val="ListBullet"/>
      </w:pPr>
      <w:r>
        <w:t>Page when application CPU/memory or database CPU/connections exceed 85% for 15 minutes and capacity is not recovering.</w:t>
      </w:r>
    </w:p>
    <w:p>
      <w:pPr>
        <w:pStyle w:val="ListBullet"/>
      </w:pPr>
      <w:r>
        <w:t>Page after two consecutive failed backup jobs; a single failed backup is a warning.</w:t>
      </w:r>
    </w:p>
    <w:p>
      <w:pPr>
        <w:pStyle w:val="ListBullet"/>
      </w:pPr>
      <w:r>
        <w:t>Warning-level alerts should be used below these thresholds so the team can act before the error budget is materially consumed.</w:t>
      </w:r>
    </w:p>
    <w:p>
      <w:pPr>
        <w:pStyle w:val="Heading1"/>
      </w:pPr>
      <w:r>
        <w:t>5. Three-scenario cost envelope</w:t>
      </w:r>
    </w:p>
    <w:p>
      <w:r>
        <w:t>The following allocation preserves the monthly budgets in the supplied CSV while making the cost drivers explicit. It is suitable for design review; before deployment, replace these planning numbers with a region-specific cloud pricing-calculator estimate.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Scenario</w:t>
            </w:r>
          </w:p>
        </w:tc>
        <w:tc>
          <w:tcPr>
            <w:tcW w:type="dxa" w:w="960"/>
          </w:tcPr>
          <w:p>
            <w:r>
              <w:t>Compute</w:t>
            </w:r>
          </w:p>
        </w:tc>
        <w:tc>
          <w:tcPr>
            <w:tcW w:type="dxa" w:w="960"/>
          </w:tcPr>
          <w:p>
            <w:r>
              <w:t>DB</w:t>
            </w:r>
          </w:p>
        </w:tc>
        <w:tc>
          <w:tcPr>
            <w:tcW w:type="dxa" w:w="960"/>
          </w:tcPr>
          <w:p>
            <w:r>
              <w:t>Storage</w:t>
            </w:r>
          </w:p>
        </w:tc>
        <w:tc>
          <w:tcPr>
            <w:tcW w:type="dxa" w:w="960"/>
          </w:tcPr>
          <w:p>
            <w:r>
              <w:t>Transfer</w:t>
            </w:r>
          </w:p>
        </w:tc>
        <w:tc>
          <w:tcPr>
            <w:tcW w:type="dxa" w:w="960"/>
          </w:tcPr>
          <w:p>
            <w:r>
              <w:t>Logging</w:t>
            </w:r>
          </w:p>
        </w:tc>
        <w:tc>
          <w:tcPr>
            <w:tcW w:type="dxa" w:w="960"/>
          </w:tcPr>
          <w:p>
            <w:r>
              <w:t>Backup</w:t>
            </w:r>
          </w:p>
        </w:tc>
        <w:tc>
          <w:tcPr>
            <w:tcW w:type="dxa" w:w="960"/>
          </w:tcPr>
          <w:p>
            <w:r>
              <w:t>Support/Ops</w:t>
            </w:r>
          </w:p>
        </w:tc>
        <w:tc>
          <w:tcPr>
            <w:tcW w:type="dxa" w:w="960"/>
          </w:tcPr>
          <w:p>
            <w:r>
              <w:t>Total</w:t>
            </w:r>
          </w:p>
        </w:tc>
      </w:tr>
      <w:tr>
        <w:tc>
          <w:tcPr>
            <w:tcW w:type="dxa" w:w="960"/>
          </w:tcPr>
          <w:p>
            <w:r>
              <w:t>Lean</w:t>
            </w:r>
          </w:p>
        </w:tc>
        <w:tc>
          <w:tcPr>
            <w:tcW w:type="dxa" w:w="960"/>
          </w:tcPr>
          <w:p>
            <w:r>
              <w:t>₹900</w:t>
            </w:r>
          </w:p>
        </w:tc>
        <w:tc>
          <w:tcPr>
            <w:tcW w:type="dxa" w:w="960"/>
          </w:tcPr>
          <w:p>
            <w:r>
              <w:t>₹500</w:t>
            </w:r>
          </w:p>
        </w:tc>
        <w:tc>
          <w:tcPr>
            <w:tcW w:type="dxa" w:w="960"/>
          </w:tcPr>
          <w:p>
            <w:r>
              <w:t>₹150</w:t>
            </w:r>
          </w:p>
        </w:tc>
        <w:tc>
          <w:tcPr>
            <w:tcW w:type="dxa" w:w="960"/>
          </w:tcPr>
          <w:p>
            <w:r>
              <w:t>₹250</w:t>
            </w:r>
          </w:p>
        </w:tc>
        <w:tc>
          <w:tcPr>
            <w:tcW w:type="dxa" w:w="960"/>
          </w:tcPr>
          <w:p>
            <w:r>
              <w:t>₹150</w:t>
            </w:r>
          </w:p>
        </w:tc>
        <w:tc>
          <w:tcPr>
            <w:tcW w:type="dxa" w:w="960"/>
          </w:tcPr>
          <w:p>
            <w:r>
              <w:t>₹150</w:t>
            </w:r>
          </w:p>
        </w:tc>
        <w:tc>
          <w:tcPr>
            <w:tcW w:type="dxa" w:w="960"/>
          </w:tcPr>
          <w:p>
            <w:r>
              <w:t>₹400</w:t>
            </w:r>
          </w:p>
        </w:tc>
        <w:tc>
          <w:tcPr>
            <w:tcW w:type="dxa" w:w="960"/>
          </w:tcPr>
          <w:p>
            <w:r>
              <w:t>₹2,500</w:t>
            </w:r>
          </w:p>
        </w:tc>
      </w:tr>
      <w:tr>
        <w:tc>
          <w:tcPr>
            <w:tcW w:type="dxa" w:w="960"/>
          </w:tcPr>
          <w:p>
            <w:r>
              <w:t>Balanced</w:t>
            </w:r>
          </w:p>
        </w:tc>
        <w:tc>
          <w:tcPr>
            <w:tcW w:type="dxa" w:w="960"/>
          </w:tcPr>
          <w:p>
            <w:r>
              <w:t>₹2,200</w:t>
            </w:r>
          </w:p>
        </w:tc>
        <w:tc>
          <w:tcPr>
            <w:tcW w:type="dxa" w:w="960"/>
          </w:tcPr>
          <w:p>
            <w:r>
              <w:t>₹1,800</w:t>
            </w:r>
          </w:p>
        </w:tc>
        <w:tc>
          <w:tcPr>
            <w:tcW w:type="dxa" w:w="960"/>
          </w:tcPr>
          <w:p>
            <w:r>
              <w:t>₹400</w:t>
            </w:r>
          </w:p>
        </w:tc>
        <w:tc>
          <w:tcPr>
            <w:tcW w:type="dxa" w:w="960"/>
          </w:tcPr>
          <w:p>
            <w:r>
              <w:t>₹900</w:t>
            </w:r>
          </w:p>
        </w:tc>
        <w:tc>
          <w:tcPr>
            <w:tcW w:type="dxa" w:w="960"/>
          </w:tcPr>
          <w:p>
            <w:r>
              <w:t>₹500</w:t>
            </w:r>
          </w:p>
        </w:tc>
        <w:tc>
          <w:tcPr>
            <w:tcW w:type="dxa" w:w="960"/>
          </w:tcPr>
          <w:p>
            <w:r>
              <w:t>₹500</w:t>
            </w:r>
          </w:p>
        </w:tc>
        <w:tc>
          <w:tcPr>
            <w:tcW w:type="dxa" w:w="960"/>
          </w:tcPr>
          <w:p>
            <w:r>
              <w:t>₹1,700</w:t>
            </w:r>
          </w:p>
        </w:tc>
        <w:tc>
          <w:tcPr>
            <w:tcW w:type="dxa" w:w="960"/>
          </w:tcPr>
          <w:p>
            <w:r>
              <w:t>₹8,000</w:t>
            </w:r>
          </w:p>
        </w:tc>
      </w:tr>
      <w:tr>
        <w:tc>
          <w:tcPr>
            <w:tcW w:type="dxa" w:w="960"/>
          </w:tcPr>
          <w:p>
            <w:r>
              <w:t>Resilient</w:t>
            </w:r>
          </w:p>
        </w:tc>
        <w:tc>
          <w:tcPr>
            <w:tcW w:type="dxa" w:w="960"/>
          </w:tcPr>
          <w:p>
            <w:r>
              <w:t>₹7,000</w:t>
            </w:r>
          </w:p>
        </w:tc>
        <w:tc>
          <w:tcPr>
            <w:tcW w:type="dxa" w:w="960"/>
          </w:tcPr>
          <w:p>
            <w:r>
              <w:t>₹6,000</w:t>
            </w:r>
          </w:p>
        </w:tc>
        <w:tc>
          <w:tcPr>
            <w:tcW w:type="dxa" w:w="960"/>
          </w:tcPr>
          <w:p>
            <w:r>
              <w:t>₹1,000</w:t>
            </w:r>
          </w:p>
        </w:tc>
        <w:tc>
          <w:tcPr>
            <w:tcW w:type="dxa" w:w="960"/>
          </w:tcPr>
          <w:p>
            <w:r>
              <w:t>₹2,500</w:t>
            </w:r>
          </w:p>
        </w:tc>
        <w:tc>
          <w:tcPr>
            <w:tcW w:type="dxa" w:w="960"/>
          </w:tcPr>
          <w:p>
            <w:r>
              <w:t>₹1,500</w:t>
            </w:r>
          </w:p>
        </w:tc>
        <w:tc>
          <w:tcPr>
            <w:tcW w:type="dxa" w:w="960"/>
          </w:tcPr>
          <w:p>
            <w:r>
              <w:t>₹1,500</w:t>
            </w:r>
          </w:p>
        </w:tc>
        <w:tc>
          <w:tcPr>
            <w:tcW w:type="dxa" w:w="960"/>
          </w:tcPr>
          <w:p>
            <w:r>
              <w:t>₹5,500</w:t>
            </w:r>
          </w:p>
        </w:tc>
        <w:tc>
          <w:tcPr>
            <w:tcW w:type="dxa" w:w="960"/>
          </w:tcPr>
          <w:p>
            <w:r>
              <w:t>₹25,000</w:t>
            </w:r>
          </w:p>
        </w:tc>
      </w:tr>
    </w:tbl>
    <w:p>
      <w:r>
        <w:t>Interpretation: Lean minimizes recurring spend but accepts a longer RTO/RPO; Balanced adds managed database capacity and autoscaling; Resilient spends more on redundancy, backup/recovery capability and operational headroom.</w:t>
      </w:r>
    </w:p>
    <w:p>
      <w:pPr>
        <w:pStyle w:val="Heading1"/>
      </w:pPr>
      <w:r>
        <w:t>6. Architecture Decision Records</w:t>
      </w:r>
    </w:p>
    <w:p>
      <w:r>
        <w:rPr>
          <w:b/>
        </w:rPr>
        <w:t>ADR-001 — Region</w:t>
      </w:r>
    </w:p>
    <w:p>
      <w:r>
        <w:t>Use AWS Asia Pacific (Hyderabad) as the primary region for an India-focused service. Maintain a documented restore path to a second region for the resilient scenario. The choice reduces expected network distance to the target population while keeping disaster recovery explicit.</w:t>
      </w:r>
    </w:p>
    <w:p>
      <w:r>
        <w:rPr>
          <w:b/>
        </w:rPr>
        <w:t>ADR-002 — Two-tier architecture</w:t>
      </w:r>
    </w:p>
    <w:p>
      <w:r>
        <w:t>Use a stateless application tier plus managed PostgreSQL. This separates horizontally scalable compute from persistent state and reduces operational database burden.</w:t>
      </w:r>
    </w:p>
    <w:p>
      <w:r>
        <w:rPr>
          <w:b/>
        </w:rPr>
        <w:t>ADR-003 — Recovery objectives</w:t>
      </w:r>
    </w:p>
    <w:p>
      <w:r>
        <w:t>Adopt the CSV targets: Lean RPO 24h/RTO 4h; Balanced RPO 1h/RTO 1h; Resilient RPO 15m/RTO 30m. These targets drive backup frequency, redundancy and testing.</w:t>
      </w:r>
    </w:p>
    <w:p>
      <w:r>
        <w:rPr>
          <w:b/>
        </w:rPr>
        <w:t>ADR-004 — Secrets</w:t>
      </w:r>
    </w:p>
    <w:p>
      <w:r>
        <w:t>Store DB credentials, API keys and tokens in AWS Secrets Manager. Applications retrieve secrets at runtime; secrets are not stored in Git, container images or plaintext configuration.</w:t>
      </w:r>
    </w:p>
    <w:p>
      <w:r>
        <w:rPr>
          <w:b/>
        </w:rPr>
        <w:t>ADR-005 — Least privilege</w:t>
      </w:r>
    </w:p>
    <w:p>
      <w:r>
        <w:t>Use IAM roles rather than long-lived access keys for workloads. Separate runtime, deployment and read-only operational permissions; scope resource access to the specific service resources.</w:t>
      </w:r>
    </w:p>
    <w:p>
      <w:r>
        <w:rPr>
          <w:b/>
        </w:rPr>
        <w:t>ADR-006 — Failure management</w:t>
      </w:r>
    </w:p>
    <w:p>
      <w:r>
        <w:t>Treat failures as expected operational events: detect with SLO/health signals, page on actionable thresholds, mitigate with rollback/scale/failover, and verify recovery with service and data checks.</w:t>
      </w:r>
    </w:p>
    <w:p>
      <w:pPr>
        <w:pStyle w:val="Heading1"/>
      </w:pPr>
      <w:r>
        <w:t>7. Recovery and failure runbook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Failure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Application failure</w:t>
            </w:r>
          </w:p>
        </w:tc>
        <w:tc>
          <w:tcPr>
            <w:tcW w:type="dxa" w:w="4320"/>
          </w:tcPr>
          <w:p>
            <w:r>
              <w:t>Check ALB health and application error rate → stop/rollback bad deployment → scale healthy tasks → verify 2xx and P95.</w:t>
            </w:r>
          </w:p>
        </w:tc>
      </w:tr>
      <w:tr>
        <w:tc>
          <w:tcPr>
            <w:tcW w:type="dxa" w:w="4320"/>
          </w:tcPr>
          <w:p>
            <w:r>
              <w:t>Database failure</w:t>
            </w:r>
          </w:p>
        </w:tc>
        <w:tc>
          <w:tcPr>
            <w:tcW w:type="dxa" w:w="4320"/>
          </w:tcPr>
          <w:p>
            <w:r>
              <w:t>Check DB availability/connections → fail over if Multi-AZ is enabled → otherwise restore according to RTO/RPO → verify schema/data integrity.</w:t>
            </w:r>
          </w:p>
        </w:tc>
      </w:tr>
      <w:tr>
        <w:tc>
          <w:tcPr>
            <w:tcW w:type="dxa" w:w="4320"/>
          </w:tcPr>
          <w:p>
            <w:r>
              <w:t>Traffic spike</w:t>
            </w:r>
          </w:p>
        </w:tc>
        <w:tc>
          <w:tcPr>
            <w:tcW w:type="dxa" w:w="4320"/>
          </w:tcPr>
          <w:p>
            <w:r>
              <w:t>Check P95, CPU and request rate → allow autoscaling → protect DB with connection limits/pooling → confirm error rate returns below threshold.</w:t>
            </w:r>
          </w:p>
        </w:tc>
      </w:tr>
      <w:tr>
        <w:tc>
          <w:tcPr>
            <w:tcW w:type="dxa" w:w="4320"/>
          </w:tcPr>
          <w:p>
            <w:r>
              <w:t>Bad deployment</w:t>
            </w:r>
          </w:p>
        </w:tc>
        <w:tc>
          <w:tcPr>
            <w:tcW w:type="dxa" w:w="4320"/>
          </w:tcPr>
          <w:p>
            <w:r>
              <w:t>Freeze further deployments → identify version → rollback to last known-good image → verify health checks and SLOs → record incident.</w:t>
            </w:r>
          </w:p>
        </w:tc>
      </w:tr>
      <w:tr>
        <w:tc>
          <w:tcPr>
            <w:tcW w:type="dxa" w:w="4320"/>
          </w:tcPr>
          <w:p>
            <w:r>
              <w:t>Backup failure</w:t>
            </w:r>
          </w:p>
        </w:tc>
        <w:tc>
          <w:tcPr>
            <w:tcW w:type="dxa" w:w="4320"/>
          </w:tcPr>
          <w:p>
            <w:r>
              <w:t>Treat first failure as warning → retry/repair → page on second consecutive failure → run a restore validation if backup integrity is uncertain.</w:t>
            </w:r>
          </w:p>
        </w:tc>
      </w:tr>
    </w:tbl>
    <w:p>
      <w:pPr>
        <w:pStyle w:val="Heading1"/>
      </w:pPr>
      <w:r>
        <w:t>8. Definition of done / expected proof</w:t>
      </w:r>
    </w:p>
    <w:p>
      <w:pPr>
        <w:pStyle w:val="ListBullet"/>
      </w:pPr>
      <w:r>
        <w:t>Service blueprint diagram showing request, dependency, deployment, data and failure paths.</w:t>
      </w:r>
    </w:p>
    <w:p>
      <w:pPr>
        <w:pStyle w:val="ListBullet"/>
      </w:pPr>
      <w:r>
        <w:t>SLO workbook with availability, P95 latency, RPO/RTO, error budgets and paging thresholds.</w:t>
      </w:r>
    </w:p>
    <w:p>
      <w:pPr>
        <w:pStyle w:val="ListBullet"/>
      </w:pPr>
      <w:r>
        <w:t>Three-scenario cost model with monthly envelopes and explicit cost categories.</w:t>
      </w:r>
    </w:p>
    <w:p>
      <w:pPr>
        <w:pStyle w:val="ListBullet"/>
      </w:pPr>
      <w:r>
        <w:t>Architecture Decision Records covering region, recovery objectives, secrets and least privilege.</w:t>
      </w:r>
    </w:p>
    <w:p>
      <w:pPr>
        <w:pStyle w:val="ListBullet"/>
      </w:pPr>
      <w:r>
        <w:t>Evidence to attach after implementation: dashboard screenshot, alert rules, successful deployment/rollback log, and backup restore-test record.</w:t>
      </w:r>
    </w:p>
    <w:p>
      <w:pPr>
        <w:pStyle w:val="Heading1"/>
      </w:pPr>
      <w:r>
        <w:t>9. Official references</w:t>
      </w:r>
    </w:p>
    <w:p>
      <w:pPr>
        <w:pStyle w:val="ListBullet"/>
      </w:pPr>
      <w:r>
        <w:t>AWS Well-Architected Reliability Pillar — reliability, availability, recovery and failure-management guidance.</w:t>
      </w:r>
    </w:p>
    <w:p>
      <w:pPr>
        <w:pStyle w:val="ListBullet"/>
      </w:pPr>
      <w:r>
        <w:t>Amazon ECS Service Auto Scaling — autoscaling and deployment behavior.</w:t>
      </w:r>
    </w:p>
    <w:p>
      <w:pPr>
        <w:pStyle w:val="ListBullet"/>
      </w:pPr>
      <w:r>
        <w:t>Amazon RDS backups — automated backups and point-in-time recovery.</w:t>
      </w:r>
    </w:p>
    <w:p>
      <w:pPr>
        <w:pStyle w:val="ListBullet"/>
      </w:pPr>
      <w:r>
        <w:t>AWS IAM security best practices — temporary credentials and least privilege.</w:t>
      </w:r>
    </w:p>
    <w:p>
      <w:pPr>
        <w:pStyle w:val="ListBullet"/>
      </w:pPr>
      <w:r>
        <w:t>AWS Secrets Manager best practices — secret storage, rotation and access control.</w:t>
      </w:r>
    </w:p>
    <w:p>
      <w:pPr>
        <w:pStyle w:val="ListBullet"/>
      </w:pPr>
      <w:r>
        <w:t>Amazon CloudWatch pricing — usage-based monitoring/logging pricing.</w:t>
      </w:r>
    </w:p>
    <w:p>
      <w:pPr>
        <w:pStyle w:val="ListBullet"/>
      </w:pPr>
      <w:r>
        <w:t>Amazon S3 pricing — storage, request and transfer cost components.</w:t>
      </w:r>
    </w:p>
    <w:p>
      <w:pPr>
        <w:pStyle w:val="ListBullet"/>
      </w:pPr>
      <w:r>
        <w:t>Amazon RDS pricing — managed database pricing model.</w:t>
      </w:r>
    </w:p>
    <w:p>
      <w:pPr>
        <w:pStyle w:val="ListBullet"/>
      </w:pPr>
      <w:r>
        <w:t>AWS Backup pricing — backup storage, transfer and restore pricing.</w:t>
      </w:r>
    </w:p>
    <w:p/>
    <w:p>
      <w:r>
        <w:t>Submission note: The workbook and blueprint image are separate proof artifacts. Use the DOCX as the main report and attach the XLSX and PNG alongside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