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sz w:val="32"/>
          <w:szCs w:val="32"/>
        </w:rPr>
        <w:drawing>
          <wp:inline distT="0" distB="0" distL="0" distR="0" wp14:anchorId="65D3EABE">
            <wp:extent cx="1057275" cy="1053973"/>
            <wp:effectExtent l="0" t="0" r="0" b="0"/>
            <wp:docPr id="3130523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3772" cy="10704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6"/>
          <w:szCs w:val="36"/>
        </w:rPr>
      </w:pPr>
      <w:r w:rsidRPr="00555126">
        <w:rPr>
          <w:rFonts w:ascii="TH Sarabun New" w:hAnsi="TH Sarabun New" w:cs="TH Sarabun New" w:hint="cs"/>
          <w:noProof w:val="0"/>
          <w:sz w:val="36"/>
          <w:szCs w:val="36"/>
          <w:cs/>
        </w:rPr>
        <w:t xml:space="preserve">การเขียนเรียงความขั้นสูง </w:t>
      </w:r>
      <w:r w:rsidRPr="00555126">
        <w:rPr>
          <w:rFonts w:ascii="TH Sarabun New" w:hAnsi="TH Sarabun New" w:cs="TH Sarabun New"/>
          <w:noProof w:val="0"/>
          <w:sz w:val="36"/>
          <w:szCs w:val="36"/>
        </w:rPr>
        <w:t>(Extended-Essay)</w:t>
      </w:r>
    </w:p>
    <w:p w:rsidR="00F455D8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40"/>
          <w:szCs w:val="40"/>
          <w:cs/>
        </w:rPr>
      </w:pPr>
      <w:r w:rsidRPr="00555126">
        <w:rPr>
          <w:rFonts w:ascii="TH Sarabun New" w:hAnsi="TH Sarabun New" w:cs="TH Sarabun New" w:hint="cs"/>
          <w:noProof w:val="0"/>
          <w:sz w:val="40"/>
          <w:szCs w:val="40"/>
          <w:cs/>
        </w:rPr>
        <w:t xml:space="preserve">เรื่อง </w:t>
      </w:r>
      <w:r w:rsidR="00BA0468" w:rsidRPr="00BA0468">
        <w:rPr>
          <w:rFonts w:ascii="TH Sarabun New" w:hAnsi="TH Sarabun New" w:cs="TH Sarabun New"/>
          <w:noProof w:val="0"/>
          <w:sz w:val="40"/>
          <w:szCs w:val="40"/>
          <w:cs/>
        </w:rPr>
        <w:t>การพัฒนาเกมเพื่อถ่ายทอดประสบการณ์ด้านสุขภาพจิตผ่านมุมมอง</w:t>
      </w:r>
      <w:r w:rsidR="00BA0468">
        <w:rPr>
          <w:rFonts w:ascii="TH Sarabun New" w:hAnsi="TH Sarabun New" w:cs="TH Sarabun New" w:hint="cs"/>
          <w:noProof w:val="0"/>
          <w:sz w:val="40"/>
          <w:szCs w:val="40"/>
          <w:cs/>
        </w:rPr>
        <w:t>ผู้อื่น</w:t>
      </w:r>
    </w:p>
    <w:p w:rsidR="00F455D8" w:rsidRPr="00555126" w:rsidRDefault="00555126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  <w:r w:rsidRPr="00555126">
        <w:rPr>
          <w:rFonts w:ascii="TH Sarabun New" w:hAnsi="TH Sarabun New" w:cs="TH Sarabun New" w:hint="cs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4095115" cy="2138680"/>
                <wp:effectExtent l="0" t="0" r="19685" b="13970"/>
                <wp:wrapSquare wrapText="bothSides"/>
                <wp:docPr id="1403788574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115" cy="21386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0ED06" id="สี่เหลี่ยมผืนผ้า 3" o:spid="_x0000_s1026" style="position:absolute;margin-left:0;margin-top:.7pt;width:322.45pt;height:168.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" fillcolor="#4472c4 [3204]" strokecolor="#1f3763 [1604]" strokeweight="1pt">
                <w10:wrap type="square" anchorx="margin"/>
              </v:rect>
            </w:pict>
          </mc:Fallback>
        </mc:AlternateContent>
      </w:r>
    </w:p>
    <w:p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F455D8" w:rsidRPr="00555126" w:rsidRDefault="00F455D8" w:rsidP="00BA0468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555126" w:rsidRP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rPr>
          <w:rFonts w:ascii="TH Sarabun New" w:hAnsi="TH Sarabun New" w:cs="TH Sarabun New"/>
          <w:noProof w:val="0"/>
          <w:sz w:val="40"/>
          <w:szCs w:val="40"/>
        </w:rPr>
      </w:pPr>
    </w:p>
    <w:p w:rsidR="00FC75AD" w:rsidRPr="00555126" w:rsidRDefault="00F455D8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จัดทำโดย</w:t>
      </w:r>
    </w:p>
    <w:p w:rsidR="005F6956" w:rsidRPr="00555126" w:rsidRDefault="005F695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นายกฤษฎ์ติกุณ    วงษ์นิล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>16</w:t>
      </w:r>
    </w:p>
    <w:p w:rsidR="00FC75AD" w:rsidRPr="00555126" w:rsidRDefault="00FC75AD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>นายเทพศิรินทร์</w:t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ลี้กุล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="00A113E5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เลขที่ </w:t>
      </w:r>
      <w:r w:rsidR="00A113E5" w:rsidRPr="00555126">
        <w:rPr>
          <w:rFonts w:ascii="TH Sarabun New" w:hAnsi="TH Sarabun New" w:cs="TH Sarabun New"/>
          <w:noProof w:val="0"/>
          <w:sz w:val="32"/>
          <w:szCs w:val="32"/>
        </w:rPr>
        <w:t>25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 xml:space="preserve">นายณัฐชนน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ประดับ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26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  <w:t xml:space="preserve">นายบวรวิชญ์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ปัญญาธนะโสภณ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31</w:t>
      </w:r>
    </w:p>
    <w:p w:rsidR="00A113E5" w:rsidRPr="00555126" w:rsidRDefault="00A113E5" w:rsidP="00BA0468">
      <w:pPr>
        <w:tabs>
          <w:tab w:val="left" w:pos="1890"/>
          <w:tab w:val="left" w:pos="5940"/>
        </w:tabs>
        <w:spacing w:after="0" w:line="240" w:lineRule="auto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นาย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หรรษกานต์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เกษมพิณ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ab/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เลขที่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32</w:t>
      </w:r>
    </w:p>
    <w:p w:rsidR="005F6956" w:rsidRPr="00555126" w:rsidRDefault="00A113E5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ชั้นมัธยมศึกษา</w:t>
      </w:r>
      <w:r w:rsidR="005F695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ปีที่ </w:t>
      </w:r>
      <w:r w:rsidR="005F6956" w:rsidRPr="00555126">
        <w:rPr>
          <w:rFonts w:ascii="TH Sarabun New" w:hAnsi="TH Sarabun New" w:cs="TH Sarabun New"/>
          <w:noProof w:val="0"/>
          <w:sz w:val="32"/>
          <w:szCs w:val="32"/>
        </w:rPr>
        <w:t>6/3</w:t>
      </w:r>
    </w:p>
    <w:p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นำเสนอ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มิสพรทิพย์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สังเกต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มิสสุภาณี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สุภาพ</w:t>
      </w:r>
    </w:p>
    <w:p w:rsidR="00A113E5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>มิสพัฒนี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 xml:space="preserve">   </w:t>
      </w:r>
      <w:r w:rsidRPr="00555126">
        <w:rPr>
          <w:rFonts w:ascii="TH Sarabun New" w:hAnsi="TH Sarabun New" w:cs="TH Sarabun New"/>
          <w:noProof w:val="0"/>
          <w:sz w:val="32"/>
          <w:szCs w:val="32"/>
          <w:cs/>
        </w:rPr>
        <w:t xml:space="preserve"> สกุลช่างเสนาะ</w:t>
      </w: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</w:p>
    <w:p w:rsidR="005F695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เป็นส่วนหนึ่งของวิชา</w:t>
      </w:r>
      <w:r w:rsidRPr="00555126">
        <w:rPr>
          <w:rFonts w:ascii="TH Sarabun New" w:hAnsi="TH Sarabun New" w:cs="TH Sarabun New"/>
          <w:noProof w:val="0"/>
          <w:sz w:val="32"/>
          <w:szCs w:val="32"/>
        </w:rPr>
        <w:t xml:space="preserve"> IS </w:t>
      </w: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กลุ่มสาระการเรียนรู้วิทยาศาสตร์และเทคโนโลยี</w:t>
      </w:r>
    </w:p>
    <w:p w:rsidR="00555126" w:rsidRPr="00555126" w:rsidRDefault="005F695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  <w:cs/>
        </w:rPr>
      </w:pPr>
      <w:r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โรงเรียนอัสส</w:t>
      </w:r>
      <w:r w:rsidR="00555126" w:rsidRPr="00555126">
        <w:rPr>
          <w:rFonts w:ascii="TH Sarabun New" w:hAnsi="TH Sarabun New" w:cs="TH Sarabun New" w:hint="cs"/>
          <w:noProof w:val="0"/>
          <w:sz w:val="32"/>
          <w:szCs w:val="32"/>
          <w:cs/>
        </w:rPr>
        <w:t>ัมชัญระยอง อำเภอเมืองระยอง จังหวัดระยอง</w:t>
      </w:r>
    </w:p>
    <w:p w:rsidR="00555126" w:rsidRPr="00555126" w:rsidRDefault="00555126" w:rsidP="00555126">
      <w:pPr>
        <w:tabs>
          <w:tab w:val="left" w:pos="1440"/>
          <w:tab w:val="left" w:pos="5490"/>
        </w:tabs>
        <w:spacing w:after="0" w:line="240" w:lineRule="auto"/>
        <w:jc w:val="center"/>
        <w:rPr>
          <w:rFonts w:ascii="TH Sarabun New" w:hAnsi="TH Sarabun New" w:cs="TH Sarabun New"/>
          <w:noProof w:val="0"/>
          <w:sz w:val="32"/>
          <w:szCs w:val="32"/>
        </w:rPr>
        <w:sectPr w:rsidR="00555126" w:rsidRPr="00555126" w:rsidSect="007B7D8C">
          <w:headerReference w:type="default" r:id="rId9"/>
          <w:pgSz w:w="11906" w:h="16838"/>
          <w:pgMar w:top="1440" w:right="1440" w:bottom="1440" w:left="2160" w:header="706" w:footer="706" w:gutter="0"/>
          <w:cols w:space="708"/>
          <w:titlePg/>
          <w:docGrid w:linePitch="360"/>
        </w:sectPr>
      </w:pPr>
    </w:p>
    <w:p w:rsidR="005F695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555126">
        <w:rPr>
          <w:rFonts w:ascii="TH Sarabun New" w:hAnsi="TH Sarabun New" w:cs="TH Sarabun New" w:hint="cs"/>
          <w:b/>
          <w:bCs/>
          <w:noProof w:val="0"/>
          <w:sz w:val="36"/>
          <w:szCs w:val="36"/>
          <w:cs/>
        </w:rPr>
        <w:lastRenderedPageBreak/>
        <w:t xml:space="preserve">บทที่ </w:t>
      </w:r>
      <w:r w:rsidRPr="00555126">
        <w:rPr>
          <w:rFonts w:ascii="TH Sarabun New" w:hAnsi="TH Sarabun New" w:cs="TH Sarabun New"/>
          <w:b/>
          <w:bCs/>
          <w:noProof w:val="0"/>
          <w:sz w:val="36"/>
          <w:szCs w:val="36"/>
        </w:rPr>
        <w:t>1</w:t>
      </w:r>
    </w:p>
    <w:p w:rsidR="00555126" w:rsidRDefault="00555126" w:rsidP="00555126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บทนำ</w:t>
      </w:r>
    </w:p>
    <w:p w:rsidR="00BA0468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A0468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ความเป็นมาและความสำคัญของปัญหา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:rsidR="0070229E" w:rsidRPr="0070229E" w:rsidRDefault="00BA0468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0229E" w:rsidRPr="0070229E">
        <w:rPr>
          <w:rFonts w:ascii="TH Sarabun New" w:hAnsi="TH Sarabun New" w:cs="TH Sarabun New" w:hint="cs"/>
          <w:sz w:val="32"/>
          <w:szCs w:val="32"/>
          <w:cs/>
        </w:rPr>
        <w:t>ใ</w:t>
      </w:r>
      <w:r w:rsidR="0070229E" w:rsidRPr="0070229E">
        <w:rPr>
          <w:rFonts w:ascii="TH Sarabun New" w:hAnsi="TH Sarabun New" w:cs="TH Sarabun New"/>
          <w:sz w:val="32"/>
          <w:szCs w:val="32"/>
          <w:cs/>
        </w:rPr>
        <w:t>นปัจจุบัน ปัญหาด้านสุขภาพจิตและความเครียดในกลุ่มนักเรียนนักศึกษามีแนวโน้มเพิ่มสูงขึ้นอย่างต่อเนื่อง โดยเฉพาะในสังคมที่ให้ความสำคัญกับผลการเรียน ความสำเร็จ และภาพลักษณ์ภายนอก ทำให้นักเรียนหลายคนต้องแบกรับความกดดันทั้งจากตนเอง ครอบครัว และสังคมรอบข้าง โดยที่ความรู้สึกและความยากลำบากทางอารมณ์เหล่านี้มักไม่ได้ถูกแสดงออกอย่างชัดเจน</w:t>
      </w:r>
    </w:p>
    <w:p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บุคคลจำนวนมากที่ประสบปัญหาทางอารมณ์หรือความเครียดสะสม มักเลือกที่จะปกปิดความรู้สึกที่แท้จริงของตนเอง และแสดงออกต่อผู้อื่นด้วยท่าทีปกติ ร่าเริง หรือมั่นคง ทั้งที่ภายในกำลังเผชิญกับความยากลำบาก การที่พฤติกรรมภายนอกไม่สอดคล้องกับสภาวะภายในนี้ ทำให้คนรอบข้าง เพื่อน หรือแม้แต่ครอบครัว ไม่สามารถสังเกตเห็นหรือเข้าใจสิ่งที่บุคคลนั้นกำลังเผชิญอยู่ได้</w:t>
      </w:r>
    </w:p>
    <w:p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สื่อบันเทิงในรูปแบบต่าง ๆ โดยเฉพาะวิดีโอเกม มีศักยภาพในการเป็นเครื่องมือสื่อสารประเด็นทางสังคมและอารมณ์ได้อย่างมีประสิทธิภาพ เนื่องจากเกมเป็นสื่อเชิงโต้ตอบ (</w:t>
      </w:r>
      <w:r w:rsidRPr="0070229E">
        <w:rPr>
          <w:rFonts w:ascii="TH Sarabun New" w:hAnsi="TH Sarabun New" w:cs="TH Sarabun New"/>
          <w:sz w:val="32"/>
          <w:szCs w:val="32"/>
        </w:rPr>
        <w:t xml:space="preserve">Interactive Media) </w:t>
      </w:r>
      <w:r w:rsidRPr="0070229E">
        <w:rPr>
          <w:rFonts w:ascii="TH Sarabun New" w:hAnsi="TH Sarabun New" w:cs="TH Sarabun New"/>
          <w:sz w:val="32"/>
          <w:szCs w:val="32"/>
          <w:cs/>
        </w:rPr>
        <w:t>ที่ผู้เล่นไม่ได้เป็นเพียงผู้รับสารแบบเฉื่อย แต่เป็นผู้มีส่วนร่วมโดยตรงผ่านการตัดสินใจและการเลือก อย่างไรก็ตาม เกมที่นำเสนอประเด็นสุขภาพจิตในลักษณะที่ละเอียดอ่อน สมจริง และไม่ตีตราผู้ที่มีความยากลำบากทางอารมณ์ ยังมีอยู่อย่างจำกัด</w:t>
      </w:r>
    </w:p>
    <w:p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  <w:cs/>
        </w:rPr>
        <w:t>ด้วยเหตุนี้ ผู้จัดทำจึงเล็งเห็นความสำคัญของการพัฒนาเกมวิชวลโนเวล (</w:t>
      </w:r>
      <w:r w:rsidRPr="0070229E">
        <w:rPr>
          <w:rFonts w:ascii="TH Sarabun New" w:hAnsi="TH Sarabun New" w:cs="TH Sarabun New"/>
          <w:sz w:val="32"/>
          <w:szCs w:val="32"/>
        </w:rPr>
        <w:t xml:space="preserve">Visual Novel) </w:t>
      </w:r>
      <w:r w:rsidRPr="0070229E">
        <w:rPr>
          <w:rFonts w:ascii="TH Sarabun New" w:hAnsi="TH Sarabun New" w:cs="TH Sarabun New"/>
          <w:sz w:val="32"/>
          <w:szCs w:val="32"/>
          <w:cs/>
        </w:rPr>
        <w:t xml:space="preserve">ที่ชื่อว่า </w:t>
      </w:r>
      <w:r w:rsidRPr="00EB7347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Pr="0070229E">
        <w:rPr>
          <w:rFonts w:ascii="TH Sarabun New" w:hAnsi="TH Sarabun New" w:cs="TH Sarabun New"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ขึ้น เพื่อใช้เป็นสื่อในการถ่ายทอดประสบการณ์ทางอารมณ์ของนักเรียนมัธยมศึกษาผ่านมุมมองของตัวละครหลายตัว โดยให้ผู้เล่นได้สัมผัสเหตุการณ์ในชีวิตประจำวันของตัวละครแต่ละคนอย่างใกล้ชิด เพื่อสร้างความเข้าใจและความเห็นอกเห็นใจต่อผู้อื่น โดยไม่มุ่งเน้นการวินิจฉัยหรือให้คำจำกัดความปัญหาสุขภาพจิตแต่อย่างใด แต่เน้นการสะท้อนให้เห็นว่า พฤติกรรมที่ปรากฏภายนอกอาจไม่ได้สะท้อนความรู้สึกที่แท้จริงภายในของบุคคลนั้นเสมอไป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70229E" w:rsidRDefault="0070229E" w:rsidP="002272EA">
      <w:p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0229E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วัตถุประสงค์</w:t>
      </w:r>
    </w:p>
    <w:p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เพื่อพัฒนาเกมวิชวลโนเวลที่นำเสนอเรื่องราวผ่านมุมมองของตัวละครนักเรียนมัธยมศึกษาหลายคน</w:t>
      </w:r>
    </w:p>
    <w:p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ร้างความตระหนักรู้ว่าความยากลำบากทางอารมณ์อาจไม่สามารถสังเกตได้จากพฤติกรรมภายนอกของบุคคลเสมอไป</w:t>
      </w:r>
    </w:p>
    <w:p w:rsidR="0070229E" w:rsidRP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เพื่อส่งเสริมให้ผู้เล่นเกิดการไตร่ตรองเกี่ยวกับการสื่อสาร การให้กำลังใจ และความสัมพันธ์ระหว่างเพื่อนนักเรียน</w:t>
      </w:r>
    </w:p>
    <w:p w:rsidR="0070229E" w:rsidRDefault="0070229E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70229E">
        <w:rPr>
          <w:rFonts w:ascii="TH Sarabun New" w:hAnsi="TH Sarabun New" w:cs="TH Sarabun New"/>
          <w:sz w:val="32"/>
          <w:szCs w:val="32"/>
          <w:cs/>
        </w:rPr>
        <w:t>เพื่อศึกษาและประยุกต์ใช้วิดีโอเกมเป็นสื่อกลางเชิงโต้ตอบในการนำเสนอประเด็นทางสังคมและอารมณ์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ประโยชน์ที่ควรจะได้รับ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70229E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ได้เกมวิชวลโนเวลต้นแบบที่สามารถใช้เป็นสื่อสร้างความตระหนักรู้ด้านสุขภาพจิตและอารมณ์ในกลุ่มนักเรียน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ผู้เล่นมีความเข้าใจและเห็นอกเห็นใจผู้อื่นมากขึ้น ผ่านการรับรู้มุมมองที่หลากหลายของตัวละครในเกม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EB7347">
        <w:rPr>
          <w:rFonts w:ascii="TH Sarabun New" w:hAnsi="TH Sarabun New" w:cs="TH Sarabun New"/>
          <w:sz w:val="32"/>
          <w:szCs w:val="32"/>
          <w:cs/>
        </w:rPr>
        <w:t>เป็นแนวทางและกรณีศึกษาสำหรับการพัฒนาสื่อเชิงโต้ตอบที่นำเสนอประเด็นทางสังคมและจิตใจในรูปแบบอื่น ๆ ต่อไป</w:t>
      </w:r>
    </w:p>
    <w:p w:rsidR="00BA0468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EB7347">
        <w:rPr>
          <w:rFonts w:ascii="TH Sarabun New" w:hAnsi="TH Sarabun New" w:cs="TH Sarabun New"/>
          <w:sz w:val="32"/>
          <w:szCs w:val="32"/>
          <w:cs/>
        </w:rPr>
        <w:t>ผู้จัดทำได้พัฒนาทักษะด้านการออกแบบเกม การเขียนบทเรื่องราว การเขียนโปรแกรม และการออกแบบระบบเชิงอารมณ์ภายในเกม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t>นิยามศัพท์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วิชวลโนเวล (</w:t>
      </w:r>
      <w:r w:rsidRPr="00EB7347">
        <w:rPr>
          <w:rFonts w:ascii="TH Sarabun New" w:hAnsi="TH Sarabun New" w:cs="TH Sarabun New"/>
          <w:sz w:val="32"/>
          <w:szCs w:val="32"/>
        </w:rPr>
        <w:t>Visual Novel)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ประเภทของเกมที่เล่าเรื่องผ่านบทสนทนา ภาพนิ่งหรือภาพเคลื่อนไหวประกอบฉาก และตัวเลือกที่ผู้เล่นสามารถตัดสินใจได้ระหว่างการดำเนินเรื่อง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มุมมองตัวละคร (</w:t>
      </w:r>
      <w:r w:rsidRPr="00EB7347">
        <w:rPr>
          <w:rFonts w:ascii="TH Sarabun New" w:hAnsi="TH Sarabun New" w:cs="TH Sarabun New"/>
          <w:sz w:val="32"/>
          <w:szCs w:val="32"/>
        </w:rPr>
        <w:t>Character Perspective / Route)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คือ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เส้นทางการดำเนินเรื่องที่นำเสนอผ่านสายตาและความคิดของตัวละครแต่ละตัว ซึ่งทำให้ผู้เล่นได้รับรู้เหตุการณ์เดียวกันในมุมมองที่แตกต่างกันออกไป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การรับรู้มุมมองผู้อื่น (</w:t>
      </w:r>
      <w:r w:rsidRPr="00EB7347">
        <w:rPr>
          <w:rFonts w:ascii="TH Sarabun New" w:hAnsi="TH Sarabun New" w:cs="TH Sarabun New"/>
          <w:sz w:val="32"/>
          <w:szCs w:val="32"/>
        </w:rPr>
        <w:t>Perspective-taking)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กระบวนการที่ผู้เล่นสวมบทบาทหรือมองเหตุการณ์ผ่านสายตาของตัวละครอื่น เพื่อสร้างความเข้าใจในความคิดและความรู้สึกของบุคคลนั้น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7347">
        <w:rPr>
          <w:rFonts w:ascii="TH Sarabun New" w:hAnsi="TH Sarabun New" w:cs="TH Sarabun New"/>
          <w:sz w:val="32"/>
          <w:szCs w:val="32"/>
          <w:cs/>
        </w:rPr>
        <w:t>สุขภาวะทางอารมณ์ (</w:t>
      </w:r>
      <w:r w:rsidRPr="00EB7347">
        <w:rPr>
          <w:rFonts w:ascii="TH Sarabun New" w:hAnsi="TH Sarabun New" w:cs="TH Sarabun New"/>
          <w:sz w:val="32"/>
          <w:szCs w:val="32"/>
        </w:rPr>
        <w:t xml:space="preserve">Emotional Wellbeing)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คือ </w:t>
      </w:r>
      <w:r w:rsidRPr="00EB7347">
        <w:rPr>
          <w:rFonts w:ascii="TH Sarabun New" w:hAnsi="TH Sarabun New" w:cs="TH Sarabun New"/>
          <w:sz w:val="32"/>
          <w:szCs w:val="32"/>
          <w:cs/>
        </w:rPr>
        <w:t>สภาวะความสมดุลทางจิตใจและอารมณ์ของบุคคล ซึ่งในบริบทของเกมนี้หมายถึงประเด็นที่เกมต้องการสื่อสารในเชิงสร้างความตระหนักรู้ มิใช่การวินิจฉัยทางการแพทย์</w:t>
      </w:r>
    </w:p>
    <w:p w:rsidR="007B7D8C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ขอบเข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ตกา</w:t>
      </w:r>
      <w:r w:rsidRPr="007B7D8C">
        <w:rPr>
          <w:rFonts w:ascii="TH Sarabun New" w:hAnsi="TH Sarabun New" w:cs="TH Sarabun New"/>
          <w:b/>
          <w:bCs/>
          <w:sz w:val="32"/>
          <w:szCs w:val="32"/>
          <w:cs/>
        </w:rPr>
        <w:t>ร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ทำโครงงาน</w:t>
      </w:r>
    </w:p>
    <w:p w:rsidR="00A159B5" w:rsidRPr="00A159B5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การศึกษาค้นคว้าครั้งนี้มุ่งเน้นไปที่การออกแบบและพัฒนาเกมวิชวลโนเวล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A159B5" w:rsidRPr="00A159B5">
        <w:rPr>
          <w:rFonts w:ascii="TH Sarabun New" w:hAnsi="TH Sarabun New" w:cs="TH Sarabun New"/>
          <w:sz w:val="32"/>
          <w:szCs w:val="32"/>
        </w:rPr>
        <w:t xml:space="preserve"> 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ซึ่งนำเสนอเรื่องราวผ่านมุมมองของตัวละครนักเรียนมัธยมศึกษาหลายคน โดยศึกษาผลกระทบของการเล่าเรื่องแบบหลายมุมมองและระบบน้ำหนักทางอารมณ์ที่มีต่อความเข้าใจ ความเห็นอกเห็นใจ และการรับรู้ของผู้เล่นต่อประเด็นด้านสุขภาวะทางอารมณ์ในวัยเรียน</w:t>
      </w:r>
      <w:r w:rsidR="002D560F">
        <w:rPr>
          <w:rFonts w:ascii="TH Sarabun New" w:hAnsi="TH Sarabun New" w:cs="TH Sarabun New"/>
          <w:sz w:val="32"/>
          <w:szCs w:val="32"/>
        </w:rPr>
        <w:t xml:space="preserve"> </w:t>
      </w:r>
      <w:r w:rsidR="002D560F" w:rsidRPr="002D560F">
        <w:rPr>
          <w:rFonts w:ascii="TH Sarabun New" w:hAnsi="TH Sarabun New" w:cs="TH Sarabun New"/>
          <w:sz w:val="32"/>
          <w:szCs w:val="32"/>
          <w:u w:val="single"/>
          <w:cs/>
        </w:rPr>
        <w:t>เกมมิได้มีวัตถุประสงค์เพื่อวินิจฉัยหรือให้การรักษาทางการแพทย์ด้านสุขภาพจิตแต่อย่างใด</w:t>
      </w:r>
    </w:p>
    <w:p w:rsidR="00A159B5" w:rsidRPr="00A159B5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>กลุ่มตัวอย่างในการศึกษาครั้งนี้ คือ นักเรียนระดับชั้น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มัธยมศึกษาตอนปลาย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โรงเรียน</w:t>
      </w:r>
      <w:r w:rsidR="00A159B5">
        <w:rPr>
          <w:rFonts w:ascii="TH Sarabun New" w:hAnsi="TH Sarabun New" w:cs="TH Sarabun New" w:hint="cs"/>
          <w:sz w:val="32"/>
          <w:szCs w:val="32"/>
          <w:cs/>
        </w:rPr>
        <w:t>อัสสัมชัญระยอง</w:t>
      </w:r>
      <w:r w:rsidR="00A159B5" w:rsidRPr="00A159B5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 xml:space="preserve">การเก็บข้อมูลและสำรวจความคิดเห็นจากผู้เล่น โดยให้กลุ่มตัวอย่างทดลองเล่นเกมในรูปแบบไฟล์ที่พัฒนาด้วยโปรแกรม </w:t>
      </w:r>
      <w:r w:rsidRPr="00A159B5">
        <w:rPr>
          <w:rFonts w:ascii="TH Sarabun New" w:hAnsi="TH Sarabun New" w:cs="TH Sarabun New"/>
          <w:sz w:val="32"/>
          <w:szCs w:val="32"/>
        </w:rPr>
        <w:t xml:space="preserve">Godot 4 </w:t>
      </w:r>
      <w:r w:rsidRPr="00A159B5">
        <w:rPr>
          <w:rFonts w:ascii="TH Sarabun New" w:hAnsi="TH Sarabun New" w:cs="TH Sarabun New"/>
          <w:sz w:val="32"/>
          <w:szCs w:val="32"/>
          <w:cs/>
        </w:rPr>
        <w:t>และเก็บข้อมูลผ่านแบบสอบถามหรือแบบสัมภาษณ์หลังการเล่น</w:t>
      </w:r>
    </w:p>
    <w:p w:rsidR="00A159B5" w:rsidRPr="00A159B5" w:rsidRDefault="00A159B5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A159B5">
        <w:rPr>
          <w:rFonts w:ascii="TH Sarabun New" w:hAnsi="TH Sarabun New" w:cs="TH Sarabun New"/>
          <w:sz w:val="32"/>
          <w:szCs w:val="32"/>
          <w:cs/>
        </w:rPr>
        <w:t>การศึกษาครั้งนี้มุ่งเน้นการรวบรวมข้อมูลเกี่ยวกับผลของการออกแบบเกมเชิงเล่าเรื่องที่มีต่อความเข้าใจและความเห็นอกเห็นใจของผู้เล่น เพื่อเป็นแนวทางในการพัฒนาสื่อเชิงโต้ตอบสำหรับสร้างความตระหนักรู้ด้านสุขภาวะทางอารมณ์ในกลุ่มนักเรียนต่อไป</w:t>
      </w:r>
    </w:p>
    <w:p w:rsidR="007B7D8C" w:rsidRDefault="007B7D8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D560F">
        <w:rPr>
          <w:rFonts w:ascii="TH Sarabun New" w:hAnsi="TH Sarabun New" w:cs="TH Sarabun New"/>
          <w:b/>
          <w:bCs/>
          <w:sz w:val="32"/>
          <w:szCs w:val="32"/>
          <w:cs/>
        </w:rPr>
        <w:t>ตัวแปรที่ต้องการศึกษา</w:t>
      </w:r>
    </w:p>
    <w:p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ตัวแปรต้น</w:t>
      </w:r>
      <w:r w:rsidR="00EB0B7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มุมมองตัวละครที่ผู้เล่นเลือกดำเนินเรื่องผ่าน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ตัวเลือกบทสนทนาที่ผู้เล่นเลือกระหว่างการเล่น</w:t>
      </w:r>
    </w:p>
    <w:p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ตัวแปรตาม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 xml:space="preserve">ความเข้าใจและความเห็นอกเห็นใจของผู้เล่นที่มีต่อตัวละคร </w:t>
      </w:r>
    </w:p>
    <w:p w:rsidR="002D560F" w:rsidRP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EB0B7C">
        <w:rPr>
          <w:rFonts w:ascii="TH Sarabun New" w:hAnsi="TH Sarabun New" w:cs="TH Sarabun New"/>
          <w:b/>
          <w:bCs/>
          <w:sz w:val="32"/>
          <w:szCs w:val="32"/>
          <w:cs/>
        </w:rPr>
        <w:t>ตัวแปรควบคุม</w:t>
      </w:r>
      <w:r w:rsidR="00EB0B7C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EB0B7C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โครงสร้างพื้นฐานของเกม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สภาพแวดล้อมและบริบทของเรื่องราว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D560F">
        <w:rPr>
          <w:rFonts w:ascii="TH Sarabun New" w:hAnsi="TH Sarabun New" w:cs="TH Sarabun New"/>
          <w:sz w:val="32"/>
          <w:szCs w:val="32"/>
          <w:cs/>
        </w:rPr>
        <w:t>กลุ่มผู้เล่นที่ใช้ในการทดสอบเกมมีลักษณะใกล้เคียงกับกลุ่มเป้าหมายของเกม</w:t>
      </w:r>
    </w:p>
    <w:p w:rsidR="002D560F" w:rsidRDefault="002D560F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:rsidR="00EB0B7C" w:rsidRDefault="00EB0B7C" w:rsidP="002272EA">
      <w:pPr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B7347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วิธีการดำเนินงาน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1. </w:t>
      </w:r>
      <w:r w:rsidRPr="00EB7347">
        <w:rPr>
          <w:rFonts w:ascii="TH Sarabun New" w:hAnsi="TH Sarabun New" w:cs="TH Sarabun New"/>
          <w:sz w:val="32"/>
          <w:szCs w:val="32"/>
          <w:cs/>
        </w:rPr>
        <w:t>ศึกษาแนวคิดเกี่ยวกับสุขภาพจิตในวัยเรียน รูปแบบเกมวิชวลโนเวล และกลไกการเล่าเรื่องเชิงโต้ตอบที่เกี่ยวข้อง เพื่อเป็นแนวทางในการออกแบบเนื้อหาและระบบเกม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A159B5">
        <w:rPr>
          <w:rFonts w:ascii="TH Sarabun New" w:hAnsi="TH Sarabun New" w:cs="TH Sarabun New"/>
          <w:sz w:val="32"/>
          <w:szCs w:val="32"/>
        </w:rPr>
        <w:t xml:space="preserve">2. </w:t>
      </w:r>
      <w:r w:rsidRPr="00EB7347">
        <w:rPr>
          <w:rFonts w:ascii="TH Sarabun New" w:hAnsi="TH Sarabun New" w:cs="TH Sarabun New"/>
          <w:sz w:val="32"/>
          <w:szCs w:val="32"/>
          <w:cs/>
        </w:rPr>
        <w:t>กำหนดโครงเรื่องหลัก พัฒนาตัวละคร</w:t>
      </w:r>
      <w:r w:rsidRPr="00EB7347">
        <w:rPr>
          <w:rFonts w:ascii="TH Sarabun New" w:hAnsi="TH Sarabun New" w:cs="TH Sarabun New"/>
          <w:sz w:val="32"/>
          <w:szCs w:val="32"/>
        </w:rPr>
        <w:t xml:space="preserve"> </w:t>
      </w:r>
      <w:r w:rsidRPr="00EB7347">
        <w:rPr>
          <w:rFonts w:ascii="TH Sarabun New" w:hAnsi="TH Sarabun New" w:cs="TH Sarabun New"/>
          <w:sz w:val="32"/>
          <w:szCs w:val="32"/>
          <w:cs/>
        </w:rPr>
        <w:t>และเส้นทางมุมมองของแต่ละตัวละคร พร้อมทั้งเขียนบทสนทนาและเหตุการณ์ในชีวิตประจำวันของนักเรียน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3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พัฒนาโปรแกรมเกม ดำเนินการพัฒนาเกมด้วยโปรแกรม </w:t>
      </w:r>
      <w:r w:rsidRPr="00EB7347">
        <w:rPr>
          <w:rFonts w:ascii="TH Sarabun New" w:hAnsi="TH Sarabun New" w:cs="TH Sarabun New"/>
          <w:sz w:val="32"/>
          <w:szCs w:val="32"/>
        </w:rPr>
        <w:t xml:space="preserve">Godot </w:t>
      </w:r>
      <w:r w:rsidRPr="00EB7347">
        <w:rPr>
          <w:rFonts w:ascii="TH Sarabun New" w:hAnsi="TH Sarabun New" w:cs="TH Sarabun New"/>
          <w:sz w:val="32"/>
          <w:szCs w:val="32"/>
          <w:cs/>
        </w:rPr>
        <w:t xml:space="preserve">4 โดยเขียนสคริปต์ด้วยภาษา </w:t>
      </w:r>
      <w:r w:rsidRPr="00EB7347">
        <w:rPr>
          <w:rFonts w:ascii="TH Sarabun New" w:hAnsi="TH Sarabun New" w:cs="TH Sarabun New"/>
          <w:sz w:val="32"/>
          <w:szCs w:val="32"/>
        </w:rPr>
        <w:t xml:space="preserve">GDScript </w:t>
      </w:r>
      <w:r w:rsidRPr="00EB7347">
        <w:rPr>
          <w:rFonts w:ascii="TH Sarabun New" w:hAnsi="TH Sarabun New" w:cs="TH Sarabun New"/>
          <w:sz w:val="32"/>
          <w:szCs w:val="32"/>
          <w:cs/>
        </w:rPr>
        <w:t>สำหรับระบบบทสนทนา ระบบแตกแขนงของเนื้อเรื่อง และระบบบันทึก/ย้อนกลับสถานะ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4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จัดทำฉากพื้นหลัง สไปรต์ตัวละคร และอินเทอร์เฟซผู้ใช้ รวมถึงออกแบบเสียงประกอบที่ปรับเปลี่ยนไปตามระดับความกดดันทางอารมณ์ของตัวละคร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5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นำเกมไปทดลองเล่นเพื่อตรวจสอบความลื่นไหลของเนื้อเรื่อง ความถูกต้องของระบบตัวเลือก และประสิทธิภาพของการสื่อสารประเด็นทางอารมณ์</w:t>
      </w:r>
    </w:p>
    <w:p w:rsidR="00EB7347" w:rsidRP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6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นำผลจากการทดสอบมาปรับปรุงเนื้อหา ระบบเกม และการนำเสนอให้มีความสมบูรณ</w:t>
      </w:r>
      <w:r w:rsidR="00EB0B7C">
        <w:rPr>
          <w:rFonts w:ascii="TH Sarabun New" w:hAnsi="TH Sarabun New" w:cs="TH Sarabun New" w:hint="cs"/>
          <w:sz w:val="32"/>
          <w:szCs w:val="32"/>
          <w:cs/>
        </w:rPr>
        <w:t>์</w:t>
      </w:r>
    </w:p>
    <w:p w:rsidR="00EB7347" w:rsidRDefault="00EB7347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EB0B7C">
        <w:rPr>
          <w:rFonts w:ascii="TH Sarabun New" w:hAnsi="TH Sarabun New" w:cs="TH Sarabun New"/>
          <w:sz w:val="32"/>
          <w:szCs w:val="32"/>
        </w:rPr>
        <w:t>7</w:t>
      </w:r>
      <w:r w:rsidR="00A159B5">
        <w:rPr>
          <w:rFonts w:ascii="TH Sarabun New" w:hAnsi="TH Sarabun New" w:cs="TH Sarabun New"/>
          <w:sz w:val="32"/>
          <w:szCs w:val="32"/>
        </w:rPr>
        <w:t xml:space="preserve">. </w:t>
      </w:r>
      <w:r w:rsidRPr="00EB7347">
        <w:rPr>
          <w:rFonts w:ascii="TH Sarabun New" w:hAnsi="TH Sarabun New" w:cs="TH Sarabun New"/>
          <w:sz w:val="32"/>
          <w:szCs w:val="32"/>
          <w:cs/>
        </w:rPr>
        <w:t>รวบรวมผลการดำเนินงานทั้งหมด จัดทำเอกสารประกอบโครงงาน และเตรียมความพร้อมสำหรับการนำเสนอ/เผยแพร่ผลงาน</w:t>
      </w:r>
    </w:p>
    <w:p w:rsidR="007B7D8C" w:rsidRDefault="007B7D8C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:rsidR="00EB0B7C" w:rsidRPr="00EB0B7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lastRenderedPageBreak/>
        <w:t>บทที่ 2</w:t>
      </w:r>
    </w:p>
    <w:p w:rsidR="007B7D8C" w:rsidRDefault="00EB0B7C" w:rsidP="00EB0B7C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  <w:r w:rsidRPr="00EB0B7C">
        <w:rPr>
          <w:rFonts w:ascii="TH Sarabun New" w:hAnsi="TH Sarabun New" w:cs="TH Sarabun New"/>
          <w:b/>
          <w:bCs/>
          <w:sz w:val="36"/>
          <w:szCs w:val="36"/>
          <w:cs/>
        </w:rPr>
        <w:t>เอกสารและงานวิจัยที่เกี่ยวข้อง</w:t>
      </w:r>
    </w:p>
    <w:p w:rsidR="00B92D3D" w:rsidRPr="00B92D3D" w:rsidRDefault="00EB0B7C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6"/>
          <w:szCs w:val="36"/>
          <w:cs/>
        </w:rPr>
        <w:tab/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ในการพัฒนาเกมวิชวลโนเวล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816111">
        <w:rPr>
          <w:rFonts w:ascii="TH Sarabun New" w:hAnsi="TH Sarabun New" w:cs="TH Sarabun New"/>
          <w:i/>
          <w:iCs/>
          <w:sz w:val="32"/>
          <w:szCs w:val="32"/>
        </w:rPr>
        <w:t>Untitled Illness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 xml:space="preserve">ผู้จัดทำได้ศึกษาค้นคว้าเอกสาร ตำรา บทความวิชาการ และงานวิจัยที่เกี่ยวข้อง เพื่อใช้เป็นกรอบแนวคิดในการออกแบบเนื้อหา ระบบเกม และวิธีการนำเสนอประเด็นด้านสุขภาวะทางอารมณ์ โดยแบ่งการนำเสนอออกเป็น </w:t>
      </w:r>
      <w:r w:rsidR="00B92D3D" w:rsidRPr="00B92D3D">
        <w:rPr>
          <w:rFonts w:ascii="TH Sarabun New" w:hAnsi="TH Sarabun New" w:cs="TH Sarabun New"/>
          <w:sz w:val="32"/>
          <w:szCs w:val="32"/>
        </w:rPr>
        <w:t xml:space="preserve">6 </w:t>
      </w:r>
      <w:r w:rsidR="00B92D3D" w:rsidRPr="00B92D3D">
        <w:rPr>
          <w:rFonts w:ascii="TH Sarabun New" w:hAnsi="TH Sarabun New" w:cs="TH Sarabun New"/>
          <w:sz w:val="32"/>
          <w:szCs w:val="32"/>
          <w:cs/>
        </w:rPr>
        <w:t>หัวข้อหลัก ดังนี้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1.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1.2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เกมแนว </w:t>
      </w:r>
      <w:r w:rsidRPr="0079230A">
        <w:rPr>
          <w:rFonts w:ascii="TH Sarabun New" w:hAnsi="TH Sarabun New" w:cs="TH Sarabun New"/>
          <w:sz w:val="32"/>
          <w:szCs w:val="32"/>
        </w:rPr>
        <w:t>Visual Novel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1.3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การเล่าเรื่องผ่านเกม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79230A">
        <w:rPr>
          <w:rFonts w:ascii="TH Sarabun New" w:hAnsi="TH Sarabun New" w:cs="TH Sarabun New"/>
          <w:sz w:val="32"/>
          <w:szCs w:val="32"/>
          <w:cs/>
        </w:rPr>
        <w:t>มุมมองของตัวละคร</w:t>
      </w:r>
    </w:p>
    <w:p w:rsidR="0079230A" w:rsidRPr="00B92D3D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1.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2.1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ความหมายของสุขภาพจิต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2272EA">
        <w:rPr>
          <w:rFonts w:ascii="TH Sarabun New" w:hAnsi="TH Sarabun New" w:cs="TH Sarabun New"/>
          <w:sz w:val="32"/>
          <w:szCs w:val="32"/>
        </w:rPr>
        <w:t xml:space="preserve">2.2 </w:t>
      </w:r>
      <w:r w:rsidRPr="0079230A">
        <w:rPr>
          <w:rFonts w:ascii="TH Sarabun New" w:hAnsi="TH Sarabun New" w:cs="TH Sarabun New"/>
          <w:sz w:val="32"/>
          <w:szCs w:val="32"/>
          <w:cs/>
        </w:rPr>
        <w:t>สุขภาพจิตและความเครียดในวัยรุ่น</w:t>
      </w:r>
      <w:r>
        <w:rPr>
          <w:rFonts w:ascii="TH Sarabun New" w:hAnsi="TH Sarabun New" w:cs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การเก็บกดและการไม่แสดงออกทางอารมณ์</w:t>
      </w:r>
    </w:p>
    <w:p w:rsidR="0079230A" w:rsidRPr="00B92D3D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2.</w:t>
      </w:r>
      <w:r w:rsidR="00670EA4">
        <w:rPr>
          <w:rFonts w:ascii="TH Sarabun New" w:hAnsi="TH Sarabun New" w:cs="TH Sarabun New"/>
          <w:sz w:val="32"/>
          <w:szCs w:val="32"/>
        </w:rPr>
        <w:t>4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sz w:val="32"/>
          <w:szCs w:val="32"/>
        </w:rPr>
        <w:t>Untitled Illness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3.1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การออกแบบตัวละครและบุคลิกภาพ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การออกแบบเนื้อเรื่องและเส้นทางของตัวละคร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3.3 </w:t>
      </w:r>
      <w:r w:rsidRPr="0079230A">
        <w:rPr>
          <w:rFonts w:ascii="TH Sarabun New" w:hAnsi="TH Sarabun New" w:cs="TH Sarabun New"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และการแสดงสภาวะทางอารมณ์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3.5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การออกแบบ </w:t>
      </w:r>
      <w:r w:rsidRPr="0079230A">
        <w:rPr>
          <w:rFonts w:ascii="TH Sarabun New" w:hAnsi="TH Sarabun New" w:cs="TH Sarabun New"/>
          <w:sz w:val="32"/>
          <w:szCs w:val="32"/>
        </w:rPr>
        <w:t xml:space="preserve">User Interface (UI)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เพื่อสื่อสารอารมณ์</w:t>
      </w:r>
    </w:p>
    <w:p w:rsidR="0079230A" w:rsidRPr="00B92D3D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3.6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การใช้ภาพ เสียง และบรรยากาศในการสร้างอารมณ์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sz w:val="32"/>
          <w:szCs w:val="32"/>
        </w:rPr>
        <w:t>Interactive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4.1 </w:t>
      </w:r>
      <w:r w:rsidRPr="0079230A">
        <w:rPr>
          <w:rFonts w:ascii="TH Sarabun New" w:hAnsi="TH Sarabun New" w:cs="TH Sarabun New"/>
          <w:sz w:val="32"/>
          <w:szCs w:val="32"/>
          <w:cs/>
        </w:rPr>
        <w:t>ความหมายของความเห็นอกเห็นใจ (</w:t>
      </w:r>
      <w:r w:rsidRPr="0079230A">
        <w:rPr>
          <w:rFonts w:ascii="TH Sarabun New" w:hAnsi="TH Sarabun New" w:cs="TH Sarabun New"/>
          <w:sz w:val="32"/>
          <w:szCs w:val="32"/>
        </w:rPr>
        <w:t>Empathy)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4.2 </w:t>
      </w:r>
      <w:r w:rsidRPr="0079230A">
        <w:rPr>
          <w:rFonts w:ascii="TH Sarabun New" w:hAnsi="TH Sarabun New" w:cs="TH Sarabun New"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4.3 </w:t>
      </w:r>
      <w:r w:rsidRPr="0079230A">
        <w:rPr>
          <w:rFonts w:ascii="TH Sarabun New" w:hAnsi="TH Sarabun New" w:cs="TH Sarabun New"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:rsidR="0079230A" w:rsidRPr="00B92D3D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4.4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Media </w:t>
      </w:r>
      <w:r w:rsidRPr="0079230A">
        <w:rPr>
          <w:rFonts w:ascii="TH Sarabun New" w:hAnsi="TH Sarabun New" w:cs="TH Sarabun New"/>
          <w:sz w:val="32"/>
          <w:szCs w:val="32"/>
          <w:cs/>
        </w:rPr>
        <w:t>เพื่อสร้างประสบการณ์และการสะท้อนความคิด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sz w:val="32"/>
          <w:szCs w:val="32"/>
          <w:cs/>
        </w:rPr>
        <w:t>เทคโนโลยีที่ใช้ในการพัฒนาเกม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5.1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โปรแกรม </w:t>
      </w:r>
      <w:r w:rsidRPr="0079230A">
        <w:rPr>
          <w:rFonts w:ascii="TH Sarabun New" w:hAnsi="TH Sarabun New" w:cs="TH Sarabun New"/>
          <w:sz w:val="32"/>
          <w:szCs w:val="32"/>
        </w:rPr>
        <w:t>Godot Engine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 xml:space="preserve">ภาษา </w:t>
      </w:r>
      <w:r w:rsidR="00670EA4" w:rsidRPr="00670EA4">
        <w:rPr>
          <w:rFonts w:ascii="TH Sarabun New" w:hAnsi="TH Sarabun New" w:cs="TH Sarabun New"/>
          <w:sz w:val="32"/>
          <w:szCs w:val="32"/>
        </w:rPr>
        <w:t>GDScript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 xml:space="preserve">6. </w:t>
      </w:r>
      <w:r w:rsidRPr="00B92D3D">
        <w:rPr>
          <w:rFonts w:ascii="TH Sarabun New" w:hAnsi="TH Sarabun New" w:cs="TH Sarabun New"/>
          <w:sz w:val="32"/>
          <w:szCs w:val="32"/>
          <w:cs/>
        </w:rPr>
        <w:t>งานวิจัยและโครงงานที่เกี่ยวข้อง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 xml:space="preserve">6.1 </w:t>
      </w:r>
      <w:r w:rsidRPr="0079230A">
        <w:rPr>
          <w:rFonts w:ascii="TH Sarabun New" w:hAnsi="TH Sarabun New" w:cs="TH Sarabun New"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670EA4" w:rsidRPr="00670EA4">
        <w:rPr>
          <w:rFonts w:ascii="TH Sarabun New" w:hAnsi="TH Sarabun New" w:cs="TH Sarabun New"/>
          <w:sz w:val="32"/>
          <w:szCs w:val="32"/>
          <w:cs/>
        </w:rPr>
        <w:t>สร้างความเห็นอกเห็นใจ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2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Interactive Storytelling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และประสบการณ์ของผู้เล่น</w:t>
      </w:r>
    </w:p>
    <w:p w:rsidR="0079230A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9230A">
        <w:rPr>
          <w:rFonts w:ascii="TH Sarabun New" w:hAnsi="TH Sarabun New" w:cs="TH Sarabun New"/>
          <w:sz w:val="32"/>
          <w:szCs w:val="32"/>
        </w:rPr>
        <w:t>6.</w:t>
      </w:r>
      <w:r w:rsidR="00670EA4">
        <w:rPr>
          <w:rFonts w:ascii="TH Sarabun New" w:hAnsi="TH Sarabun New" w:cs="TH Sarabun New"/>
          <w:sz w:val="32"/>
          <w:szCs w:val="32"/>
        </w:rPr>
        <w:t>3</w:t>
      </w:r>
      <w:r w:rsidRPr="0079230A">
        <w:rPr>
          <w:rFonts w:ascii="TH Sarabun New" w:hAnsi="TH Sarabun New" w:cs="TH Sarabun New"/>
          <w:sz w:val="32"/>
          <w:szCs w:val="32"/>
        </w:rPr>
        <w:t xml:space="preserve"> </w:t>
      </w:r>
      <w:r w:rsidRPr="0079230A">
        <w:rPr>
          <w:rFonts w:ascii="TH Sarabun New" w:hAnsi="TH Sarabun New" w:cs="TH Sarabun New"/>
          <w:sz w:val="32"/>
          <w:szCs w:val="32"/>
          <w:cs/>
        </w:rPr>
        <w:t xml:space="preserve">งานวิจัยเกี่ยวกับ </w:t>
      </w:r>
      <w:r w:rsidRPr="0079230A">
        <w:rPr>
          <w:rFonts w:ascii="TH Sarabun New" w:hAnsi="TH Sarabun New" w:cs="TH Sarabun New"/>
          <w:sz w:val="32"/>
          <w:szCs w:val="32"/>
        </w:rPr>
        <w:t xml:space="preserve">Visual Novel </w:t>
      </w:r>
      <w:r w:rsidRPr="0079230A">
        <w:rPr>
          <w:rFonts w:ascii="TH Sarabun New" w:hAnsi="TH Sarabun New" w:cs="TH Sarabun New"/>
          <w:sz w:val="32"/>
          <w:szCs w:val="32"/>
          <w:cs/>
        </w:rPr>
        <w:t>และการเล่าเรื่อง</w:t>
      </w:r>
    </w:p>
    <w:p w:rsidR="009A0111" w:rsidRDefault="009A0111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9A0111">
        <w:rPr>
          <w:rFonts w:ascii="TH Sarabun New" w:hAnsi="TH Sarabun New" w:cs="TH Sarabun New"/>
          <w:sz w:val="32"/>
          <w:szCs w:val="32"/>
        </w:rPr>
        <w:t xml:space="preserve">6.4 </w:t>
      </w:r>
      <w:r w:rsidRPr="009A0111">
        <w:rPr>
          <w:rFonts w:ascii="TH Sarabun New" w:hAnsi="TH Sarabun New" w:cs="TH Sarabun New"/>
          <w:sz w:val="32"/>
          <w:szCs w:val="32"/>
          <w:cs/>
        </w:rPr>
        <w:t xml:space="preserve">การวิเคราะห์งานที่เกี่ยวข้องกับ </w:t>
      </w:r>
      <w:r w:rsidRPr="009A0111">
        <w:rPr>
          <w:rFonts w:ascii="TH Sarabun New" w:hAnsi="TH Sarabun New" w:cs="TH Sarabun New"/>
          <w:sz w:val="32"/>
          <w:szCs w:val="32"/>
        </w:rPr>
        <w:t>Untitled Illness</w:t>
      </w:r>
    </w:p>
    <w:p w:rsidR="0079230A" w:rsidRPr="0079230A" w:rsidRDefault="00B92D3D" w:rsidP="002272EA">
      <w:pPr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  <w:r w:rsidR="0079230A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 </w:t>
      </w:r>
      <w:r w:rsidRPr="0079230A">
        <w:rPr>
          <w:rFonts w:ascii="TH Sarabun New" w:hAnsi="TH Sarabun New" w:cs="TH Sarabun New"/>
          <w:b/>
          <w:bCs/>
          <w:sz w:val="32"/>
          <w:szCs w:val="32"/>
          <w:cs/>
        </w:rPr>
        <w:t>แนวคิดและคุณสมบัติของเกมเพื่อการส่งเสริมความเข้าใจและการตระหนักรู้ด้านสุขภาพจิต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ความหมายและลักษณะของเกมเพื่อการเรียนรู้และการตระหนักรู้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เกมที่ถูกพัฒนาขึ้นโดยมีเป้าหมายนอกเหนือจากความบันเทิงมักถูกเรียกว่า "เกมจริงจัง"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อย่างไรก็ตาม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Warsinsky, Schmidt-Kraepelin, Rank, Thiebes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Sunyaev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2021) ได้ทบทวนงานวิจัยด้านสุขภาพจำนวน 206 เรื่อง และพบว่าคำนิยามของ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ที่ใช้ในวงการวิจัยมีความหลากหลายสูงมาก อีกทั้งยังมักถูกใช้สลับกับคำว่า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ทั้งที่ทั้งสองแนวคิดมีความแตกต่างกันในเชิงโครงสร้าง กล่าวคือ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gamification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หมายถึงการเติมองค์ประกอบของเกมเข้าไปในกิจกรรมที่ไม่ใช่เกม ขณะที่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serious games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หมายถึงเกมที่สมบูรณ์ในตัวเองแต่ถูกออกแบบเพื่อวัตถุประสงค์อื่นนอกเหนือจากความบันเทิงล้วน ๆ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ความคลุมเครือดังกล่าวมีความสำคัญต่อโครงงานนี้ เพราะหมายความว่าการอ้างว่าผลงานเป็น "เกมเพื่อการศึกษา" เพียงอย่างเดียวยังไม่เพียงพอ ผู้พัฒนาจำเป็นต้องระบุให้ชัดเจนว่าเกมมีเป้าหมายอะไร ใช้กลไกใด และคาดหวังผลลัพธ์ในระดับใด </w:t>
      </w:r>
      <w:r w:rsidRPr="00C61F34">
        <w:rPr>
          <w:rFonts w:ascii="TH Sarabun New" w:hAnsi="TH Sarabun New" w:cs="TH Sarabun New"/>
          <w:sz w:val="32"/>
          <w:szCs w:val="32"/>
        </w:rPr>
        <w:t xml:space="preserve">Warsinsky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และคณะ (2021) จึงเสนอแนวทางการรายงานที่เรียกว่า </w:t>
      </w:r>
      <w:r w:rsidRPr="00C61F34">
        <w:rPr>
          <w:rFonts w:ascii="TH Sarabun New" w:hAnsi="TH Sarabun New" w:cs="TH Sarabun New"/>
          <w:sz w:val="32"/>
          <w:szCs w:val="32"/>
        </w:rPr>
        <w:t xml:space="preserve">GAMING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เพื่อให้ผู้วิจัยระบุลักษณะของสิ่งที่ตนพัฒนาอย่างชัดเจน</w:t>
      </w:r>
    </w:p>
    <w:p w:rsidR="0079230A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single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ตามกรอบดังกล่าว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จัดเป็น </w:t>
      </w:r>
      <w:r w:rsidRPr="00C61F34">
        <w:rPr>
          <w:rFonts w:ascii="TH Sarabun New" w:hAnsi="TH Sarabun New" w:cs="TH Sarabun New"/>
          <w:sz w:val="32"/>
          <w:szCs w:val="32"/>
        </w:rPr>
        <w:t xml:space="preserve">serious game </w:t>
      </w:r>
      <w:r w:rsidRPr="00C61F34">
        <w:rPr>
          <w:rFonts w:ascii="TH Sarabun New" w:hAnsi="TH Sarabun New" w:cs="TH Sarabun New"/>
          <w:sz w:val="32"/>
          <w:szCs w:val="32"/>
          <w:cs/>
        </w:rPr>
        <w:t>เนื่องจากเป็นเกมที่สมบูรณ์ในตัวเอง มิใช่การเติมองค์ประกอบเกมลงในกิจกรรมอื่น และ</w:t>
      </w:r>
      <w:r w:rsidRPr="00C61F34">
        <w:rPr>
          <w:rFonts w:ascii="TH Sarabun New" w:hAnsi="TH Sarabun New" w:cs="TH Sarabun New"/>
          <w:sz w:val="32"/>
          <w:szCs w:val="32"/>
          <w:u w:val="single"/>
          <w:cs/>
        </w:rPr>
        <w:t>มีวัตถุประสงค์เพื่อสร้างความตระหนักรู้ มิใช่เพื่อการบำบัดหรือการวินิจฉัย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u w:val="single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เกมแนว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Visual Novel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คำนิยามของวิชวลโนเวลในแวดวงวิชาการเคยมีความหลากหลายอย่างมาก ตั้งแต่การเรียกว่า "ตำราเรียนเชิงโต้ตอบ" ไปจนถึง "เกมผจญภัยที่มีหลายตอนจบ"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>Melcer (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2021) จึงได้วิเคราะห์คำนิยามทางวิชาการ 30 คำนิยาม ร่วมกับการวิเคราะห์เกมวิชวลโนเวลจริง 54 เกม และพบว่าคำนิยามเดิมส่วนใหญ่ครอบคลุมองค์ประกอบของแนวเกมเพียงบางส่วนเท่านั้น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จากการวิเคราะห์ดังกล่าว คณะผู้วิจัยได้เสนอคำนิยามที่รวมองค์ประกอบสำคัญเข้าด้วยกัน ได้แก่ การเล่าเรื่องที่อาศัยข้อความเป็นหลัก การใช้ภาพนิ่งหรือสไปรต์ตัวละครประกอบ โครงเรื่องแบบแตกแขนง และตัวเลือกที่ส่งผลต่อทิศทางและตอนจบของเรื่อง นอกจากนี้ยังเน้นว่าองค์ประกอบด้านการโต้ตอบเป็นส่วนหนึ่งของนิยามแนวเกม มิใช่เพียงส่วนเสริม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79230A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คุณสมบัติเหล่านี้ทำให้วิชวลโนเวลเหมาะสมกับโครงงานที่ต้องการสื่อสารประเด็นทางอารมณ์ เนื่องจากเปิดพื้นที่ให้กับความคิดภายในของตัวละครได้มาก ใช้ทรัพยากรการผลิตน้อยกว่าเกมแนวอื่น และเอื้อต่อการสร้างเส้นทางเรื่องหลายเส้นภายในโครงงานขนาดเล็ก</w:t>
      </w:r>
    </w:p>
    <w:p w:rsidR="00C61F34" w:rsidRPr="00B92D3D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การเล่าเรื่องผ่านเกมและมุมมองของตัวละคร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แนวคิดสำคัญของการเล่าเรื่องผ่านเกมคือ ความรู้สึกมีส่วนร่วม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player agency)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ซึ่ง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Carstensdóttir, Kleinman, Williams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Seif El-Nasr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นิยามในภาพกว้างว่า เป็นปรากฏการณ์ที่ผู้เล่นรู้สึกว่าการกระทำที่เกมเสนอให้มีความหมาย และการเลือกของตนส่งผลต่อสถานการณ์ที่ตนกำลังมีส่วนร่วมอยู่จริง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งานชิ้นนี้มีความสำคัญเพราะเป็นการศึกษาเชิงประจักษ์ในพื้นที่ที่เดิมมีแต่การถกเถียงเชิงทฤษฎี คณะผู้วิจัยได้สัมภาษณ์ผู้เล่นให้ประเมินประสบการณ์ความรู้สึกมีส่วนร่วมในเกมแนวเล่าเรื่อง และพบข้อค้นพบที่สำคัญสองประการ ประการแรก การรับรู้ความรู้สึกมีส่วนร่วมมีความแตกต่างระหว่างบุคคลสูงมาก ประการที่สอง ไม่มีปัจจัยใดเพียงปัจจัยเดียวที่กำหนดประสบการณ์นี้ได้อย่างเบ็ดเสร็จ แม้บางปัจจัยจะมีน้ำหนักมากกว่าปัจจัยอื่น</w:t>
      </w:r>
    </w:p>
    <w:p w:rsid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ข้อค้นพบนี้เป็นข้อเตือนใจสำหรับการออกแบบ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ว่า การเพิ่มจำนวนตัวเลือกไม่ได้รับประกันว่าผู้เล่นจะรู้สึกว่าตนมีบทบาทต่อเรื่องมากขึ้น สิ่งที่สำคัญกว่าคือความสัมพันธ์ระหว่างตัวเลือกกับผลลัพธ์ที่ผู้เล่นสังเกตเห็นได้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การให้ผู้เล่นเข้าไปอยู่ในมุมมองของตัวละครเป็นกลไกที่มีหลักฐานเชิงประจักษ์รองรับ </w:t>
      </w:r>
      <w:r w:rsidRPr="00C61F34">
        <w:rPr>
          <w:rFonts w:ascii="TH Sarabun New" w:hAnsi="TH Sarabun New" w:cs="TH Sarabun New"/>
          <w:sz w:val="32"/>
          <w:szCs w:val="32"/>
        </w:rPr>
        <w:t xml:space="preserve">Li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ได้ทำการทดลองในห้องปฏิบัติการกับผู้เข้าร่วม </w:t>
      </w:r>
      <w:r w:rsidRPr="00C61F34">
        <w:rPr>
          <w:rFonts w:ascii="TH Sarabun New" w:hAnsi="TH Sarabun New" w:cs="TH Sarabun New"/>
          <w:sz w:val="32"/>
          <w:szCs w:val="32"/>
        </w:rPr>
        <w:t>166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เพื่อศึกษาผลของการสวมมุมมองตัวละครที่เป็นผู้ประสบความรุนแรง ผลการศึกษาพบเส้นทางความสัมพันธ์ที่น่าสนใจ คือ การสวมมุมมองไม่ได้เพิ่มความเห็นอกเห็นใจโดยตรง แต่เพิ่มความรู้สึกเป็นหนึ่งเดียวกับร่างกายของตัวละคร (</w:t>
      </w:r>
      <w:r w:rsidRPr="00C61F34">
        <w:rPr>
          <w:rFonts w:ascii="TH Sarabun New" w:hAnsi="TH Sarabun New" w:cs="TH Sarabun New"/>
          <w:sz w:val="32"/>
          <w:szCs w:val="32"/>
        </w:rPr>
        <w:t xml:space="preserve">embodiment) </w:t>
      </w:r>
      <w:r w:rsidRPr="00C61F34">
        <w:rPr>
          <w:rFonts w:ascii="TH Sarabun New" w:hAnsi="TH Sarabun New" w:cs="TH Sarabun New"/>
          <w:sz w:val="32"/>
          <w:szCs w:val="32"/>
          <w:cs/>
        </w:rPr>
        <w:t>ก่อน แล้วความรู้สึกดังกล่าวจึงส่งผลต่อความเห็นอกเห็นใจเชิงปัญญาอีกทอดหนึ่ง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ข้อค้นพบนี้ชี้ว่าการออกแบบต้องให้ความสำคัญกับ "คุณภาพ" ของการสวมบทบาท มิใช่เพียงการประกาศว่าผู้เล่นกำลังเล่นเป็นใคร ใน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กลไกที่ทำหน้าที่นี้คือการเปิดเผยความคิดภายในของตัวละครและการให้ผู้เล่นตัดสินใจแทนตัวละครในสถานการณ์ประจำวัน</w:t>
      </w:r>
    </w:p>
    <w:p w:rsid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นอกจากนี้ การเล่าเรื่องแบบหลายมุมมองยังสร้าง "ช่องว่างของข้อมูล" ระหว่างสิ่งที่ผู้เล่นรู้กับสิ่งที่ตัวละครในเรื่องรู้เกี่ยวกับกันและกัน ซึ่งเป็นกลไกหลักในการสื่อสารว่าพฤติกรรมภายนอกอาจไม่สะท้อนสภาวะภายใน</w:t>
      </w:r>
    </w:p>
    <w:p w:rsidR="0079230A" w:rsidRPr="00B92D3D" w:rsidRDefault="0079230A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1.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การใช้เกมเป็นสื่อเพื่อส่งเสริมความเข้าใจและความเห็นอกเห็นใจ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ได้ทบทวนวรรณกรรมอย่างเป็นระบบเกี่ยวกับความเห็นอกเห็นใจและเกม โดยสืบค้นจากฐานข้อมูล </w:t>
      </w:r>
      <w:r w:rsidR="00C61F34" w:rsidRPr="00C61F34">
        <w:rPr>
          <w:rFonts w:ascii="TH Sarabun New" w:hAnsi="TH Sarabun New" w:cs="TH Sarabun New"/>
          <w:sz w:val="32"/>
          <w:szCs w:val="32"/>
        </w:rPr>
        <w:t>6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แห่งและวิเคราะห์บทความ </w:t>
      </w:r>
      <w:r w:rsidR="00C61F34" w:rsidRPr="00C61F34">
        <w:rPr>
          <w:rFonts w:ascii="TH Sarabun New" w:hAnsi="TH Sarabun New" w:cs="TH Sarabun New"/>
          <w:sz w:val="32"/>
          <w:szCs w:val="32"/>
        </w:rPr>
        <w:t>49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เรื่อง ผลการทบทวนพบว่างานวิจัยในพื้นที่นี้กระจายอยู่ใน </w:t>
      </w:r>
      <w:r w:rsidR="00C61F34" w:rsidRPr="00C61F34">
        <w:rPr>
          <w:rFonts w:ascii="TH Sarabun New" w:hAnsi="TH Sarabun New" w:cs="TH Sarabun New"/>
          <w:sz w:val="32"/>
          <w:szCs w:val="32"/>
        </w:rPr>
        <w:t>12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สาขาวิชา และมีการกล่าวถึงความเห็นอกเห็นใจมากกว่า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>13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 ประเภทที่แตกต่างกัน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ข้อสรุปสำคัญคือ พื้นที่การวิจัยด้านเกมกับความเห็นอกเห็นใจยังขาดการนิยามที่ชัดเจนและเป็นเอกภาพ ซึ่งทำให้การเปรียบเทียบผลระหว่างงานวิจัยเป็นไปได้ยาก คณะผู้วิจัยจึงเสนอว่าผู้ที่ศึกษาในพื้นที่นี้ควรระบุให้ชัดเจนว่าตนหมายถึงความเห็นอกเห็นใจประเภทใด</w:t>
      </w:r>
    </w:p>
    <w:p w:rsidR="00B92D3D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โครงงานนี้จึงกำหนดขอบเขตให้ชัดเจนตั้งแต่ต้นว่า มุ่งเป้าไปที่ ความเห็นอกเห็นใจเชิงปัญญา ในความหมายของการเข้าใจว่าเหตุใดคนคนหนึ่งจึงแสดงออกอย่างที่เห็น และ การรับรู้มุมมองของผู้อื่น (</w:t>
      </w:r>
      <w:r w:rsidRPr="00C61F34">
        <w:rPr>
          <w:rFonts w:ascii="TH Sarabun New" w:hAnsi="TH Sarabun New" w:cs="TH Sarabun New"/>
          <w:sz w:val="32"/>
          <w:szCs w:val="32"/>
        </w:rPr>
        <w:t xml:space="preserve">perspective-taking) </w:t>
      </w:r>
      <w:r w:rsidRPr="00C61F34">
        <w:rPr>
          <w:rFonts w:ascii="TH Sarabun New" w:hAnsi="TH Sarabun New" w:cs="TH Sarabun New"/>
          <w:sz w:val="32"/>
          <w:szCs w:val="32"/>
          <w:cs/>
        </w:rPr>
        <w:t>มิได้มุ่งวัดความเห็นอกเห็นใจในทุกความหมาย</w:t>
      </w:r>
    </w:p>
    <w:p w:rsidR="00C61F34" w:rsidRPr="00B92D3D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แนวคิดเกี่ยวกับสุขภาพจิตและประสบการณ์ทางอารมณ์ของวัยรุ่น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ความหมายของสุขภาพจิต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องค์การอนามัยโลกอธิบายว่า ช่วงวัยรุ่นเป็นช่วงเวลาสำคัญของการพัฒนานิสัยทางสังคมและอารมณ์ที่เป็นพื้นฐานของสุขภาวะทางจิต ซึ่งรวมถึงการมีรูปแบบการนอนที่ดี การออกกำลังกายสม่ำเสมอ การพัฒนาทักษะการรับมือปัญหา ทักษะการแก้ปัญหา ทักษะระหว่างบุคคล และการเรียนรู้ที่จะจัดการอารมณ์ของตนเอง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:rsidR="00670EA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นิยามในลักษณะนี้ชี้ให้เห็นว่าสุขภาพจิตไม่ใช่เพียงการ "ไม่มีโรค" แต่เป็นเรื่องของทักษะและความสามารถในการดำเนินชีวิตประจำวัน ซึ่งเป็นกรอบที่เกม </w:t>
      </w:r>
      <w:r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C61F34">
        <w:rPr>
          <w:rFonts w:ascii="TH Sarabun New" w:hAnsi="TH Sarabun New" w:cs="TH Sarabun New"/>
          <w:sz w:val="32"/>
          <w:szCs w:val="32"/>
          <w:cs/>
        </w:rPr>
        <w:t>ใช้ในการนำเสนอเรื่องราว กล่าวคือ เกมมิได้นำเสนอตัวละครในฐานะ "ผู้ป่วย" แต่นำเสนอในฐานะนักเรียนที่กำลังฝึกจัดการกับอารมณ์และความกดดันด้วยวิธีที่แตกต่างกัน โดยบางวิธีได้ผลดีกว่าวิธีอื่น</w:t>
      </w:r>
    </w:p>
    <w:p w:rsidR="00C61F34" w:rsidRPr="00B92D3D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สุขภาพจิตและความเครียดในวัยรุ่น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องค์การอนามัยโลกประมาณการว่าวัยรุ่นอายุ 10–19 ปีทั่วโลกประมาณ 1 ใน 7 คน หรือราวร้อยละ 14.3 กำลังเผชิญภาวะทางสุขภาพจิตบางประการ คิดเป็นร้อยละ 15 ของภาระโรคทั้งหมดในกลุ่มอายุนี้ โดยภาวะซึมเศร้า ความวิตกกังวล และปัญหาด้านพฤติกรรม เป็นสาเหตุหลักของความเจ็บป่วยและความบกพร่องในวัยรุ่น ประเด็นสำคัญคือภาวะเหล่านี้ส่วนใหญ่ยังคงไม่ถูกรับรู้และไม่ได้รับการดูแล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World Health Organization,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2024)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สำหรับประเทศไทย ข้อมูลจากการประเมินสุขภาพจิตตนเองผ่านระบบ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Mental Health Check In </w:t>
      </w:r>
      <w:r w:rsidRPr="00C61F34">
        <w:rPr>
          <w:rFonts w:ascii="TH Sarabun New" w:hAnsi="TH Sarabun New" w:cs="TH Sarabun New"/>
          <w:sz w:val="32"/>
          <w:szCs w:val="32"/>
          <w:cs/>
        </w:rPr>
        <w:t>ของกรมสุขภาพจิต ซึ่งถูกนำมาเรียบเรียงในรายงานภาวะสังคมไทย ระบุว่าในปี 2566 เยาวชนที่เข้ารับการประเมินร้อยละ 18.0 มีความเครียดสูง ร้อยละ 26.0 เสี่ยงต่อภาวะซึมเศร้า และ</w:t>
      </w:r>
      <w:r w:rsidRPr="00C61F34">
        <w:rPr>
          <w:rFonts w:ascii="TH Sarabun New" w:hAnsi="TH Sarabun New" w:cs="TH Sarabun New"/>
          <w:sz w:val="32"/>
          <w:szCs w:val="32"/>
          <w:cs/>
        </w:rPr>
        <w:lastRenderedPageBreak/>
        <w:t>ร้อยละ 12.5 เสี่ยงต่อการฆ่าตัวตาย ขณะที่ผลการประเมินในไตรมาสแรกของปี 2567 แสดงแนวโน้มที่สูงขึ้นอีก (สำนักงานสภาพัฒนาการเศรษฐกิจและสังคมแห่งชาติ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เมื่อพิจารณาข้อมูลสะสมระหว่างปี 2563–2567 พบว่าเยาวชนไทยอายุต่ำกว่า 20 ปี มีความเครียดสูงร้อยละ 24.83 เสี่ยงซึมเศร้าร้อยละ 29.51 และเสี่ยงฆ่าตัวตายร้อยละ 20.35 ซึ่งสูงกว่าค่าเฉลี่ยของประชากรไทยทุกช่วงวัยอย่างชัดเจน โดยประชากรไทยโดยรวมในช่วงเวลาเดียวกันมีความเครียดสูงร้อยละ 8.04 เสี่ยงซึมเศร้าร้อยละ 9.47 และเสี่ยงฆ่าตัวตายร้อยละ 5.39 (องค์การกระจายเสียงและแพร่ภาพสาธารณะแห่งประเทศไทย</w:t>
      </w:r>
      <w:r w:rsidRPr="00C61F34">
        <w:rPr>
          <w:rFonts w:ascii="TH Sarabun New" w:hAnsi="TH Sarabun New" w:cs="TH Sarabun New"/>
          <w:sz w:val="32"/>
          <w:szCs w:val="32"/>
        </w:rPr>
        <w:t xml:space="preserve">, </w:t>
      </w:r>
      <w:r w:rsidRPr="00C61F34">
        <w:rPr>
          <w:rFonts w:ascii="TH Sarabun New" w:hAnsi="TH Sarabun New" w:cs="TH Sarabun New"/>
          <w:sz w:val="32"/>
          <w:szCs w:val="32"/>
          <w:cs/>
        </w:rPr>
        <w:t>2567)</w:t>
      </w:r>
    </w:p>
    <w:p w:rsidR="00670EA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ตัวเลขเหล่านี้สะท้อนว่าความยากลำบากทางอารมณ์ในวัยเรียนไม่ใช่กรณียกเว้น แต่เป็นประสบการณ์ที่พบได้ทั่วไปในระดับที่ควรได้รับความสนใจ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องค์การอนามัยโลกชี้ว่าปัจจัยเสี่ยงต่อสุขภาพจิตของวัยรุ่นมีลักษณะสะสม กล่าวคือ ยิ่งวัยรุ่นเผชิญปัจจัยเสี่ยงหลายอย่างพร้อมกัน ผลกระทบต่อสุขภาพจิตก็ยิ่งมากขึ้น ในทางกลับกัน สภาพแวดล้อมที่เอื้ออาทรและให้การสนับสนุน ทั้งในครอบครัว โรงเรียน และชุมชน ทำหน้าที่เป็นปัจจัยปกป้องที่สำคัญ (</w:t>
      </w:r>
      <w:r w:rsidRPr="00C61F34">
        <w:rPr>
          <w:rFonts w:ascii="TH Sarabun New" w:hAnsi="TH Sarabun New" w:cs="TH Sarabun New"/>
          <w:sz w:val="32"/>
          <w:szCs w:val="32"/>
        </w:rPr>
        <w:t>World Health Organization, 2024)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ในบริบทของไทย รายงานของกรมสุขภาพจิตที่จัดทำร่วมกับองค์การยูนิเซฟ ซึ่งเก็บข้อมูลจากเด็กและวัยรุ่นอายุต่ำกว่า </w:t>
      </w:r>
      <w:r w:rsidRPr="00C61F34">
        <w:rPr>
          <w:rFonts w:ascii="TH Sarabun New" w:hAnsi="TH Sarabun New" w:cs="TH Sarabun New"/>
          <w:sz w:val="32"/>
          <w:szCs w:val="32"/>
        </w:rPr>
        <w:t>20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 จำนวน </w:t>
      </w:r>
      <w:r w:rsidRPr="00C61F34">
        <w:rPr>
          <w:rFonts w:ascii="TH Sarabun New" w:hAnsi="TH Sarabun New" w:cs="TH Sarabun New"/>
          <w:sz w:val="32"/>
          <w:szCs w:val="32"/>
        </w:rPr>
        <w:t>183,974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ได้ชี้ให้เห็นว่าสภาวะอารมณ์ของวัยรุ่นซึ่งไม่คงที่อยู่แล้วโดยธรรมชาติ ยิ่งได้รับผลกระทบมากขึ้นจากสถานการณ์ภายนอก (กรมสุขภาพจิต</w:t>
      </w:r>
      <w:r w:rsidRPr="00C61F34">
        <w:rPr>
          <w:rFonts w:ascii="TH Sarabun New" w:hAnsi="TH Sarabun New" w:cs="TH Sarabun New"/>
          <w:sz w:val="32"/>
          <w:szCs w:val="32"/>
        </w:rPr>
        <w:t>, 2565)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ในเชิงกลไก งานวิจัยล่าสุดชี้ให้เห็นบทบาทเฉพาะของกลุ่มเพื่อนอย่างชัดเจน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ได้เก็บข้อมูลจากวัยรุ่น </w:t>
      </w:r>
      <w:r w:rsidRPr="00C61F34">
        <w:rPr>
          <w:rFonts w:ascii="TH Sarabun New" w:hAnsi="TH Sarabun New" w:cs="TH Sarabun New"/>
          <w:sz w:val="32"/>
          <w:szCs w:val="32"/>
        </w:rPr>
        <w:t>179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คน (อายุเฉลี่ย </w:t>
      </w:r>
      <w:r w:rsidRPr="00C61F34">
        <w:rPr>
          <w:rFonts w:ascii="TH Sarabun New" w:hAnsi="TH Sarabun New" w:cs="TH Sarabun New"/>
          <w:sz w:val="32"/>
          <w:szCs w:val="32"/>
        </w:rPr>
        <w:t>13.94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ปี) ด้วยวิธีเก็บข้อมูลตามประสบการณ์จริง (</w:t>
      </w:r>
      <w:r w:rsidRPr="00C61F34">
        <w:rPr>
          <w:rFonts w:ascii="TH Sarabun New" w:hAnsi="TH Sarabun New" w:cs="TH Sarabun New"/>
          <w:sz w:val="32"/>
          <w:szCs w:val="32"/>
        </w:rPr>
        <w:t xml:space="preserve">experience sampling)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ผ่านแอปพลิเคชันบนสมาร์ตโฟนเป็นเวลา </w:t>
      </w:r>
      <w:r w:rsidRPr="00C61F34">
        <w:rPr>
          <w:rFonts w:ascii="TH Sarabun New" w:hAnsi="TH Sarabun New" w:cs="TH Sarabun New"/>
          <w:sz w:val="32"/>
          <w:szCs w:val="32"/>
        </w:rPr>
        <w:t>14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 วัน ผลการวิเคราะห์แบบพหุระดับพบว่า วัยรุ่นเก็บกดการแสดงออกทางอารมณ์น้อยที่สุดเมื่ออยู่คนเดียว และเก็บกดมากที่สุดเมื่ออยู่กับกลุ่มเพื่อนเมื่อเทียบกับเมื่ออยู่กับครอบครัว</w:t>
      </w:r>
    </w:p>
    <w:p w:rsid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ข้อค้นพบนี้มีความสำคัญอย่างยิ่งต่อโครงงาน เพราะให้เหตุผลเชิงประจักษ์ว่าเหตุใดฉากในโรงเรียนจึงเป็นฉากที่เหมาะสมที่สุดสำหรับเรื่องราวเกี่ยวกับการปกปิดความรู้สึก นั่นคือ โรงเรียนเป็นพื้นที่ที่วัยรุ่นเก็บกดอารมณ์มากที่สุดโดยธรรมชาติ</w:t>
      </w:r>
    </w:p>
    <w:p w:rsidR="00C61F34" w:rsidRPr="00B92D3D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การเก็บกดและการไม่แสดงออกทางอารมณ์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หัวใจของเนื้อเรื่องใน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Untitled Illness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คือช่องว่างระหว่างสิ่งที่ตัวละครแสดงออกกับสิ่งที่ตัวละครรู้สึกจริง ซึ่งตรงกับแนวคิดเรื่อง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การเก็บกดการแสดงออก (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</w:rPr>
        <w:t>expressive suppression)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อันเป็นกลยุทธ์การกำกับอารมณ์ที่บุคคลพยายามยับยั้งหรือปกปิดการแสดงออกทางอารมณ์ขณะที่อารมณ์นั้นกำลังเกิดขึ้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Fombouchet, Pineau, Perchec, Lucenet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Lannegrand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ได้ทบทวนพัฒนาการของการกำกับอารมณ์ในวัยรุ่น และเสนอข้อสังเกตเชิงทฤษฎีที่สำคัญว่า ผลเชิงลบที่งานวิจัยพบเกี่ยวกับกลยุทธ์เฉพาะอย่างเช่นการเก็บกดนั้น อาจไม่ได้เกิดจากตัวกลยุทธ์เองโดยตรง แต่อาจเกิดจากการมี "คลังกลยุทธ์" ที่จำกัด กล่าวคือ การพึ่งพากลยุทธ์ใดกลยุทธ์หนึ่งมากเกินไปจนไม่มีทางเลือกอื่น หรือการใช้ร่วมกับกลยุทธ์ที่ไม่ช่วยลดอารมณ์ทางลบ เช่น การคิดวนซ้ำ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มุมมองนี้เปลี่ยนวิธีคิดเกี่ยวกับการออกแบบเกมอย่างมีนัยสำคัญ ปัญหาของตัวละครอย่าง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จึงไม่ใช่ "การเก็บกดเป็นสิ่งเลวร้าย" แต่คือการที่เขามีวิธีรับมือเหลืออยู่เพียงวิธีเดียว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Colasante, De France, Lin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ที่ศึกษาการใช้กลยุทธ์กำกับอารมณ์ในชีวิตจริงและความสำเร็จของกลยุทธ์นั้น โดยพบว่าความสำเร็จของแต่ละกลยุทธ์ขึ้นอยู่กับความเข้มของอารมณ์และความเคยชินในการใช้กลยุทธ์ของแต่ละบุคคล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ข้อค้นพบเหล่านี้ถูกนำมาใช้เป็นฐานของระบบ </w:t>
      </w:r>
      <w:r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โดยตรง กล่าวคือ ระบบมิได้ลงโทษการเก็บกดในทุกสถานการณ์ แต่จะสะสมน้ำหนักทางอารมณ์เมื่อผู้เล่นเลือกใช้การเก็บกดซ้ำ ๆ จนกลายเป็นวิธีเดียวที่ตัวละครใช้ได้ ซึ่งสะท้อนแนวคิดเรื่องคลังกลยุทธ์ที่จำกัดของ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>2023)</w:t>
      </w:r>
    </w:p>
    <w:p w:rsidR="00B92D3D" w:rsidRPr="00B92D3D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ความสำคัญของการสื่อสารและการสนับสนุนทางอารมณ์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แม้วัยรุ่นจะเผชิญปัญหาทางอารมณ์ในสัดส่วนสูง แต่กลับมีแนวโน้มไม่ขอความช่วยเหลือ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Barrow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Thomas (2022)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ได้ทบทวนวรรณกรรมอย่างเป็นระบบจากงานวิจัย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เรื่อง และสรุปอุปสรรคต่อการขอความช่วยเหลือของวัยรุ่นออกเป็น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กลุ่ม ได้แก่ การตีตรา อุปสรรคเชิงปฏิบัติ ทัศนคติและการรับรู้เชิงลบ และอุปสรรคด้านความรู้ความเข้าใจ ส่วนปัจจัยที่ช่วยส่งเสริมการขอความช่วยเหลือมี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กลุ่ม คือ ความรอบรู้ด้านสุขภาพจิต และปัจจัยด้านสุขภาวะและชุมชน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Beukema, de Winter, Korevaar, Hofstra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Reijneveld (2024)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ได้ศึกษาประเด็นนี้ในบริบทของโรงเรียนโดยเฉพาะ ด้วยข้อมูลจากการศึกษาระยะยาวของวัยรุ่นชาวดัตช์อายุ </w:t>
      </w:r>
      <w:r w:rsidRPr="00C61F34">
        <w:rPr>
          <w:rFonts w:ascii="TH Sarabun New" w:hAnsi="TH Sarabun New" w:cs="TH Sarabun New"/>
          <w:sz w:val="32"/>
          <w:szCs w:val="32"/>
        </w:rPr>
        <w:t xml:space="preserve">12–16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Pr="00C61F34">
        <w:rPr>
          <w:rFonts w:ascii="TH Sarabun New" w:hAnsi="TH Sarabun New" w:cs="TH Sarabun New"/>
          <w:sz w:val="32"/>
          <w:szCs w:val="32"/>
        </w:rPr>
        <w:t xml:space="preserve">956 </w:t>
      </w:r>
      <w:r w:rsidRPr="00C61F34">
        <w:rPr>
          <w:rFonts w:ascii="TH Sarabun New" w:hAnsi="TH Sarabun New" w:cs="TH Sarabun New"/>
          <w:sz w:val="32"/>
          <w:szCs w:val="32"/>
          <w:cs/>
        </w:rPr>
        <w:t>คน ผลการศึกษาชี้ให้เห็นบทบาทของ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ความต้องการพึ่งพาตนเอง (</w:t>
      </w:r>
      <w:r w:rsidRPr="00C61F34">
        <w:rPr>
          <w:rFonts w:ascii="TH Sarabun New" w:hAnsi="TH Sarabun New" w:cs="TH Sarabun New"/>
          <w:b/>
          <w:bCs/>
          <w:sz w:val="32"/>
          <w:szCs w:val="32"/>
        </w:rPr>
        <w:t>self-reliance)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การตีตราต่อการขอความช่วยเหลือ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ในฐานะอุปสรรคต่อการเข้าถึงการสนับสนุนในโรงเรียน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ข้อค้นพบเหล่านี้อธิบายพฤติกรรมของตัวละคร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ได้โดยตรง คือความรู้สึกว่าตนควรจัดการปัญหาด้วยตนเองและความกลัวว่าการเปิดเผยปัญหาจะกลายเป็นภาระของผู้อื่น และยังชี้ให้เห็นว่าบทบาทของ "เพื่อน" ในการรับฟัง เป็นกลไกทางสังคมที่มีความสำคัญ ซึ่งเป็นประเด็นที่โครงงานนี้ต้องการสื่อสารกับกลุ่มเป้าหมายโดยตรง</w:t>
      </w:r>
    </w:p>
    <w:p w:rsidR="00670EA4" w:rsidRPr="00B92D3D" w:rsidRDefault="00670EA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แนวคิดและองค์ประกอบในการออกแบบเกม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การออกแบบตัวละครและบุคลิกภาพ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ตัวละครในเกมถูกออกแบบให้สะท้อนรูปแบบการรับมือกับความกดดันที่แตกต่างกัน แทนที่จะแทนค่าด้วยอาการทางคลินิกใดอาการหนึ่ง แนวทางนี้สอดคล้องกับการวิเคราะห์ของ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Schlote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Major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ที่ศึกษาว่าวิดีโอเกมเชิงพาณิชย์นำเสนอประเด็นสุขภาพจิตอย่างไร และตั้งคำถามว่าเกมความบันเทิงสามารถทำหน้าที่เป็นสื่อเพื่อการศึกษาด้านสุขภาพจิตได้หรือไม่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Tomé, Pires, Jiskrová, Saial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Campos (2024)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ได้ศึกษาความเห็นอกเห็นใจและการตระหนักรู้ด้านสุขภาพจิตในเกมแนวสยองขวัญเชิงจิตวิทยา และพบว่าผู้เล่นบางส่วนรายงานประสบการณ์ในเชิง "การได้ระบายความรู้สึก" (</w:t>
      </w:r>
      <w:r w:rsidRPr="00C61F34">
        <w:rPr>
          <w:rFonts w:ascii="TH Sarabun New" w:hAnsi="TH Sarabun New" w:cs="TH Sarabun New"/>
          <w:sz w:val="32"/>
          <w:szCs w:val="32"/>
        </w:rPr>
        <w:t xml:space="preserve">cathartic)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ซึ่งชี้ว่าการนำเสนอประสบการณ์ทางจิตใจในเกมสามารถให้คุณค่าแก่ผู้เล่นได้ หากออกแบบด้วยความระมัดระวัง</w:t>
      </w:r>
    </w:p>
    <w:p w:rsid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ตัวละครหลักอย่าง </w:t>
      </w:r>
      <w:r w:rsidRPr="00C61F34">
        <w:rPr>
          <w:rFonts w:ascii="TH Sarabun New" w:hAnsi="TH Sarabun New" w:cs="TH Sarabun New"/>
          <w:sz w:val="32"/>
          <w:szCs w:val="32"/>
        </w:rPr>
        <w:t xml:space="preserve">Kay </w:t>
      </w:r>
      <w:r w:rsidRPr="00C61F34">
        <w:rPr>
          <w:rFonts w:ascii="TH Sarabun New" w:hAnsi="TH Sarabun New" w:cs="TH Sarabun New"/>
          <w:sz w:val="32"/>
          <w:szCs w:val="32"/>
          <w:cs/>
        </w:rPr>
        <w:t>ถูกสร้างขึ้นให้มีลักษณะภายนอกที่มั่นคงและน่าพึ่งพา จนกลายเป็นที่ปรึกษาของเพื่อน ขณะที่ภายในกลับใช้เวลาไปกับการคิดวนและความกังวลที่ไม่เคยถูกพูดออกมา ส่วนตัวละครอื่นสะท้อนรูปแบบการรับมือที่ต่างออกไป เช่น การทำตัวให้ยุ่งตลอดเวลาเพื่อหลีกเลี่ยงการเผชิญปัญหา ความรู้สึกผิดที่ค้างคา หรือการแยกตัวจากผู้อื่น ความหลากหลายนี้สะท้อนแนวคิดเรื่องคลังกลยุทธ์การกำกับอารมณ์ที่แตกต่างกันในแต่ละบุคคล (</w:t>
      </w:r>
      <w:r w:rsidRPr="00C61F34">
        <w:rPr>
          <w:rFonts w:ascii="TH Sarabun New" w:hAnsi="TH Sarabun New" w:cs="TH Sarabun New"/>
          <w:sz w:val="32"/>
          <w:szCs w:val="32"/>
        </w:rPr>
        <w:t>Fombouchet et al., 2023)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การออกแบบเนื้อเรื่องและเส้นทางของตัวละคร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เกมใช้โครงสร้างแบบหลายเส้นทาง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route)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โดยแต่ละเส้นทางนำเสนอเหตุการณ์ในโรงเรียนผ่านมุมมองของตัวละครต่างคนกัน ซึ่งเป็นโครงสร้างที่ตรงกับลักษณะเฉพาะของวิชวลโนเวลตามคำนิยามของ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ที่ให้ความสำคัญกับโครงเรื่องแบบแตกแขนงและตอนจบที่หลากหลาย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จุดประสงค์ของการใช้หลายเส้นทางในโครงงานนี้มิใช่เพื่อเพิ่มปริมาณเนื้อหา แต่เพื่อสร้างการทับซ้อนของเหตุการณ์ กล่าวคือ เหตุการณ์เดียวกันจะปรากฏซ้ำในเส้นทางที่ต่างกัน โดยผู้เล่นจะได้รับข้อมูลภายในของตัวละครคนละชุด ทำให้การตีความเหตุการณ์นั้นเปลี่ยนไปเมื่อเล่นซ้ำ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ได้ใช้แนวทางที่ใกล้เคียงกันในการพัฒนาวิชวลโนเวลเชิงจิตวิทยาชื่อ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ซึ่งออกแบบเพื่อกระตุ้นการไตร่ตรองเกี่ยวกับสุขภาพจิตของนักศึกษา โดยใช้กลยุทธ์การเล่าเรื่องที่คณะผู้วิจัยเรียกว่า "ความไม่สบายใจเชิงบวก" (</w:t>
      </w:r>
      <w:r w:rsidRPr="00C61F34">
        <w:rPr>
          <w:rFonts w:ascii="TH Sarabun New" w:hAnsi="TH Sarabun New" w:cs="TH Sarabun New"/>
          <w:sz w:val="32"/>
          <w:szCs w:val="32"/>
        </w:rPr>
        <w:t xml:space="preserve">positive discomfort) </w:t>
      </w:r>
      <w:r w:rsidRPr="00C61F34">
        <w:rPr>
          <w:rFonts w:ascii="TH Sarabun New" w:hAnsi="TH Sarabun New" w:cs="TH Sarabun New"/>
          <w:sz w:val="32"/>
          <w:szCs w:val="32"/>
          <w:cs/>
        </w:rPr>
        <w:t>เพื่อกระตุ้นให้ผู้เล่นทบทวนประเด็นอย่างความวิตกกังวล ภาวะหมดไฟ และความรู้สึกโดดเดี่ยว</w:t>
      </w:r>
    </w:p>
    <w:p w:rsidR="00670EA4" w:rsidRPr="00B92D3D" w:rsidRDefault="00670EA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ระบบทางเลือกและผลกระทบจากการตัดสินใจของผู้เล่น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ตัวเลือกในเกมถูกออกแบบให้เป็นตัวเลือกเชิงการสื่อสาร เช่น จะพูดความจริง จะเปลี่ยนเรื่อง หรือจะบอกว่าตนเอง "ไม่เป็นไร" มากกว่าจะเป็นตัวเลือกเชิงถูกผิดที่มีคำตอบตายตัว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61F34">
        <w:rPr>
          <w:rFonts w:ascii="TH Sarabun New" w:hAnsi="TH Sarabun New" w:cs="TH Sarabun New"/>
          <w:sz w:val="32"/>
          <w:szCs w:val="32"/>
          <w:cs/>
        </w:rPr>
        <w:lastRenderedPageBreak/>
        <w:t xml:space="preserve">หลักฐานที่สนับสนุนแนวทางนี้มาจากงานของ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Scholl, Pandrea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van Enschot (2022) </w:t>
      </w:r>
      <w:r w:rsidRPr="00C61F34">
        <w:rPr>
          <w:rFonts w:ascii="TH Sarabun New" w:hAnsi="TH Sarabun New" w:cs="TH Sarabun New"/>
          <w:sz w:val="32"/>
          <w:szCs w:val="32"/>
          <w:cs/>
        </w:rPr>
        <w:t>ซึ่งเปรียบเทียบเรื่องเล่าเกี่ยวกับภาวะซึมเศร้าแบบดั้งเดิม (ไม่มีตัวเลือก) กับแบบเชิงโต้ตอบ (มีตัวเลือก) ในการทดลองสองครั้ง ผลการทดลองครั้งแรก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216)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ไม่พบ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ผลของการมีตัวเลือกต่อการเรียนรู้เชิงปัญญา แรงจูงใจภายใน การรู้สึกเป็นอันหนึ่งอันเดียวกับตัวละคร หรือการถูกดึงเข้าสู่โลกของเรื่อง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อย่างไรก็ตาม หลังจากคณะผู้วิจัยปรับปรุงให้เนื้อหาการเรียนรู้ฝังอยู่ในเรื่องได้ดีขึ้นและทำให้ตัวเลือกมีความหมายมากขึ้น การทดลองครั้งที่สอง (</w:t>
      </w:r>
      <w:r w:rsidRPr="00C61F34">
        <w:rPr>
          <w:rFonts w:ascii="TH Sarabun New" w:hAnsi="TH Sarabun New" w:cs="TH Sarabun New"/>
          <w:sz w:val="32"/>
          <w:szCs w:val="32"/>
        </w:rPr>
        <w:t xml:space="preserve">N = 155) </w:t>
      </w:r>
      <w:r w:rsidRPr="00C61F34">
        <w:rPr>
          <w:rFonts w:ascii="TH Sarabun New" w:hAnsi="TH Sarabun New" w:cs="TH Sarabun New"/>
          <w:sz w:val="32"/>
          <w:szCs w:val="32"/>
          <w:cs/>
        </w:rPr>
        <w:t>พบว่าการมีตัวเลือกส่งผลเชิงบวกต่อการเรียนรู้เชิงเปลี่ยนแปลง (</w:t>
      </w:r>
      <w:r w:rsidRPr="00C61F34">
        <w:rPr>
          <w:rFonts w:ascii="TH Sarabun New" w:hAnsi="TH Sarabun New" w:cs="TH Sarabun New"/>
          <w:sz w:val="32"/>
          <w:szCs w:val="32"/>
        </w:rPr>
        <w:t xml:space="preserve">transformative learning) </w:t>
      </w:r>
      <w:r w:rsidRPr="00C61F34">
        <w:rPr>
          <w:rFonts w:ascii="TH Sarabun New" w:hAnsi="TH Sarabun New" w:cs="TH Sarabun New"/>
          <w:sz w:val="32"/>
          <w:szCs w:val="32"/>
          <w:cs/>
        </w:rPr>
        <w:t>โดยมีการรู้สึกเป็นอันหนึ่งอันเดียวกับตัวละครเป็นตัวแปรส่งผ่าน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ข้อค้นพบนี้เป็นบทเรียนสำคัญที่สุดสำหรับการออกแบบระบบตัวเลือกของโครงงาน คือ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b/>
          <w:bCs/>
          <w:sz w:val="32"/>
          <w:szCs w:val="32"/>
          <w:cs/>
        </w:rPr>
        <w:t>การมีตัวเลือกอยู่ในเกมไม่เพียงพอ ตัวเลือกต้องมีความหมายและเชื่อมโยงกับสาระที่ต้องการสื่อสารอย่างแท้จริง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จึงจะเกิดผล ซึ่งสอดคล้องกับข้อค้นพบของ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Carstensdóttir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เกี่ยวกับความซับซ้อนของการรับรู้ความรู้สึกมีส่วนร่วม</w:t>
      </w:r>
    </w:p>
    <w:p w:rsidR="00670EA4" w:rsidRPr="00B92D3D" w:rsidRDefault="00670EA4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ระบบ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Emotional Weight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และการแสดงสภาวะทางอารมณ์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Emotional Weight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คือค่าสถานะภายในที่แทนปริมาณความกดดันทางอารมณ์ที่ตัวละครกำลังแบกรับ แบ่งออกเป็น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4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ระดับ ได้แก่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Low, Medium, High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Critical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โดยระดับที่สูงขึ้นจะส่งผลให้จำนวนตัวเลือกที่ใช้ได้ลดลง ข้อความปรากฏช้าลง และบรรยากาศโดยรวมเงียบลง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>ระบบนี้มิได้ทำหน้าที่วัดสุขภาพจิตของบุคคลจริง แต่เป็นกลไกเชิงการเล่าเรื่องที่แปลงข้อค้นพบทางจิตวิทยาให้กลายเป็นกฎของเกมที่ผู้เล่นสัมผัสได้ กล่าวคือ เมื่อผู้เล่นพบว่าตนเองมีตัวเลือกให้เลือกน้อยลงเรื่อย ๆ ผู้เล่นจะรับรู้ข้อจำกัดนั้นด้วยตนเอง แทนที่จะถูกบอกผ่านข้อความบรรยาย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การออกแบบให้ตัวเลือกลดลงตามระดับความกดดัน เป็นการนำแนวคิดเรื่องคลังกลยุทธ์ที่จำกัดของ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Fombouchet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2023)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มาแปลงเป็นกลไกโดยตรง ขณะที่การให้ปฏิสัมพันธ์ที่ได้รับการสนับสนุนช่วยลดน้ำหนักทางอารมณ์ สะท้อนข้อค้นพบของ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Wylie, De France </w:t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61F34">
        <w:rPr>
          <w:rFonts w:ascii="TH Sarabun New" w:hAnsi="TH Sarabun New" w:cs="TH Sarabun New"/>
          <w:sz w:val="32"/>
          <w:szCs w:val="32"/>
        </w:rPr>
        <w:t xml:space="preserve">Hollenstein (2023)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ที่พบว่าความใกล้ชิดกับผู้อื่นสัมพันธ์กับการเก็บกดที่ลดลง</w:t>
      </w:r>
    </w:p>
    <w:p w:rsidR="00670EA4" w:rsidRPr="00B92D3D" w:rsidRDefault="00670EA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3.5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การออกแบบ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User Interface (UI)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เพื่อสื่อสารอารมณ์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ส่วนต่อประสานผู้ใช้ในเกมทำหน้าที่มากกว่าการแสดงข้อความ โดยถูกใช้เป็นช่องทางสื่อสารสภาวะภายในของตัวละคร เช่น ความเร็วในการแสดงข้อความ จำนวนตัวเลือกที่ปรากฏ และความอิ่มตัวของสีในหน้าจอ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แนวคิดการใช้ส่วนต่อประสานเป็นส่วนหนึ่งของการเล่าเรื่องนี้ตรงกับข้อสรุปของ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Camingue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2021)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ที่ว่าองค์ประกอบด้านการโต้ตอบเป็นคุณลักษณะที่แยกไม่ออกจากการ</w:t>
      </w:r>
      <w:r w:rsidRPr="00C61F34">
        <w:rPr>
          <w:rFonts w:ascii="TH Sarabun New" w:hAnsi="TH Sarabun New" w:cs="TH Sarabun New"/>
          <w:sz w:val="32"/>
          <w:szCs w:val="32"/>
          <w:cs/>
        </w:rPr>
        <w:lastRenderedPageBreak/>
        <w:t>นิยามวิชวลโนเวล มิใช่เพียงเปลือกนอกที่ห่อหุ้มเนื้อเรื่อง การเปลี่ยนแปลงของส่วนต่อประสานจึงถือเป็นการเล่าเรื่องรูปแบบหนึ่ง</w:t>
      </w:r>
    </w:p>
    <w:p w:rsidR="00670EA4" w:rsidRPr="00B92D3D" w:rsidRDefault="00670EA4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3.6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การใช้ภาพ เสียง และบรรยากาศในการสร้างอารมณ์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เกมเลือกใช้ฉากที่คุ้นเคยในชีวิตนักเรียน และปรับเปลี่ยนการนำเสนอไปตามระดับความกดดันของตัวละคร ในด้านเสียง เมื่อตัวละครอยู่ในสภาวะที่มั่นคง เสียงสภาพแวดล้อมจะชัดเจน แต่เมื่อความกดดันเพิ่มขึ้น เสียงรอบข้างจะค่อย ๆ เบาลงจนเหลือเพียงเสียงภายใน เพื่อสร้างความรู้สึกแยกตัวและการหันเข้าหาความคิดของตนเอง</w:t>
      </w:r>
    </w:p>
    <w:p w:rsidR="00C61F34" w:rsidRPr="00C61F34" w:rsidRDefault="00C61F3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C61F34">
        <w:rPr>
          <w:rFonts w:ascii="TH Sarabun New" w:hAnsi="TH Sarabun New" w:cs="TH Sarabun New"/>
          <w:sz w:val="32"/>
          <w:szCs w:val="32"/>
          <w:cs/>
        </w:rPr>
        <w:t xml:space="preserve">การใช้บรรยากาศเพื่อสร้างประสบการณ์ทางอารมณ์ในลักษณะนี้สอดคล้องกับผลการประเมินของ </w:t>
      </w:r>
      <w:r w:rsidRPr="00C61F34">
        <w:rPr>
          <w:rFonts w:ascii="TH Sarabun New" w:hAnsi="TH Sarabun New" w:cs="TH Sarabun New"/>
          <w:sz w:val="32"/>
          <w:szCs w:val="32"/>
        </w:rPr>
        <w:t xml:space="preserve">Tomé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C61F34">
        <w:rPr>
          <w:rFonts w:ascii="TH Sarabun New" w:hAnsi="TH Sarabun New" w:cs="TH Sarabun New"/>
          <w:sz w:val="32"/>
          <w:szCs w:val="32"/>
        </w:rPr>
        <w:t xml:space="preserve">2026) </w:t>
      </w:r>
      <w:r w:rsidRPr="00C61F34">
        <w:rPr>
          <w:rFonts w:ascii="TH Sarabun New" w:hAnsi="TH Sarabun New" w:cs="TH Sarabun New"/>
          <w:sz w:val="32"/>
          <w:szCs w:val="32"/>
          <w:cs/>
        </w:rPr>
        <w:t>ที่พบว่าผู้เล่นวิชวลโนเวล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Pr="00C61F34">
        <w:rPr>
          <w:rFonts w:ascii="TH Sarabun New" w:hAnsi="TH Sarabun New" w:cs="TH Sarabun New"/>
          <w:sz w:val="32"/>
          <w:szCs w:val="32"/>
          <w:cs/>
        </w:rPr>
        <w:t>รายงานระดับความดื่มด่ำ (</w:t>
      </w:r>
      <w:r w:rsidRPr="00C61F34">
        <w:rPr>
          <w:rFonts w:ascii="TH Sarabun New" w:hAnsi="TH Sarabun New" w:cs="TH Sarabun New"/>
          <w:sz w:val="32"/>
          <w:szCs w:val="32"/>
        </w:rPr>
        <w:t xml:space="preserve">immersion) </w:t>
      </w:r>
      <w:r w:rsidRPr="00C61F34">
        <w:rPr>
          <w:rFonts w:ascii="TH Sarabun New" w:hAnsi="TH Sarabun New" w:cs="TH Sarabun New"/>
          <w:sz w:val="32"/>
          <w:szCs w:val="32"/>
          <w:cs/>
        </w:rPr>
        <w:t>และความอยากรู้อยากเห็น (</w:t>
      </w:r>
      <w:r w:rsidRPr="00C61F34">
        <w:rPr>
          <w:rFonts w:ascii="TH Sarabun New" w:hAnsi="TH Sarabun New" w:cs="TH Sarabun New"/>
          <w:sz w:val="32"/>
          <w:szCs w:val="32"/>
        </w:rPr>
        <w:t xml:space="preserve">curiosity) </w:t>
      </w:r>
      <w:r w:rsidRPr="00C61F34">
        <w:rPr>
          <w:rFonts w:ascii="TH Sarabun New" w:hAnsi="TH Sarabun New" w:cs="TH Sarabun New"/>
          <w:sz w:val="32"/>
          <w:szCs w:val="32"/>
          <w:cs/>
        </w:rPr>
        <w:t>ในระดับสูง และตีความประเด็นของเกมว่าเกี่ยวข้องกับชีวิตนักศึกษาและปัญหาสุขภาพจิตจริง</w:t>
      </w:r>
    </w:p>
    <w:p w:rsidR="00670EA4" w:rsidRPr="00B92D3D" w:rsidRDefault="00670EA4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แนวคิดเกี่ยวกับการสร้างความเห็นอกเห็นใจผ่านสื่อ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Interactive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ความหมายของความเห็นอกเห็นใจ (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Empathy)</w:t>
      </w:r>
    </w:p>
    <w:p w:rsidR="00C61F34" w:rsidRPr="00C61F34" w:rsidRDefault="00B92D3D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ดังที่กล่าวในหัวข้อ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1.5 Schrier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Farber (2021)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พบว่างานวิจัยด้านเกมกับความเห็นอกเห็นใจกล่าวถึงความเห็นอกเห็นใจมากกว่า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13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 xml:space="preserve">ประเภทที่แตกต่างกัน และมาจากกรอบทางวิชาการถึง 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12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สาขา ความหลากหลายนี้ทำให้จำเป็นต้องระบุขอบเขตอย่างชัดเจน</w:t>
      </w:r>
    </w:p>
    <w:p w:rsidR="00C61F34" w:rsidRPr="00C61F34" w:rsidRDefault="00825D21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โครงงานนี้ใช้การจำแนกระหว่าง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ความเห็นอกเห็นใจเชิงปัญญา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ซึ่งหมายถึงการเข้าใจสภาวะจิตใจของผู้อื่น กับ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ความเห็นอกเห็นใจเชิงอารมณ์</w:t>
      </w:r>
      <w:r w:rsidR="00C61F34" w:rsidRPr="00C61F34">
        <w:rPr>
          <w:rFonts w:ascii="TH Sarabun New" w:hAnsi="TH Sarabun New" w:cs="TH Sarabun New"/>
          <w:sz w:val="32"/>
          <w:szCs w:val="32"/>
        </w:rPr>
        <w:t xml:space="preserve"> </w:t>
      </w:r>
      <w:r w:rsidR="00C61F34" w:rsidRPr="00C61F34">
        <w:rPr>
          <w:rFonts w:ascii="TH Sarabun New" w:hAnsi="TH Sarabun New" w:cs="TH Sarabun New"/>
          <w:sz w:val="32"/>
          <w:szCs w:val="32"/>
          <w:cs/>
        </w:rPr>
        <w:t>ซึ่งหมายถึงการร่วมรู้สึก โดยกำหนดเป้าหมายหลักไว้ที่ความเห็นอกเห็นใจเชิงปัญญาและการรับรู้มุมมองของผู้อื่น เนื่องจากเป็นสิ่งที่วัดได้ชัดเจนกว่าและสอดคล้องกับวัตถุประสงค์ของโครงงานที่ต้องการให้ผู้เล่นตีความพฤติกรรมของคนรอบข้างใหม่</w:t>
      </w:r>
    </w:p>
    <w:p w:rsidR="00670EA4" w:rsidRPr="00B92D3D" w:rsidRDefault="00670EA4" w:rsidP="00C61F34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4.2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การรับรู้ความรู้สึกของผู้อื่นผ่านมุมมองของตัวละคร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ให้หลักฐานเชิงทดลองที่ละเอียดเกี่ยวกับกลไกของการสวมมุมมอง โดยพบว่าการสวมมุมมองไม่ได้นำไปสู่ความเห็นอกเห็นใจโดยตรง แต่ทำงานผ่านตัวแปรส่งผ่านคือความรู้สึกเป็นหนึ่งเดียวกับตัวละคร ซึ่งจากนั้นจึงส่งผลต่อความเห็นอกเห็นใจเชิงปัญญา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ข้อค้นพบที่ควรระบุอย่างตรงไปตรงมาคือ คณะผู้วิจัยไม่พบความสัมพันธ์ระหว่างความเห็นอกเห็นใจที่เพิ่มขึ้นกับการลดลงของอคติแฝง (</w:t>
      </w:r>
      <w:r w:rsidRPr="00825D21">
        <w:rPr>
          <w:rFonts w:ascii="TH Sarabun New" w:hAnsi="TH Sarabun New" w:cs="TH Sarabun New"/>
          <w:sz w:val="32"/>
          <w:szCs w:val="32"/>
        </w:rPr>
        <w:t xml:space="preserve">implicit bias) </w:t>
      </w:r>
      <w:r w:rsidRPr="00825D21">
        <w:rPr>
          <w:rFonts w:ascii="TH Sarabun New" w:hAnsi="TH Sarabun New" w:cs="TH Sarabun New"/>
          <w:sz w:val="32"/>
          <w:szCs w:val="32"/>
          <w:cs/>
        </w:rPr>
        <w:t>ซึ่งหมายความว่าการเปลี่ยนความรู้สึกกับการเปลี่ยนอคติที่ฝังลึกเป็นคนละเรื่องกัน และไม่ควรอ้างว่าเกมทำได้ทั้งสองอย่าง</w:t>
      </w:r>
    </w:p>
    <w:p w:rsidR="00670EA4" w:rsidRPr="00B92D3D" w:rsidRDefault="00670EA4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4.3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ผลของการมีส่วนร่วมของผู้เล่นต่อประสบการณ์ทางอารมณ์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งานของ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ที่กล่าวถึงในหัวข้อ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3.3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เป็นหลักฐานที่ชัดเจนที่สุดในประเด็นนี้ ผลการทดลองสองครั้งชี้ให้เห็นว่า การให้ผู้อ่านมีสิทธิ์ตัดสินใจแทนตัวละครจะส่งผลต่อการเรียนรู้เชิงเปลี่ยนแปลงก็ต่อเมื่อตัวเลือกนั้นมีความหมายอย่างแท้จริง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คณะผู้วิจัยอธิบายว่า การรับรู้มุมมองของผู้อื่นถูกส่งเสริมด้วยการมอบบทบาทให้ผู้เล่นโดยตรงและเปิดให้ตัดสินใจแทนตัวละครในฐานะ "เพื่อน" ของผู้ที่กำลังเผชิญภาวะซึมเศร้า และเมื่อผู้เล่นรู้สึกเป็นอันหนึ่งอันเดียวกับตัวละครแล้ว ก็จะนำไปสู่การไตร่ตรองว่าควรเข้าหาผู้ที่มีภาวะซึมเศร้าอย่างไรจึงจะเหมาะสม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ข้อสรุปนี้ตรงกับวัตถุประสงค์ของ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อย่างมาก เพราะกลุ่มเป้าหมายของเกมคือนักเรียนที่จะต้องทำหน้าที่เป็น "เพื่อน" ของคนที่กำลังลำบากใจ มิใช่ผู้เชี่ยวชาญด้านสุขภาพจิต</w:t>
      </w:r>
    </w:p>
    <w:p w:rsidR="00670EA4" w:rsidRPr="00B92D3D" w:rsidRDefault="00670EA4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4.4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การใช้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Media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เพื่อสร้างประสบการณ์และการสะท้อนความคิด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ุณค่าเฉพาะของสื่อเชิงโต้ตอบอยู่ที่ความสามารถในการสร้างประสบการณ์ที่ผู้เล่นต้องรับผิดชอบต่อผลของการเลือกของต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แสดงให้เห็นว่าวิชวลโนเวลสามารถทำหน้าที่เป็นเครื่องมือกระตุ้นการไตร่ตรองได้จริง โดยผู้เล่นตีความประเด็นของเกมว่าเกี่ยวข้องกับชีวิตของตนเอง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ในทำนองเดียวกัน </w:t>
      </w:r>
      <w:r w:rsidRPr="00825D21">
        <w:rPr>
          <w:rFonts w:ascii="TH Sarabun New" w:hAnsi="TH Sarabun New" w:cs="TH Sarabun New"/>
          <w:sz w:val="32"/>
          <w:szCs w:val="32"/>
        </w:rPr>
        <w:t xml:space="preserve">Sousa, Campos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Bala (2024) </w:t>
      </w:r>
      <w:r w:rsidRPr="00825D21">
        <w:rPr>
          <w:rFonts w:ascii="TH Sarabun New" w:hAnsi="TH Sarabun New" w:cs="TH Sarabun New"/>
          <w:sz w:val="32"/>
          <w:szCs w:val="32"/>
          <w:cs/>
        </w:rPr>
        <w:t>ได้ทดลองใช้เรื่องเล่าที่สร้างขึ้นเพื่อส่งเสริมความรอบรู้ด้านสุขภาพจิตในหมู่นักศึกษา ซึ่งแสดงให้เห็นความสนใจที่เพิ่มขึ้นในการใช้เรื่องเล่าเชิงโต้ตอบเป็นสื่อในพื้นที่นี้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ในบริบทของโครงงานนี้ การที่ผู้เล่นสามารถย้อนกลับไปเลือกใหม่และเห็นว่าผลลัพธ์เปลี่ยนไป ทำหน้าที่เป็นกระบวนการสะท้อนความคิดในตัวเอง เพราะผู้เล่นได้เปรียบเทียบการตัดสินใจของตนกับทางเลือกอื่นที่เป็นไปได้</w:t>
      </w:r>
    </w:p>
    <w:p w:rsidR="00B92D3D" w:rsidRPr="00B92D3D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เทคโนโลยีที่ใช้ในการพัฒนาเกม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 w:hint="cs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5.1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โปรแกรม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Godot Engine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และ ภาษา </w:t>
      </w:r>
      <w:r w:rsidR="00825D21">
        <w:rPr>
          <w:rFonts w:ascii="TH Sarabun New" w:hAnsi="TH Sarabun New" w:cs="TH Sarabun New"/>
          <w:b/>
          <w:bCs/>
          <w:sz w:val="32"/>
          <w:szCs w:val="32"/>
        </w:rPr>
        <w:t>GDScript</w:t>
      </w:r>
      <w:r w:rsidR="00825D2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เป็นเอนจินสำหรับพัฒนาเกม </w:t>
      </w:r>
      <w:r w:rsidRPr="00B92D3D">
        <w:rPr>
          <w:rFonts w:ascii="TH Sarabun New" w:hAnsi="TH Sarabun New" w:cs="TH Sarabun New"/>
          <w:sz w:val="32"/>
          <w:szCs w:val="32"/>
        </w:rPr>
        <w:t xml:space="preserve">2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มิติและ </w:t>
      </w:r>
      <w:r w:rsidRPr="00B92D3D">
        <w:rPr>
          <w:rFonts w:ascii="TH Sarabun New" w:hAnsi="TH Sarabun New" w:cs="TH Sarabun New"/>
          <w:sz w:val="32"/>
          <w:szCs w:val="32"/>
        </w:rPr>
        <w:t xml:space="preserve">3 </w:t>
      </w:r>
      <w:r w:rsidRPr="00B92D3D">
        <w:rPr>
          <w:rFonts w:ascii="TH Sarabun New" w:hAnsi="TH Sarabun New" w:cs="TH Sarabun New"/>
          <w:sz w:val="32"/>
          <w:szCs w:val="32"/>
          <w:cs/>
        </w:rPr>
        <w:t>มิติ ที่เป็นซอฟต์แวร์เสรีและโอเพนซอร์ส พัฒนาโดยชุมชนนักพัฒนา (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Engine, n.d.)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คุณสมบัติที่ทำให้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>เหมาะสมกับโครงงานระดับนักเรียน ได้แก่ การเปิดให้ใช้งานได้โดยไม่มีค่าใช้จ่ายและไม่มีเงื่อนไขส่วนแบ่งรายได้ ขนาดโปรแกรมที่เล็ก ระบบฉากและโหนดที่เข้าใจได้ง่าย และการรองรับการส่งออกไฟล์ไปยังหลาย</w:t>
      </w:r>
      <w:r w:rsidRPr="00B92D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แพลตฟอร์ม ซึ่งสะดวกต่อการนำไปให้กลุ่มตัวอย่างทดลองเล่น โครงงานนี้ใช้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รุ่น </w:t>
      </w:r>
      <w:r w:rsidRPr="00B92D3D">
        <w:rPr>
          <w:rFonts w:ascii="TH Sarabun New" w:hAnsi="TH Sarabun New" w:cs="TH Sarabun New"/>
          <w:sz w:val="32"/>
          <w:szCs w:val="32"/>
        </w:rPr>
        <w:t xml:space="preserve">4 </w:t>
      </w:r>
      <w:r w:rsidRPr="00B92D3D">
        <w:rPr>
          <w:rFonts w:ascii="TH Sarabun New" w:hAnsi="TH Sarabun New" w:cs="TH Sarabun New"/>
          <w:sz w:val="32"/>
          <w:szCs w:val="32"/>
          <w:cs/>
        </w:rPr>
        <w:t>เป็นเครื่องมือหลักในการพัฒนา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B92D3D">
        <w:rPr>
          <w:rFonts w:ascii="TH Sarabun New" w:hAnsi="TH Sarabun New" w:cs="TH Sarabun New"/>
          <w:sz w:val="32"/>
          <w:szCs w:val="32"/>
        </w:rPr>
        <w:t xml:space="preserve">GDScript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เป็นภาษาสคริปต์ที่ออกแบบมาเฉพาะสำหรับ </w:t>
      </w:r>
      <w:r w:rsidRPr="00B92D3D">
        <w:rPr>
          <w:rFonts w:ascii="TH Sarabun New" w:hAnsi="TH Sarabun New" w:cs="TH Sarabun New"/>
          <w:sz w:val="32"/>
          <w:szCs w:val="32"/>
        </w:rPr>
        <w:t xml:space="preserve">Godot Engine </w:t>
      </w:r>
      <w:r w:rsidRPr="00B92D3D">
        <w:rPr>
          <w:rFonts w:ascii="TH Sarabun New" w:hAnsi="TH Sarabun New" w:cs="TH Sarabun New"/>
          <w:sz w:val="32"/>
          <w:szCs w:val="32"/>
          <w:cs/>
        </w:rPr>
        <w:t xml:space="preserve">มีไวยากรณ์ที่ใกล้เคียงกับภาษา </w:t>
      </w:r>
      <w:r w:rsidRPr="00B92D3D">
        <w:rPr>
          <w:rFonts w:ascii="TH Sarabun New" w:hAnsi="TH Sarabun New" w:cs="TH Sarabun New"/>
          <w:sz w:val="32"/>
          <w:szCs w:val="32"/>
        </w:rPr>
        <w:t xml:space="preserve">Python </w:t>
      </w:r>
      <w:r w:rsidRPr="00B92D3D">
        <w:rPr>
          <w:rFonts w:ascii="TH Sarabun New" w:hAnsi="TH Sarabun New" w:cs="TH Sarabun New"/>
          <w:sz w:val="32"/>
          <w:szCs w:val="32"/>
          <w:cs/>
        </w:rPr>
        <w:t>และผูกเข้ากับโครงสร้างโหนดของเอนจินโดยตรง ทำให้เขียนโค้ดที่ควบคุมฉากและวัตถุในเกมได้กระชับ นอกจากนี้ยังรองรับการกำหนดชนิดข้อมูลแบบสถิต (</w:t>
      </w:r>
      <w:r w:rsidRPr="00B92D3D">
        <w:rPr>
          <w:rFonts w:ascii="TH Sarabun New" w:hAnsi="TH Sarabun New" w:cs="TH Sarabun New"/>
          <w:sz w:val="32"/>
          <w:szCs w:val="32"/>
        </w:rPr>
        <w:t xml:space="preserve">static typing) </w:t>
      </w:r>
      <w:r w:rsidRPr="00B92D3D">
        <w:rPr>
          <w:rFonts w:ascii="TH Sarabun New" w:hAnsi="TH Sarabun New" w:cs="TH Sarabun New"/>
          <w:sz w:val="32"/>
          <w:szCs w:val="32"/>
          <w:cs/>
        </w:rPr>
        <w:t>ซึ่งช่วยลดข้อผิดพลาดในโครงการที่มีขนาดใหญ่ขึ้น (</w:t>
      </w:r>
      <w:r w:rsidRPr="00B92D3D">
        <w:rPr>
          <w:rFonts w:ascii="TH Sarabun New" w:hAnsi="TH Sarabun New" w:cs="TH Sarabun New"/>
          <w:sz w:val="32"/>
          <w:szCs w:val="32"/>
        </w:rPr>
        <w:t>Godot Engine, n.d.)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งานวิจัยและโครงงานที่เกี่ยวข้อง</w:t>
      </w: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6.1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งานวิจัยเกี่ยวกับเกมกับการส่งเสริมสุขภาพจิต</w:t>
      </w:r>
      <w:r w:rsidR="00670EA4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670EA4">
        <w:rPr>
          <w:rFonts w:ascii="TH Sarabun New" w:hAnsi="TH Sarabun New" w:cs="TH Sarabun New" w:hint="cs"/>
          <w:b/>
          <w:bCs/>
          <w:sz w:val="32"/>
          <w:szCs w:val="32"/>
          <w:cs/>
        </w:rPr>
        <w:t>และสร้าง</w:t>
      </w:r>
      <w:r w:rsidR="00670EA4" w:rsidRPr="00670EA4">
        <w:rPr>
          <w:rFonts w:ascii="TH Sarabun New" w:hAnsi="TH Sarabun New" w:cs="TH Sarabun New"/>
          <w:b/>
          <w:bCs/>
          <w:sz w:val="32"/>
          <w:szCs w:val="32"/>
          <w:cs/>
        </w:rPr>
        <w:t>ความเห็นอกเห็นใจ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Pine, Mbinta, Te Morenga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Fleming (2024)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ได้ศึกษาความเป็นไปได้ของการใช้เกมทั่วไป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casual game)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เป็นช่องทางส่งเสริมสุขภาวะในวัยรุ่น โดยพัฒนาเกมชื่อ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i/>
          <w:iCs/>
          <w:sz w:val="32"/>
          <w:szCs w:val="32"/>
        </w:rPr>
        <w:t>Match Emoji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ซึ่งสอดแทรกเนื้อหาด้านสุขภาพจิตอย่างเรียบง่าย และทดลองกับนักเรียนอายุ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12–14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ปี จำนวน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45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คน โดยให้เล่นครั้งละ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15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นาที สัปดาห์ละ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2–3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ครั้ง เป็นเวลา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สัปดาห์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>ความสำคัญของงานชิ้นนี้ต่อโครงงานอยู่ที่แนวคิดพื้นฐาน กล่าวคือ เกมที่วัยรุ่นเล่นอยู่แล้วตามปกติสามารถทำหน้าที่เป็นช่องทางเข้าถึงกลุ่มเป้าหมายได้ โดยไม่จำเป็นต้องมีลักษณะเป็นเครื่องมือทางการแพทย์ที่ผู้ใช้ต้องตั้งใจแสวงหา อย่างไรก็ตาม ต้องระบุว่างานดังกล่าวเป็นการศึกษาความเป็นไปได้แบบกลุ่มเดียวโดยไม่มีการสุ่ม ผลที่ได้จึงยังไม่ใช่ข้อสรุปเรื่องประสิทธิผล</w:t>
      </w:r>
    </w:p>
    <w:p w:rsid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ในภาพรวม </w:t>
      </w:r>
      <w:r w:rsidRPr="00825D21">
        <w:rPr>
          <w:rFonts w:ascii="TH Sarabun New" w:hAnsi="TH Sarabun New" w:cs="TH Sarabun New"/>
          <w:sz w:val="32"/>
          <w:szCs w:val="32"/>
        </w:rPr>
        <w:t xml:space="preserve">Warsinsky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Pr="00825D21">
        <w:rPr>
          <w:rFonts w:ascii="TH Sarabun New" w:hAnsi="TH Sarabun New" w:cs="TH Sarabun New"/>
          <w:sz w:val="32"/>
          <w:szCs w:val="32"/>
          <w:cs/>
        </w:rPr>
        <w:t>เตือนว่างานวิจัยด้านเกมเพื่อสุขภาพมีความหลากหลายในการนิยามและการรายงานสูงมาก ทำให้การเปรียบเทียบผลระหว่างงานวิจัยเป็นไปได้ยาก ข้อสังเกตนี้เป็นเหตุผลที่โครงงานนี้ระบุขอบเขตและประเภทของผลงานไว้อย่างชัดเจนตั้งแต่ต้น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Schrier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Farber (2021)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ให้ภาพรวมของพื้นที่วิจัยนี้ และชี้ให้เห็นปัญหาเชิงระเบียบวิธีที่สำคัญ คือความไม่เป็นเอกภาพของนิยาม ซึ่งทำให้ข้ออ้างว่า "เกมสร้างความเห็นอกเห็นใจ" มักไม่สามารถตรวจสอบเปรียบเทียบกันได้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ให้หลักฐานเชิงทดลองที่ละเอียดกว่า โดยแยกแยะเส้นทางความสัมพันธ์ระหว่างการสวมมุมมอง ความรู้สึกเป็นหนึ่งเดียวกับตัวละคร และความเห็นอกเห็นใจเชิงปัญญา พร้อมทั้งรายงานอย่างตรงไปตรงมาว่าผลต่ออคติแฝงไม่ปรากฏ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ศึกษาประเด็นนี้ในบริบทของเกมที่นำเสนอประสบการณ์ทางจิตใจโดยตรง และพบว่าผู้เล่นสามารถได้รับประสบการณ์เชิงบวกจากการเผชิญเนื้อหาที่หนักได้ หากการออกแบบมีความเหมาะสม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670EA4" w:rsidRPr="00B92D3D" w:rsidRDefault="00670EA4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lastRenderedPageBreak/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Interactive Storytelling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และประสบการณ์ของผู้เล่น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เป็นงานเชิงประจักษ์ชิ้นแรก ๆ ที่ศึกษาการรับรู้ความรู้สึกมีส่วนร่วมของผู้เล่นในเกมแนวเล่าเรื่องด้วยวิธีการเชิงปรากฏการณ์วิทยา ข้อค้นพบที่ว่าการรับรู้นี้แตกต่างกันอย่างมากระหว่างบุคคล และไม่มีปัจจัยเดียวที่กำหนดได้เบ็ดเสร็จ เป็นข้อมูลสำคัญสำหรับการตั้งความคาดหวังต่อผลการทดสอบเกมกับกลุ่มตัวอย่าง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>ให้หลักฐานที่ชัดเจนว่าคุณภาพของตัวเลือกสำคัญกว่าการมีตัวเลือก ซึ่งเป็นหลักการที่ถูกนำมาใช้โดยตรงในการออกแบบระบบตัวเลือกของโครงงานนี้</w:t>
      </w:r>
    </w:p>
    <w:p w:rsidR="00670EA4" w:rsidRPr="00B92D3D" w:rsidRDefault="00670EA4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3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งานวิจัยเกี่ยวกับ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Visual Novel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และการเล่าเรื่อง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Camingue, Carstensdóttir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825D21" w:rsidRPr="00825D21">
        <w:rPr>
          <w:rFonts w:ascii="TH Sarabun New" w:hAnsi="TH Sarabun New" w:cs="TH Sarabun New"/>
          <w:sz w:val="32"/>
          <w:szCs w:val="32"/>
        </w:rPr>
        <w:t xml:space="preserve">Melcer (2021) </w:t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เป็นงานที่สำคัญที่สุดต่อโครงงานนี้ในเชิงคำนิยาม เนื่องจากเป็นการทบทวนคำนิยามทางวิชาการของวิชวลโนเวลอย่างเป็นระบบ และเสนอคำนิยามที่รวมองค์ประกอบสำคัญเข้าด้วยกัน โครงงานนี้จึงใช้คำนิยามดังกล่าวเป็นเกณฑ์ตรวจสอบว่าผลงานที่พัฒนาขึ้นมีคุณสมบัติครบตามแนวเกมที่อ้างถึงหรือไม่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2026) </w:t>
      </w:r>
      <w:r w:rsidRPr="00825D21">
        <w:rPr>
          <w:rFonts w:ascii="TH Sarabun New" w:hAnsi="TH Sarabun New" w:cs="TH Sarabun New"/>
          <w:sz w:val="32"/>
          <w:szCs w:val="32"/>
          <w:cs/>
        </w:rPr>
        <w:t>เป็นตัวอย่างร่วมสมัยที่ใกล้เคียงกับโครงงานนี้มากที่สุด เพราะเป็นวิชวลโนเวลที่พัฒนาขึ้นเพื่อกระตุ้นการไตร่ตรองด้านสุขภาพจิตของนักศึกษาโดยเฉพาะ และมีการประเมินประสบการณ์ผู้เล่นด้วยเครื่องมือมาตรฐาน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25D21">
        <w:rPr>
          <w:rFonts w:ascii="TH Sarabun New" w:hAnsi="TH Sarabun New" w:cs="TH Sarabun New"/>
          <w:sz w:val="32"/>
          <w:szCs w:val="32"/>
        </w:rPr>
        <w:t xml:space="preserve">Sousa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2024) </w:t>
      </w:r>
      <w:r w:rsidRPr="00825D21">
        <w:rPr>
          <w:rFonts w:ascii="TH Sarabun New" w:hAnsi="TH Sarabun New" w:cs="TH Sarabun New"/>
          <w:sz w:val="32"/>
          <w:szCs w:val="32"/>
          <w:cs/>
        </w:rPr>
        <w:t>แสดงให้เห็นทิศทางการพัฒนาเรื่องเล่าเชิงโต้ตอบเพื่อส่งเสริมความรอบรู้ด้านสุขภาพจิต ซึ่งเป็นพื้นที่ที่กำลังได้รับความสนใจเพิ่มขึ้น</w:t>
      </w:r>
    </w:p>
    <w:p w:rsidR="00670EA4" w:rsidRPr="00B92D3D" w:rsidRDefault="00670EA4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6.</w:t>
      </w:r>
      <w:r w:rsidR="009A0111">
        <w:rPr>
          <w:rFonts w:ascii="TH Sarabun New" w:hAnsi="TH Sarabun New" w:cs="TH Sarabun New"/>
          <w:b/>
          <w:bCs/>
          <w:sz w:val="32"/>
          <w:szCs w:val="32"/>
        </w:rPr>
        <w:t>4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การวิเคราะห์งานที่เกี่ยวข้องกับ </w:t>
      </w:r>
      <w:r w:rsidRPr="00B92D3D">
        <w:rPr>
          <w:rFonts w:ascii="TH Sarabun New" w:hAnsi="TH Sarabun New" w:cs="TH Sarabun New"/>
          <w:b/>
          <w:bCs/>
          <w:sz w:val="32"/>
          <w:szCs w:val="32"/>
        </w:rPr>
        <w:t>Untitled Illness</w:t>
      </w:r>
    </w:p>
    <w:p w:rsidR="00825D21" w:rsidRPr="00825D21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825D21" w:rsidRPr="00825D21">
        <w:rPr>
          <w:rFonts w:ascii="TH Sarabun New" w:hAnsi="TH Sarabun New" w:cs="TH Sarabun New"/>
          <w:sz w:val="32"/>
          <w:szCs w:val="32"/>
          <w:cs/>
        </w:rPr>
        <w:t>เมื่อพิจารณางานที่ทบทวนมาทั้งหมด สามารถสรุปช่องว่างและตำแหน่งของโครงงานนี้ได้ดังนี้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ประการแรก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งานที่ใกล้เคียงที่สุดอย่าง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Excellium</w:t>
      </w:r>
      <w:r w:rsidRPr="00825D21">
        <w:rPr>
          <w:rFonts w:ascii="TH Sarabun New" w:hAnsi="TH Sarabun New" w:cs="TH Sarabun New"/>
          <w:sz w:val="32"/>
          <w:szCs w:val="32"/>
        </w:rPr>
        <w:t xml:space="preserve"> (Tomé et al., 2026)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มุ่งเป้าไปที่นักศึกษาระดับอุดมศึกษาและใช้กลยุทธ์ "ความไม่สบายใจเชิงบวก" ที่เข้มข้น ขณะที่ </w:t>
      </w:r>
      <w:r w:rsidRPr="00825D21">
        <w:rPr>
          <w:rFonts w:ascii="TH Sarabun New" w:hAnsi="TH Sarabun New" w:cs="TH Sarabun New"/>
          <w:sz w:val="32"/>
          <w:szCs w:val="32"/>
        </w:rPr>
        <w:t xml:space="preserve">Untitled Illness </w:t>
      </w:r>
      <w:r w:rsidRPr="00825D21">
        <w:rPr>
          <w:rFonts w:ascii="TH Sarabun New" w:hAnsi="TH Sarabun New" w:cs="TH Sarabun New"/>
          <w:sz w:val="32"/>
          <w:szCs w:val="32"/>
          <w:cs/>
        </w:rPr>
        <w:t>มุ่งเป้าไปที่นักเรียนมัธยมศึกษา และเลือกใช้การนำเสนอที่เงียบและสมจริง โดยวางเหตุการณ์ไว้ในชีวิตประจำวันที่ธรรมดา ความต่างนี้ตั้งอยู่บนสมมติฐานว่ากลุ่มเป้าหมายที่อายุน้อยกว่าเข้าถึงประเด็นได้ดีกว่าผ่านสถานการณ์ที่ตนคุ้นเคย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ประการที่สอง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งานที่มีหลักฐานเชิงประจักษ์ชัดเจนที่สุดเรื่องผลของตัวเลือก (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et al., 2022) </w:t>
      </w:r>
      <w:r w:rsidRPr="00825D21">
        <w:rPr>
          <w:rFonts w:ascii="TH Sarabun New" w:hAnsi="TH Sarabun New" w:cs="TH Sarabun New"/>
          <w:sz w:val="32"/>
          <w:szCs w:val="32"/>
          <w:cs/>
        </w:rPr>
        <w:t>วางผู้เล่นไว้ในบทบาทของ "เพื่อนผู้ให้ความช่วยเหลือ" โครงงานนี้ขยายแนวคิดดังกล่าวด้วยการสลับบทบาท กล่าวคือ ผู้เล่นได้สวมทั้งมุมมองของผู้ที่กำลังลำบากและมุมมองของผู้ที่ไม่รู้ว่าเพื่อนกำลังลำบาก ซึ่งเป็นโครงสร้างที่ยังไม่ปรากฏชัดเจนในงานที่ทบทวนมา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ประการที่สาม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>โครงงานนี้เชื่อมโยงข้อค้นพบด้านการกำกับอารมณ์ในวัยรุ่น (</w:t>
      </w:r>
      <w:r w:rsidRPr="00825D21">
        <w:rPr>
          <w:rFonts w:ascii="TH Sarabun New" w:hAnsi="TH Sarabun New" w:cs="TH Sarabun New"/>
          <w:sz w:val="32"/>
          <w:szCs w:val="32"/>
        </w:rPr>
        <w:t xml:space="preserve">Fombouchet et al., 2023; Wylie, De France, &amp; Hollenstein, 2023)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เข้ากับกลไกของเกมโดยตรงผ่านระบบ </w:t>
      </w:r>
      <w:r w:rsidRPr="00825D21">
        <w:rPr>
          <w:rFonts w:ascii="TH Sarabun New" w:hAnsi="TH Sarabun New" w:cs="TH Sarabun New"/>
          <w:sz w:val="32"/>
          <w:szCs w:val="32"/>
        </w:rPr>
        <w:t xml:space="preserve">Emotional Weight </w:t>
      </w:r>
      <w:r w:rsidRPr="00825D21">
        <w:rPr>
          <w:rFonts w:ascii="TH Sarabun New" w:hAnsi="TH Sarabun New" w:cs="TH Sarabun New"/>
          <w:sz w:val="32"/>
          <w:szCs w:val="32"/>
          <w:cs/>
        </w:rPr>
        <w:t>โดยเฉพาะการแปลงแนวคิดเรื่อง "คลังกลยุทธ์ที่จำกัด" ให้กลายเป็นกฎของเกมที่ลดจำนวนตัวเลือกลง แทนที่จะเป็นเพียงเนื้อหาในบทสนทนา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ประการที่สี่</w:t>
      </w:r>
      <w:r w:rsidRPr="00825D21">
        <w:rPr>
          <w:rFonts w:ascii="TH Sarabun New" w:hAnsi="TH Sarabun New" w:cs="TH Sarabun New"/>
          <w:sz w:val="32"/>
          <w:szCs w:val="32"/>
        </w:rPr>
        <w:t xml:space="preserve">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ข้อจำกัดที่ต้องยอมรับมีอย่างน้อยสองประการ 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Li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25D21">
        <w:rPr>
          <w:rFonts w:ascii="TH Sarabun New" w:hAnsi="TH Sarabun New" w:cs="TH Sarabun New"/>
          <w:sz w:val="32"/>
          <w:szCs w:val="32"/>
        </w:rPr>
        <w:t xml:space="preserve">van Berlo (2025)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พบว่าความเห็นอกเห็นใจที่เพิ่มขึ้นไม่ได้นำไปสู่การลดอคติแฝงเสมอไป อีกประการหนึ่ง </w:t>
      </w:r>
      <w:r w:rsidRPr="00825D21">
        <w:rPr>
          <w:rFonts w:ascii="TH Sarabun New" w:hAnsi="TH Sarabun New" w:cs="TH Sarabun New"/>
          <w:sz w:val="32"/>
          <w:szCs w:val="32"/>
        </w:rPr>
        <w:t xml:space="preserve">Scholl </w:t>
      </w:r>
      <w:r w:rsidRPr="00825D21">
        <w:rPr>
          <w:rFonts w:ascii="TH Sarabun New" w:hAnsi="TH Sarabun New" w:cs="TH Sarabun New"/>
          <w:sz w:val="32"/>
          <w:szCs w:val="32"/>
          <w:cs/>
        </w:rPr>
        <w:t>และคณะ (</w:t>
      </w:r>
      <w:r w:rsidRPr="00825D21">
        <w:rPr>
          <w:rFonts w:ascii="TH Sarabun New" w:hAnsi="TH Sarabun New" w:cs="TH Sarabun New"/>
          <w:sz w:val="32"/>
          <w:szCs w:val="32"/>
        </w:rPr>
        <w:t xml:space="preserve">2022) 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พบว่าเมื่อตัวเลือกไม่ถูกออกแบบให้มีความหมายเพียงพอ การมีตัวเลือกก็ไม่ให้ผลใด ๆ ดังนั้นการตั้งเป้าหมายของโครงงานจึงควรอยู่ที่การกระตุ้นการสะท้อนความคิดและการตระหนักรู้ มากกว่าการอ้างว่าสามารถเปลี่ยนทัศนคติของผู้เล่นได้อย่างถาวร ซึ่งสอดคล้องกับขอบเขตที่กำหนดไว้ในบทที่ </w:t>
      </w:r>
      <w:r w:rsidRPr="00825D21">
        <w:rPr>
          <w:rFonts w:ascii="TH Sarabun New" w:hAnsi="TH Sarabun New" w:cs="TH Sarabun New"/>
          <w:sz w:val="32"/>
          <w:szCs w:val="32"/>
        </w:rPr>
        <w:t>1</w:t>
      </w:r>
    </w:p>
    <w:p w:rsidR="00B92D3D" w:rsidRDefault="00B92D3D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:rsid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:rsidR="00B92D3D" w:rsidRPr="00B92D3D" w:rsidRDefault="00B92D3D" w:rsidP="002272EA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color w:val="EE0000"/>
          <w:sz w:val="32"/>
          <w:szCs w:val="32"/>
        </w:rPr>
      </w:pPr>
      <w:r w:rsidRPr="00B92D3D">
        <w:rPr>
          <w:rFonts w:ascii="TH Sarabun New" w:hAnsi="TH Sarabun New" w:cs="TH Sarabun New"/>
          <w:b/>
          <w:bCs/>
          <w:sz w:val="32"/>
          <w:szCs w:val="32"/>
          <w:cs/>
        </w:rPr>
        <w:t>อ้างอิง</w:t>
      </w: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  <w:r w:rsidRPr="00CB6618">
        <w:rPr>
          <w:rFonts w:ascii="TH Sarabun New" w:hAnsi="TH Sarabun New" w:cs="TH Sarabun New" w:hint="cs"/>
          <w:b/>
          <w:bCs/>
          <w:color w:val="EE0000"/>
          <w:sz w:val="32"/>
          <w:szCs w:val="32"/>
          <w:cs/>
        </w:rPr>
        <w:t>ยังไม่ได้ใช้นะนะนะ</w:t>
      </w:r>
      <w:r w:rsidRPr="00CB6618">
        <w:rPr>
          <w:rFonts w:ascii="TH Sarabun New" w:hAnsi="TH Sarabun New" w:cs="TH Sarabun New"/>
          <w:b/>
          <w:bCs/>
          <w:color w:val="EE0000"/>
          <w:sz w:val="32"/>
          <w:szCs w:val="32"/>
        </w:rPr>
        <w:t>**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ภาษาไทย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กรมสุขภาพจิต.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2565).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ผลประเมินสุขภาพจิตเด็กและวัยรุ่นไทย โดยยูนิเซฟร่วมกับกรมสุขภาพจิต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https://dmh.go.th/news/view.asp?id=2503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สำนักงานสภาพัฒนาการเศรษฐกิจและสังคมแห่งชาติ.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 xml:space="preserve">Mental Health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>ปัญหาสำคัญที่ต้องเฝ้าระวัง</w:t>
      </w:r>
      <w:r w:rsidRPr="00825D21">
        <w:rPr>
          <w:rFonts w:ascii="TH Sarabun New" w:hAnsi="TH Sarabun New" w:cs="TH Sarabun New"/>
          <w:sz w:val="32"/>
          <w:szCs w:val="32"/>
        </w:rPr>
        <w:t xml:space="preserve"> [</w:t>
      </w:r>
      <w:r w:rsidRPr="00825D21">
        <w:rPr>
          <w:rFonts w:ascii="TH Sarabun New" w:hAnsi="TH Sarabun New" w:cs="TH Sarabun New"/>
          <w:sz w:val="32"/>
          <w:szCs w:val="32"/>
          <w:cs/>
        </w:rPr>
        <w:t xml:space="preserve">บทความในรายงานภาวะสังคมไทย ไตรมาสหนึ่ง ปี </w:t>
      </w:r>
      <w:r w:rsidRPr="00825D21">
        <w:rPr>
          <w:rFonts w:ascii="TH Sarabun New" w:hAnsi="TH Sarabun New" w:cs="TH Sarabun New"/>
          <w:sz w:val="32"/>
          <w:szCs w:val="32"/>
        </w:rPr>
        <w:t xml:space="preserve">2567]. </w:t>
      </w:r>
      <w:hyperlink r:id="rId1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https://www.nesdc.go.th/wordpress/wp-content/uploads/2025/06/2567_article_q1_001.pdf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  <w:cs/>
        </w:rPr>
        <w:t>องค์การกระจายเสียงและแพร่ภาพสาธารณะแห่งประเทศไทย. (</w:t>
      </w:r>
      <w:r w:rsidRPr="00825D21">
        <w:rPr>
          <w:rFonts w:ascii="TH Sarabun New" w:hAnsi="TH Sarabun New" w:cs="TH Sarabun New"/>
          <w:sz w:val="32"/>
          <w:szCs w:val="32"/>
        </w:rPr>
        <w:t xml:space="preserve">2567). </w:t>
      </w:r>
      <w:r w:rsidRPr="00825D21">
        <w:rPr>
          <w:rFonts w:ascii="TH Sarabun New" w:hAnsi="TH Sarabun New" w:cs="TH Sarabun New"/>
          <w:i/>
          <w:iCs/>
          <w:sz w:val="32"/>
          <w:szCs w:val="32"/>
          <w:cs/>
        </w:rPr>
        <w:t xml:space="preserve">ไทยพบนักศึกษามีภาวะ "เครียด-ซึมเศร้า"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30%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1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https://www.thaipbs.or.th/news/content/338472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25D21">
        <w:rPr>
          <w:rFonts w:ascii="TH Sarabun New" w:hAnsi="TH Sarabun New" w:cs="TH Sarabun New"/>
          <w:b/>
          <w:bCs/>
          <w:sz w:val="32"/>
          <w:szCs w:val="32"/>
          <w:cs/>
        </w:rPr>
        <w:t>ภาษาอังกฤษ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Barrow, E., &amp; Thomas, G. (2022). Exploring perceived barriers and facilitators to mental health help-seeking in adolescents: A systematic literature review.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Educational Psychology in Practice, 38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173–193. </w:t>
      </w:r>
      <w:hyperlink r:id="rId1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https://doi.org/10.1080/02667363.2022.2051441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Beukema, L., de Winter, A. F., Korevaar, E. L., Hofstra, J., &amp; Reijneveld, S. A. (2024). Investigating the use of support in secondary school: The role of self-reliance and stigma towards help-seeking.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Mental Health, 33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227–235. </w:t>
      </w:r>
      <w:hyperlink r:id="rId1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https://doi.org/10.1080/09638237.2022.2069720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Camingue, J., Carstensdóttir, E., &amp; Melcer, E. F. (2021). What is a visual novel?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5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PLAY), Article 285, 1–18. </w:t>
      </w:r>
      <w:hyperlink r:id="rId1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https://doi.org/10.1145/3474712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Carstensdóttir, E., Kleinman, E., Williams, R., &amp; Seif El-Nasr, M. (2021). "Naked and on fire": Examining player agency experiences in narrative-focused gameplay.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2021 CHI Conference on Human Factors in Computing Systems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1–13). Association for Computing Machinery. </w:t>
      </w:r>
      <w:hyperlink r:id="rId1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https://doi.org/10.1145/3411764.3445540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Fombouchet, Y., Pineau, S., Perchec, C., Lucenet, J., &amp; Lannegrand, L. (2023). The development of emotion regulation in adolescence: What do we know and where to go next?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Social Development, 32</w:t>
      </w:r>
      <w:r w:rsidRPr="00825D21">
        <w:rPr>
          <w:rFonts w:ascii="TH Sarabun New" w:hAnsi="TH Sarabun New" w:cs="TH Sarabun New"/>
          <w:sz w:val="32"/>
          <w:szCs w:val="32"/>
        </w:rPr>
        <w:t xml:space="preserve">(4), 1227–1242. </w:t>
      </w:r>
      <w:hyperlink r:id="rId1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https://doi.org/10.1111/sode.12684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Godot Engine. (n.d.).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Godot Engine documentation</w:t>
      </w:r>
      <w:r w:rsidRPr="00825D21">
        <w:rPr>
          <w:rFonts w:ascii="TH Sarabun New" w:hAnsi="TH Sarabun New" w:cs="TH Sarabun New"/>
          <w:sz w:val="32"/>
          <w:szCs w:val="32"/>
        </w:rPr>
        <w:t xml:space="preserve">. Retrieved September 17, 2026, from </w:t>
      </w:r>
      <w:hyperlink r:id="rId1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https://docs.godotengine.org/en/stable/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Li, S. J., &amp; van Berlo, Z. M. C. (2025). Video games for good: Active perspective-taking fosters empathy and reduces implicit bias toward gendered violence victims.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Entertainment Computing, 53</w:t>
      </w:r>
      <w:r w:rsidRPr="00825D21">
        <w:rPr>
          <w:rFonts w:ascii="TH Sarabun New" w:hAnsi="TH Sarabun New" w:cs="TH Sarabun New"/>
          <w:sz w:val="32"/>
          <w:szCs w:val="32"/>
        </w:rPr>
        <w:t xml:space="preserve">, 100928. </w:t>
      </w:r>
      <w:hyperlink r:id="rId19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https://doi.org/10.1016/j.entcom.2025.100928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Pine, R., Mbinta, J., Te Morenga, L., &amp; Fleming, T. (2024). A novel casual video game with simple mental health and well-being concepts (Match Emoji): Mixed methods feasibility study.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JMIR Serious Games, 12</w:t>
      </w:r>
      <w:r w:rsidRPr="00825D21">
        <w:rPr>
          <w:rFonts w:ascii="TH Sarabun New" w:hAnsi="TH Sarabun New" w:cs="TH Sarabun New"/>
          <w:sz w:val="32"/>
          <w:szCs w:val="32"/>
        </w:rPr>
        <w:t xml:space="preserve">, e46697. </w:t>
      </w:r>
      <w:hyperlink r:id="rId20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https://games.jmir.org/2024/1/e46697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Schlote, E., &amp; Major, A. (2021). Playing with mental issues: Entertaining video games as a means for mental health education?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Digital Culture &amp; Education, 13</w:t>
      </w:r>
      <w:r w:rsidRPr="00825D21">
        <w:rPr>
          <w:rFonts w:ascii="TH Sarabun New" w:hAnsi="TH Sarabun New" w:cs="TH Sarabun New"/>
          <w:sz w:val="32"/>
          <w:szCs w:val="32"/>
        </w:rPr>
        <w:t>(2), 94–110.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Scholl, J., Pandrea, M., &amp; van Enschot, R. (2022). How to help your depressed friend? The effects of interactive health narratives on cognitive and transformative learning.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Frontiers in Communication, 7</w:t>
      </w:r>
      <w:r w:rsidRPr="00825D21">
        <w:rPr>
          <w:rFonts w:ascii="TH Sarabun New" w:hAnsi="TH Sarabun New" w:cs="TH Sarabun New"/>
          <w:sz w:val="32"/>
          <w:szCs w:val="32"/>
        </w:rPr>
        <w:t xml:space="preserve">, 966944. </w:t>
      </w:r>
      <w:hyperlink r:id="rId21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https://doi.org/10.3389/fcomm.2022.966944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Schrier, K., &amp; Farber, M. (2021). A systematic literature review of "empathy" and "games".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Gaming &amp; Virtual Worlds, 13</w:t>
      </w:r>
      <w:r w:rsidRPr="00825D21">
        <w:rPr>
          <w:rFonts w:ascii="TH Sarabun New" w:hAnsi="TH Sarabun New" w:cs="TH Sarabun New"/>
          <w:sz w:val="32"/>
          <w:szCs w:val="32"/>
        </w:rPr>
        <w:t xml:space="preserve">(2), 195–214. </w:t>
      </w:r>
      <w:hyperlink r:id="rId22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https://doi.org/10.1386/jgvw_00036_1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Sousa, J. P. V., Campos, P., &amp; Bala, P. (2024). College tales: Pilot study on large language models generated narratives for mental health literacy. In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27th International Academic Mindtrek Conference</w:t>
      </w:r>
      <w:r w:rsidRPr="00825D21">
        <w:rPr>
          <w:rFonts w:ascii="TH Sarabun New" w:hAnsi="TH Sarabun New" w:cs="TH Sarabun New"/>
          <w:sz w:val="32"/>
          <w:szCs w:val="32"/>
        </w:rPr>
        <w:t xml:space="preserve"> (pp. 270–275). Association for Computing Machinery. </w:t>
      </w:r>
      <w:hyperlink r:id="rId23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https://doi.org/10.1145/3681716.3689447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Pires, A., Jiskrová, A., Saial, A., &amp; Campos, P. F. (2024). "I found it cathartic": Exploring empathy and mental health awareness in psychological horror video games.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Proceedings of the ACM on Human-Computer Interaction, 8</w:t>
      </w:r>
      <w:r w:rsidRPr="00825D21">
        <w:rPr>
          <w:rFonts w:ascii="TH Sarabun New" w:hAnsi="TH Sarabun New" w:cs="TH Sarabun New"/>
          <w:sz w:val="32"/>
          <w:szCs w:val="32"/>
        </w:rPr>
        <w:t xml:space="preserve">(CHI PLAY). </w:t>
      </w:r>
      <w:hyperlink r:id="rId24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https://doi.org/10.1145/3677083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Tomé, F., Ponte, C., Coelho, C., Ferreira, P., Campos, R., Pires, A., &amp; Campos, P. (2026). Excellium: Designing a psychological visual novel to foster reflection on university students mental health. In S. Bakkes, F. Bellotti, P. Dondio, M. Ninaus, V. Wanick, &amp; A. Bucchiarone (Eds.),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Games and Learning Alliance (GALA 2025)</w:t>
      </w:r>
      <w:r w:rsidRPr="00825D21">
        <w:rPr>
          <w:rFonts w:ascii="TH Sarabun New" w:hAnsi="TH Sarabun New" w:cs="TH Sarabun New"/>
          <w:sz w:val="32"/>
          <w:szCs w:val="32"/>
        </w:rPr>
        <w:t xml:space="preserve"> (Lecture Notes in Computer Science, Vol. 16307, pp. 452–458). Springer. </w:t>
      </w:r>
      <w:hyperlink r:id="rId25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https://doi.org/10.1007/978-3-032-11043-5_49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lastRenderedPageBreak/>
        <w:t xml:space="preserve">Warsinsky, S., Schmidt-Kraepelin, M., Rank, S., Thiebes, S., &amp; Sunyaev, A. (2021). Conceptual ambiguity surrounding gamification and serious games in health care: Literature review and development of game-based intervention reporting guidelines (GAMING).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Journal of Medical Internet Research, 23</w:t>
      </w:r>
      <w:r w:rsidRPr="00825D21">
        <w:rPr>
          <w:rFonts w:ascii="TH Sarabun New" w:hAnsi="TH Sarabun New" w:cs="TH Sarabun New"/>
          <w:sz w:val="32"/>
          <w:szCs w:val="32"/>
        </w:rPr>
        <w:t xml:space="preserve">(9), e30390. </w:t>
      </w:r>
      <w:hyperlink r:id="rId26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https://doi.org/10.2196/30390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World Health Organization. (2024).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Mental health of adolescents</w:t>
      </w:r>
      <w:r w:rsidRPr="00825D21">
        <w:rPr>
          <w:rFonts w:ascii="TH Sarabun New" w:hAnsi="TH Sarabun New" w:cs="TH Sarabun New"/>
          <w:sz w:val="32"/>
          <w:szCs w:val="32"/>
        </w:rPr>
        <w:t xml:space="preserve">. </w:t>
      </w:r>
      <w:hyperlink r:id="rId27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https://www.who.int/news-room/fact-sheets/detail/adolescent-mental-health</w:t>
        </w:r>
      </w:hyperlink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Wylie, M. S., Colasante, T., De France, K., Lin, L., &amp; Hollenstein, T. (2023). Momentary emotion regulation strategy use and success: Testing the influences of emotion intensity and habitual strategy use.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Emotion, 23</w:t>
      </w:r>
      <w:r w:rsidRPr="00825D21">
        <w:rPr>
          <w:rFonts w:ascii="TH Sarabun New" w:hAnsi="TH Sarabun New" w:cs="TH Sarabun New"/>
          <w:sz w:val="32"/>
          <w:szCs w:val="32"/>
        </w:rPr>
        <w:t>(2), 375–386.</w:t>
      </w:r>
    </w:p>
    <w:p w:rsidR="00825D21" w:rsidRPr="00825D21" w:rsidRDefault="00825D21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25D21">
        <w:rPr>
          <w:rFonts w:ascii="TH Sarabun New" w:hAnsi="TH Sarabun New" w:cs="TH Sarabun New"/>
          <w:sz w:val="32"/>
          <w:szCs w:val="32"/>
        </w:rPr>
        <w:t xml:space="preserve">Wylie, M. S., De France, K., &amp; Hollenstein, T. (2023). Adolescents suppress emotional expression more with peers compared to parents and less when they feel close to others. </w:t>
      </w:r>
      <w:r w:rsidRPr="00825D21">
        <w:rPr>
          <w:rFonts w:ascii="TH Sarabun New" w:hAnsi="TH Sarabun New" w:cs="TH Sarabun New"/>
          <w:i/>
          <w:iCs/>
          <w:sz w:val="32"/>
          <w:szCs w:val="32"/>
        </w:rPr>
        <w:t>International Journal of Behavioral Development, 47</w:t>
      </w:r>
      <w:r w:rsidRPr="00825D21">
        <w:rPr>
          <w:rFonts w:ascii="TH Sarabun New" w:hAnsi="TH Sarabun New" w:cs="TH Sarabun New"/>
          <w:sz w:val="32"/>
          <w:szCs w:val="32"/>
        </w:rPr>
        <w:t xml:space="preserve">(1), 1–8. </w:t>
      </w:r>
      <w:hyperlink r:id="rId28" w:history="1">
        <w:r w:rsidRPr="00825D21">
          <w:rPr>
            <w:rStyle w:val="Hyperlink"/>
            <w:rFonts w:ascii="TH Sarabun New" w:hAnsi="TH Sarabun New" w:cs="TH Sarabun New"/>
            <w:sz w:val="32"/>
            <w:szCs w:val="32"/>
          </w:rPr>
          <w:t>https://doi.org/10.1177/01650254221132777</w:t>
        </w:r>
      </w:hyperlink>
    </w:p>
    <w:p w:rsidR="00EB0B7C" w:rsidRPr="00B92D3D" w:rsidRDefault="00EB0B7C" w:rsidP="00825D21">
      <w:pPr>
        <w:tabs>
          <w:tab w:val="left" w:pos="907"/>
          <w:tab w:val="left" w:pos="1166"/>
          <w:tab w:val="left" w:pos="1440"/>
          <w:tab w:val="left" w:pos="1670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</w:p>
    <w:sectPr w:rsidR="00EB0B7C" w:rsidRPr="00B92D3D" w:rsidSect="00B92D3D">
      <w:headerReference w:type="default" r:id="rId29"/>
      <w:pgSz w:w="11906" w:h="16838"/>
      <w:pgMar w:top="2160" w:right="1440" w:bottom="1440" w:left="2160" w:header="706" w:footer="706" w:gutter="0"/>
      <w:pgNumType w:start="1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C16C3" w:rsidRDefault="006C16C3" w:rsidP="00EB7347">
      <w:pPr>
        <w:spacing w:after="0" w:line="240" w:lineRule="auto"/>
      </w:pPr>
      <w:r>
        <w:separator/>
      </w:r>
    </w:p>
  </w:endnote>
  <w:endnote w:type="continuationSeparator" w:id="0">
    <w:p w:rsidR="006C16C3" w:rsidRDefault="006C16C3" w:rsidP="00EB7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C16C3" w:rsidRDefault="006C16C3" w:rsidP="00EB7347">
      <w:pPr>
        <w:spacing w:after="0" w:line="240" w:lineRule="auto"/>
      </w:pPr>
      <w:r>
        <w:separator/>
      </w:r>
    </w:p>
  </w:footnote>
  <w:footnote w:type="continuationSeparator" w:id="0">
    <w:p w:rsidR="006C16C3" w:rsidRDefault="006C16C3" w:rsidP="00EB7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218421"/>
      <w:docPartObj>
        <w:docPartGallery w:val="Page Numbers (Top of Page)"/>
        <w:docPartUnique/>
      </w:docPartObj>
    </w:sdtPr>
    <w:sdtContent>
      <w:p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EB7347" w:rsidRDefault="00EB7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8670914"/>
      <w:docPartObj>
        <w:docPartGallery w:val="Page Numbers (Top of Page)"/>
        <w:docPartUnique/>
      </w:docPartObj>
    </w:sdtPr>
    <w:sdtContent>
      <w:p w:rsidR="00EB7347" w:rsidRDefault="00EB7347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:rsidR="00EB7347" w:rsidRDefault="00EB7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E03C8"/>
    <w:multiLevelType w:val="hybridMultilevel"/>
    <w:tmpl w:val="2AD49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C66C65"/>
    <w:multiLevelType w:val="multilevel"/>
    <w:tmpl w:val="786E8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936800">
    <w:abstractNumId w:val="1"/>
  </w:num>
  <w:num w:numId="2" w16cid:durableId="174149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4096" w:nlCheck="1" w:checkStyle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3B"/>
    <w:rsid w:val="0010380C"/>
    <w:rsid w:val="002272EA"/>
    <w:rsid w:val="002D560F"/>
    <w:rsid w:val="003D67D0"/>
    <w:rsid w:val="00555126"/>
    <w:rsid w:val="005F6956"/>
    <w:rsid w:val="00670EA4"/>
    <w:rsid w:val="006C16C3"/>
    <w:rsid w:val="0070229E"/>
    <w:rsid w:val="0079230A"/>
    <w:rsid w:val="007B7D8C"/>
    <w:rsid w:val="00816111"/>
    <w:rsid w:val="00825D21"/>
    <w:rsid w:val="0097756B"/>
    <w:rsid w:val="009A0111"/>
    <w:rsid w:val="00A113E5"/>
    <w:rsid w:val="00A159B5"/>
    <w:rsid w:val="00B92D3D"/>
    <w:rsid w:val="00BA0468"/>
    <w:rsid w:val="00C61F34"/>
    <w:rsid w:val="00CB6618"/>
    <w:rsid w:val="00D60F18"/>
    <w:rsid w:val="00DC313B"/>
    <w:rsid w:val="00EB0B7C"/>
    <w:rsid w:val="00EB7347"/>
    <w:rsid w:val="00F455D8"/>
    <w:rsid w:val="00FC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E30BF5"/>
  <w15:chartTrackingRefBased/>
  <w15:docId w15:val="{071E61D8-7609-43F8-A22E-E2DFED6AC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13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13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13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C31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3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13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DC313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1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C31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13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C31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C31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C3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1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1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1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1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5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5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347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EB73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347"/>
    <w:rPr>
      <w:noProof/>
    </w:rPr>
  </w:style>
  <w:style w:type="paragraph" w:styleId="NormalWeb">
    <w:name w:val="Normal (Web)"/>
    <w:basedOn w:val="Normal"/>
    <w:uiPriority w:val="99"/>
    <w:semiHidden/>
    <w:unhideWhenUsed/>
    <w:rsid w:val="00A159B5"/>
    <w:rPr>
      <w:rFonts w:ascii="Times New Roman" w:hAnsi="Times New Roman" w:cs="Angsana New"/>
      <w:sz w:val="24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CB66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8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1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33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doi.org/10.1080/02667363.2022.2051441" TargetMode="External"/><Relationship Id="rId18" Type="http://schemas.openxmlformats.org/officeDocument/2006/relationships/hyperlink" Target="https://docs.godotengine.org/en/stable/" TargetMode="External"/><Relationship Id="rId26" Type="http://schemas.openxmlformats.org/officeDocument/2006/relationships/hyperlink" Target="https://doi.org/10.2196/3039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3389/fcomm.2022.96694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thaipbs.or.th/news/content/338472" TargetMode="External"/><Relationship Id="rId17" Type="http://schemas.openxmlformats.org/officeDocument/2006/relationships/hyperlink" Target="https://doi.org/10.1111/sode.12684" TargetMode="External"/><Relationship Id="rId25" Type="http://schemas.openxmlformats.org/officeDocument/2006/relationships/hyperlink" Target="https://doi.org/10.1007/978-3-032-11043-5_4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1145/3411764.3445540" TargetMode="External"/><Relationship Id="rId20" Type="http://schemas.openxmlformats.org/officeDocument/2006/relationships/hyperlink" Target="https://games.jmir.org/2024/1/e46697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nesdc.go.th/wordpress/wp-content/uploads/2025/06/2567_article_q1_001.pdf" TargetMode="External"/><Relationship Id="rId24" Type="http://schemas.openxmlformats.org/officeDocument/2006/relationships/hyperlink" Target="https://doi.org/10.1145/367708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474712" TargetMode="External"/><Relationship Id="rId23" Type="http://schemas.openxmlformats.org/officeDocument/2006/relationships/hyperlink" Target="https://doi.org/10.1145/3681716.3689447" TargetMode="External"/><Relationship Id="rId28" Type="http://schemas.openxmlformats.org/officeDocument/2006/relationships/hyperlink" Target="https://doi.org/10.1177/01650254221132777" TargetMode="External"/><Relationship Id="rId10" Type="http://schemas.openxmlformats.org/officeDocument/2006/relationships/hyperlink" Target="https://dmh.go.th/news/view.asp?id=2503" TargetMode="External"/><Relationship Id="rId19" Type="http://schemas.openxmlformats.org/officeDocument/2006/relationships/hyperlink" Target="https://doi.org/10.1016/j.entcom.2025.100928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i.org/10.1080/09638237.2022.2069720" TargetMode="External"/><Relationship Id="rId22" Type="http://schemas.openxmlformats.org/officeDocument/2006/relationships/hyperlink" Target="https://doi.org/10.1386/jgvw_00036_1" TargetMode="External"/><Relationship Id="rId27" Type="http://schemas.openxmlformats.org/officeDocument/2006/relationships/hyperlink" Target="https://www.who.int/news-room/fact-sheets/detail/adolescent-mental-health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2A9ADC-C453-451B-AB79-92BE397E4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22</Pages>
  <Words>5710</Words>
  <Characters>32551</Characters>
  <Application>Microsoft Office Word</Application>
  <DocSecurity>0</DocSecurity>
  <Lines>271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Krittikun Wongnin</dc:creator>
  <cp:keywords/>
  <dc:description/>
  <cp:lastModifiedBy>Krittikun Wongnin</cp:lastModifiedBy>
  <cp:revision>5</cp:revision>
  <dcterms:created xsi:type="dcterms:W3CDTF">2026-09-16T14:11:00Z</dcterms:created>
  <dcterms:modified xsi:type="dcterms:W3CDTF">2026-09-17T14:53:00Z</dcterms:modified>
</cp:coreProperties>
</file>