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药都银行系统升级方案</w:t>
      </w:r>
    </w:p>
    <w:p>
      <w:pPr>
        <w:pStyle w:val="2"/>
        <w:spacing w:before="320" w:after="120" w:line="288" w:lineRule="auto"/>
        <w:ind w:left="0"/>
        <w:jc w:val="left"/>
        <w:outlineLvl w:val="1"/>
      </w:pPr>
      <w:bookmarkStart w:name="heading_0" w:id="0"/>
      <w:r>
        <w:rPr>
          <w:rFonts w:eastAsia="等线" w:ascii="Arial" w:cs="Arial" w:hAnsi="Arial"/>
          <w:b w:val="true"/>
          <w:sz w:val="32"/>
        </w:rPr>
        <w:t>一、整体技术架构</w:t>
      </w:r>
      <w:bookmarkEnd w:id="0"/>
    </w:p>
    <w:p>
      <w:pPr>
        <w:spacing w:before="120" w:after="120" w:line="288" w:lineRule="auto"/>
        <w:ind w:left="0"/>
        <w:jc w:val="left"/>
      </w:pPr>
      <w:r>
        <w:rPr>
          <w:rFonts w:eastAsia="等线" w:ascii="Arial" w:cs="Arial" w:hAnsi="Arial"/>
          <w:sz w:val="22"/>
        </w:rPr>
        <w:t xml:space="preserve">   </w:t>
      </w:r>
      <w:r>
        <w:rPr>
          <w:rFonts w:eastAsia="等线" w:ascii="Arial" w:cs="Arial" w:hAnsi="Arial"/>
          <w:b w:val="true"/>
          <w:sz w:val="22"/>
        </w:rPr>
        <w:t xml:space="preserve"> 1.1、技术路线，技术选型</w:t>
      </w:r>
    </w:p>
    <w:p>
      <w:pPr>
        <w:spacing w:before="120" w:after="120" w:line="288" w:lineRule="auto"/>
        <w:ind w:left="0"/>
        <w:jc w:val="center"/>
      </w:pPr>
      <w:r>
        <w:drawing>
          <wp:inline distT="0" distR="0" distB="0" distL="0">
            <wp:extent cx="5257800" cy="42862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42862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 xml:space="preserve">    1.2、整体平台功能架构图</w:t>
      </w:r>
    </w:p>
    <w:p>
      <w:pPr>
        <w:spacing w:before="120" w:after="120" w:line="288" w:lineRule="auto"/>
        <w:ind w:left="0"/>
        <w:jc w:val="center"/>
      </w:pPr>
      <w:r>
        <w:drawing>
          <wp:inline distT="0" distR="0" distB="0" distL="0">
            <wp:extent cx="5257800" cy="29908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29908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 xml:space="preserve">    1.3、物理架构图</w:t>
      </w:r>
    </w:p>
    <w:p>
      <w:pPr>
        <w:spacing w:before="120" w:after="120" w:line="288" w:lineRule="auto"/>
        <w:ind w:left="0"/>
        <w:jc w:val="center"/>
      </w:pPr>
      <w:r>
        <w:drawing>
          <wp:inline distT="0" distR="0" distB="0" distL="0">
            <wp:extent cx="5257800" cy="44481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57800" cy="4448175"/>
                    </a:xfrm>
                    <a:prstGeom prst="rect">
                      <a:avLst/>
                    </a:prstGeom>
                  </pic:spPr>
                </pic:pic>
              </a:graphicData>
            </a:graphic>
          </wp:inline>
        </w:drawing>
      </w:r>
    </w:p>
    <w:p>
      <w:pPr>
        <w:pStyle w:val="2"/>
        <w:spacing w:before="320" w:after="120" w:line="288" w:lineRule="auto"/>
        <w:ind w:left="0"/>
        <w:jc w:val="left"/>
        <w:outlineLvl w:val="1"/>
      </w:pPr>
      <w:bookmarkStart w:name="heading_1" w:id="1"/>
      <w:r>
        <w:rPr>
          <w:rFonts w:eastAsia="等线" w:ascii="Arial" w:cs="Arial" w:hAnsi="Arial"/>
          <w:b w:val="true"/>
          <w:sz w:val="32"/>
        </w:rPr>
        <w:t>二、打造全行级统一平台</w:t>
      </w:r>
      <w:bookmarkEnd w:id="1"/>
    </w:p>
    <w:p>
      <w:pPr>
        <w:spacing w:before="120" w:after="120" w:line="288" w:lineRule="auto"/>
        <w:ind w:left="453"/>
        <w:jc w:val="left"/>
      </w:pPr>
      <w:r>
        <w:rPr>
          <w:rFonts w:eastAsia="等线" w:ascii="Arial" w:cs="Arial" w:hAnsi="Arial"/>
          <w:b w:val="true"/>
          <w:sz w:val="22"/>
        </w:rPr>
        <w:t>2.1、各平台总览图，含各平台关系，逻辑架构图</w:t>
      </w:r>
    </w:p>
    <w:p>
      <w:pPr>
        <w:spacing w:before="120" w:after="120" w:line="288" w:lineRule="auto"/>
        <w:ind w:left="453"/>
        <w:jc w:val="center"/>
      </w:pPr>
      <w:r>
        <w:drawing>
          <wp:inline distT="0" distR="0" distB="0" distL="0">
            <wp:extent cx="5257800" cy="40767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257800" cy="4076700"/>
                    </a:xfrm>
                    <a:prstGeom prst="rect">
                      <a:avLst/>
                    </a:prstGeom>
                  </pic:spPr>
                </pic:pic>
              </a:graphicData>
            </a:graphic>
          </wp:inline>
        </w:drawing>
      </w:r>
    </w:p>
    <w:p>
      <w:pPr>
        <w:spacing w:before="120" w:after="120" w:line="288" w:lineRule="auto"/>
        <w:ind w:left="453"/>
        <w:jc w:val="left"/>
      </w:pPr>
    </w:p>
    <w:p>
      <w:pPr>
        <w:spacing w:before="120" w:after="120" w:line="288" w:lineRule="auto"/>
        <w:ind w:left="453"/>
        <w:jc w:val="left"/>
      </w:pPr>
      <w:r>
        <w:rPr>
          <w:rFonts w:eastAsia="等线" w:ascii="Arial" w:cs="Arial" w:hAnsi="Arial"/>
          <w:b w:val="true"/>
          <w:sz w:val="22"/>
        </w:rPr>
        <w:t>2.2、各平台功能简述</w:t>
      </w:r>
    </w:p>
    <w:p>
      <w:pPr>
        <w:spacing w:before="120" w:after="120" w:line="288" w:lineRule="auto"/>
        <w:ind w:left="453"/>
        <w:jc w:val="left"/>
      </w:pPr>
      <w:r>
        <w:rPr>
          <w:rFonts w:eastAsia="等线" w:ascii="Arial" w:cs="Arial" w:hAnsi="Arial"/>
          <w:sz w:val="22"/>
        </w:rPr>
        <w:t>1、统一用户权限中心</w:t>
      </w:r>
    </w:p>
    <w:p>
      <w:pPr>
        <w:spacing w:before="120" w:after="120" w:line="288" w:lineRule="auto"/>
        <w:ind w:left="453"/>
        <w:jc w:val="left"/>
      </w:pPr>
      <w:r>
        <w:rPr>
          <w:rFonts w:eastAsia="等线" w:ascii="Arial" w:cs="Arial" w:hAnsi="Arial"/>
          <w:sz w:val="22"/>
        </w:rPr>
        <w:t>建立全行统一用户权限管理中心，各级管理角色均可通过统一的管理入口进入相应的平台系统。通过建立统一的用户管理中心，可灵活定义相关角色的系统、菜单、数据、产品多维度的权限控制，且将银行各系统进行集中对接、管控，方便管理人员进行业务操作以及系统切换。</w:t>
      </w:r>
    </w:p>
    <w:p>
      <w:pPr>
        <w:spacing w:before="120" w:after="120" w:line="288" w:lineRule="auto"/>
        <w:ind w:left="453"/>
        <w:jc w:val="left"/>
      </w:pPr>
    </w:p>
    <w:p>
      <w:pPr>
        <w:spacing w:before="120" w:after="120" w:line="288" w:lineRule="auto"/>
        <w:ind w:left="453"/>
        <w:jc w:val="left"/>
      </w:pPr>
      <w:r>
        <w:rPr>
          <w:rFonts w:eastAsia="等线" w:ascii="Arial" w:cs="Arial" w:hAnsi="Arial"/>
          <w:sz w:val="22"/>
        </w:rPr>
        <w:t>2、风控决策引擎平台</w:t>
      </w:r>
    </w:p>
    <w:p>
      <w:pPr>
        <w:spacing w:before="120" w:after="120" w:line="288" w:lineRule="auto"/>
        <w:ind w:left="453"/>
        <w:jc w:val="left"/>
      </w:pPr>
      <w:r>
        <w:rPr>
          <w:rFonts w:eastAsia="等线" w:ascii="Arial" w:cs="Arial" w:hAnsi="Arial"/>
          <w:sz w:val="22"/>
        </w:rPr>
        <w:t>建立全行统一</w:t>
      </w:r>
      <w:r>
        <w:rPr>
          <w:rFonts w:eastAsia="等线" w:ascii="Arial" w:cs="Arial" w:hAnsi="Arial"/>
          <w:sz w:val="22"/>
        </w:rPr>
        <w:t>信贷</w:t>
      </w:r>
      <w:r>
        <w:rPr>
          <w:rFonts w:eastAsia="等线" w:ascii="Arial" w:cs="Arial" w:hAnsi="Arial"/>
          <w:sz w:val="22"/>
        </w:rPr>
        <w:t>产品的决策引擎，与业务平台相结合，可实现多产品、多场景的策略模型决策需求。决策引擎平台以数据指标为基础，可搭建不同信贷产品、不同客群、不同的模型策略，为银行提供贷前审核、贷中监控与贷后管理等全方位服务，支持指标</w:t>
      </w:r>
      <w:r>
        <w:rPr>
          <w:rFonts w:eastAsia="等线" w:ascii="Arial" w:cs="Arial" w:hAnsi="Arial"/>
          <w:sz w:val="22"/>
        </w:rPr>
        <w:t>SQL</w:t>
      </w:r>
      <w:r>
        <w:rPr>
          <w:rFonts w:eastAsia="等线" w:ascii="Arial" w:cs="Arial" w:hAnsi="Arial"/>
          <w:sz w:val="22"/>
        </w:rPr>
        <w:t>化+模型配置化+冠军挑战者模型。</w:t>
      </w:r>
    </w:p>
    <w:p>
      <w:pPr>
        <w:spacing w:before="120" w:after="120" w:line="288" w:lineRule="auto"/>
        <w:ind w:left="453"/>
        <w:jc w:val="left"/>
      </w:pPr>
    </w:p>
    <w:p>
      <w:pPr>
        <w:spacing w:before="120" w:after="120" w:line="288" w:lineRule="auto"/>
        <w:ind w:left="453"/>
        <w:jc w:val="left"/>
      </w:pPr>
      <w:r>
        <w:rPr>
          <w:rFonts w:eastAsia="等线" w:ascii="Arial" w:cs="Arial" w:hAnsi="Arial"/>
          <w:sz w:val="22"/>
        </w:rPr>
        <w:t>3、</w:t>
      </w:r>
      <w:r>
        <w:rPr>
          <w:rFonts w:eastAsia="等线" w:ascii="Arial" w:cs="Arial" w:hAnsi="Arial"/>
          <w:sz w:val="22"/>
        </w:rPr>
        <w:t>精细化运营管理</w:t>
      </w:r>
      <w:r>
        <w:rPr>
          <w:rFonts w:eastAsia="等线" w:ascii="Arial" w:cs="Arial" w:hAnsi="Arial"/>
          <w:sz w:val="22"/>
        </w:rPr>
        <w:t>平台</w:t>
      </w:r>
    </w:p>
    <w:p>
      <w:pPr>
        <w:spacing w:before="120" w:after="120" w:line="288" w:lineRule="auto"/>
        <w:ind w:left="453"/>
        <w:jc w:val="left"/>
      </w:pPr>
      <w:r>
        <w:rPr>
          <w:rFonts w:eastAsia="等线" w:ascii="Arial" w:cs="Arial" w:hAnsi="Arial"/>
          <w:sz w:val="22"/>
        </w:rPr>
        <w:t>通过私域流量精细化运营，打造智能工具化运营，实现自动化运营，实现降本增效，主要包含全员营销、裂变营销、存量转化、红包奖励、续贷留存、流失召回等；包装网格化管理、作战营销地图、私域运营、智能客服、营销画像及客户全旅程服务、领导驾驶舱，实现对公及对私客户的数字化、网络化、智能化精细营管理及服务。</w:t>
      </w:r>
    </w:p>
    <w:p>
      <w:pPr>
        <w:spacing w:before="120" w:after="120" w:line="288" w:lineRule="auto"/>
        <w:ind w:left="453"/>
        <w:jc w:val="left"/>
      </w:pPr>
    </w:p>
    <w:p>
      <w:pPr>
        <w:spacing w:before="120" w:after="120" w:line="288" w:lineRule="auto"/>
        <w:ind w:left="453"/>
        <w:jc w:val="left"/>
      </w:pPr>
      <w:r>
        <w:rPr>
          <w:rFonts w:eastAsia="等线" w:ascii="Arial" w:cs="Arial" w:hAnsi="Arial"/>
          <w:sz w:val="22"/>
        </w:rPr>
        <w:t>4、反欺诈平台</w:t>
      </w:r>
    </w:p>
    <w:p>
      <w:pPr>
        <w:spacing w:before="120" w:after="120" w:line="288" w:lineRule="auto"/>
        <w:ind w:left="453"/>
        <w:jc w:val="left"/>
      </w:pPr>
      <w:r>
        <w:rPr>
          <w:rFonts w:eastAsia="等线" w:ascii="Arial" w:cs="Arial" w:hAnsi="Arial"/>
          <w:sz w:val="22"/>
        </w:rPr>
        <w:t>用于采集客户行为设备数据，分析行为相似度和聚集度并结合业务风险表现数据，形成对欺诈行为的识别。包含基于用户行为数据的主观欺诈识别、利用知识图谱对中介及团伙欺诈防范、以及基于样本风险表现形成的欺诈分，其中欺诈分可结合其他数据表现进行综合决策。</w:t>
      </w:r>
    </w:p>
    <w:p>
      <w:pPr>
        <w:spacing w:before="120" w:after="120" w:line="288" w:lineRule="auto"/>
        <w:ind w:left="453"/>
        <w:jc w:val="left"/>
      </w:pPr>
    </w:p>
    <w:p>
      <w:pPr>
        <w:spacing w:before="120" w:after="120" w:line="288" w:lineRule="auto"/>
        <w:ind w:left="453"/>
        <w:jc w:val="left"/>
      </w:pPr>
      <w:r>
        <w:rPr>
          <w:rFonts w:eastAsia="等线" w:ascii="Arial" w:cs="Arial" w:hAnsi="Arial"/>
          <w:sz w:val="22"/>
        </w:rPr>
        <w:t>5、统一外部</w:t>
      </w:r>
      <w:r>
        <w:rPr>
          <w:rFonts w:eastAsia="等线" w:ascii="Arial" w:cs="Arial" w:hAnsi="Arial"/>
          <w:sz w:val="22"/>
        </w:rPr>
        <w:t>数据管理平台</w:t>
      </w:r>
    </w:p>
    <w:p>
      <w:pPr>
        <w:spacing w:before="120" w:after="120" w:line="288" w:lineRule="auto"/>
        <w:ind w:left="453"/>
        <w:jc w:val="left"/>
      </w:pPr>
      <w:r>
        <w:rPr>
          <w:rFonts w:eastAsia="等线" w:ascii="Arial" w:cs="Arial" w:hAnsi="Arial"/>
          <w:sz w:val="22"/>
        </w:rPr>
        <w:t>用于统一对接外部商采数据，可在此平台灵活配置不同产品的数据调用服务以及对外部数据调用的统计计费等辅助功能。</w:t>
      </w:r>
    </w:p>
    <w:p>
      <w:pPr>
        <w:spacing w:before="120" w:after="120" w:line="288" w:lineRule="auto"/>
        <w:ind w:left="453"/>
        <w:jc w:val="left"/>
      </w:pPr>
    </w:p>
    <w:p>
      <w:pPr>
        <w:spacing w:before="120" w:after="120" w:line="288" w:lineRule="auto"/>
        <w:ind w:left="453"/>
        <w:jc w:val="left"/>
      </w:pPr>
      <w:r>
        <w:rPr>
          <w:rFonts w:eastAsia="等线" w:ascii="Arial" w:cs="Arial" w:hAnsi="Arial"/>
          <w:sz w:val="22"/>
        </w:rPr>
        <w:t>6、流程引擎平台</w:t>
      </w:r>
    </w:p>
    <w:p>
      <w:pPr>
        <w:spacing w:before="120" w:after="120" w:line="288" w:lineRule="auto"/>
        <w:ind w:left="453"/>
        <w:jc w:val="left"/>
      </w:pPr>
      <w:r>
        <w:rPr>
          <w:rFonts w:eastAsia="等线" w:ascii="Arial" w:cs="Arial" w:hAnsi="Arial"/>
          <w:sz w:val="22"/>
        </w:rPr>
        <w:t>用于业务系统中特定场景的流程编排。比如频繁变动的业务审批流、客户经理分配流程等。通过对接决策引擎的指标库以及动作池，支持系统可视化灵活编辑。</w:t>
      </w:r>
    </w:p>
    <w:p>
      <w:pPr>
        <w:spacing w:before="120" w:after="120" w:line="288" w:lineRule="auto"/>
        <w:ind w:left="453"/>
        <w:jc w:val="left"/>
      </w:pPr>
      <w:r>
        <w:rPr>
          <w:rFonts w:eastAsia="等线" w:ascii="Arial" w:cs="Arial" w:hAnsi="Arial"/>
          <w:sz w:val="22"/>
        </w:rPr>
        <w:t>7、</w:t>
      </w:r>
      <w:r>
        <w:rPr>
          <w:rFonts w:eastAsia="等线" w:ascii="Arial" w:cs="Arial" w:hAnsi="Arial"/>
          <w:sz w:val="22"/>
        </w:rPr>
        <w:t>业务</w:t>
      </w:r>
      <w:r>
        <w:rPr>
          <w:rFonts w:eastAsia="等线" w:ascii="Arial" w:cs="Arial" w:hAnsi="Arial"/>
          <w:sz w:val="22"/>
        </w:rPr>
        <w:t>管理中心</w:t>
      </w:r>
    </w:p>
    <w:p>
      <w:pPr>
        <w:spacing w:before="120" w:after="120" w:line="288" w:lineRule="auto"/>
        <w:ind w:left="453"/>
        <w:jc w:val="left"/>
      </w:pPr>
      <w:r>
        <w:rPr>
          <w:rFonts w:eastAsia="等线" w:ascii="Arial" w:cs="Arial" w:hAnsi="Arial"/>
          <w:sz w:val="22"/>
        </w:rPr>
        <w:t>对不同贷款业务根据产品维度进行区分并集中管理，包含每个贷款业务的进件查询、贷前审核、用还款管理、催收任务配置、贷后任务配置、异常管理、续贷管理等业务管理模块。</w:t>
      </w:r>
    </w:p>
    <w:p>
      <w:pPr>
        <w:spacing w:before="120" w:after="120" w:line="288" w:lineRule="auto"/>
        <w:ind w:left="453"/>
        <w:jc w:val="left"/>
      </w:pPr>
    </w:p>
    <w:p>
      <w:pPr>
        <w:spacing w:before="120" w:after="120" w:line="288" w:lineRule="auto"/>
        <w:ind w:left="453"/>
        <w:jc w:val="left"/>
      </w:pPr>
      <w:r>
        <w:rPr>
          <w:rFonts w:eastAsia="等线" w:ascii="Arial" w:cs="Arial" w:hAnsi="Arial"/>
          <w:sz w:val="22"/>
        </w:rPr>
        <w:t>8、风控核验平台</w:t>
      </w:r>
    </w:p>
    <w:p>
      <w:pPr>
        <w:spacing w:before="120" w:after="120" w:line="288" w:lineRule="auto"/>
        <w:ind w:left="453"/>
        <w:jc w:val="left"/>
      </w:pPr>
      <w:r>
        <w:rPr>
          <w:rFonts w:eastAsia="等线" w:ascii="Arial" w:cs="Arial" w:hAnsi="Arial"/>
          <w:sz w:val="22"/>
        </w:rPr>
        <w:t>通过选定特定历史样本执行当前系统的风控模型，将执行后的结果与历史结果进行比对从而发现当前系统模型的异常问题，通过每天夜间定时任务触发能有效识别系统程序异常、外部接口异常、模型策略异常等多种异常场景，提前预警告知运维人员。</w:t>
      </w:r>
    </w:p>
    <w:p>
      <w:pPr>
        <w:spacing w:before="120" w:after="120" w:line="288" w:lineRule="auto"/>
        <w:ind w:left="453"/>
        <w:jc w:val="left"/>
      </w:pPr>
      <w:r>
        <w:rPr>
          <w:rFonts w:eastAsia="等线" w:ascii="Arial" w:cs="Arial" w:hAnsi="Arial"/>
          <w:sz w:val="22"/>
        </w:rPr>
        <w:t>9、智能外呼平台</w:t>
      </w:r>
    </w:p>
    <w:p>
      <w:pPr>
        <w:spacing w:before="120" w:after="120" w:line="288" w:lineRule="auto"/>
        <w:ind w:left="453"/>
        <w:jc w:val="left"/>
      </w:pPr>
      <w:r>
        <w:rPr>
          <w:rFonts w:eastAsia="等线" w:ascii="Arial" w:cs="Arial" w:hAnsi="Arial"/>
          <w:sz w:val="22"/>
        </w:rPr>
        <w:t>为业务系统提供统一的对客外呼服务，包含：还款提醒、智能语音催收、贷后回访、精准营销触达等场景，且功能层面支持语音留存、语义转写、</w:t>
      </w:r>
      <w:r>
        <w:rPr>
          <w:rFonts w:eastAsia="等线" w:ascii="Arial" w:cs="Arial" w:hAnsi="Arial"/>
          <w:sz w:val="22"/>
        </w:rPr>
        <w:t>NLP</w:t>
      </w:r>
      <w:r>
        <w:rPr>
          <w:rFonts w:eastAsia="等线" w:ascii="Arial" w:cs="Arial" w:hAnsi="Arial"/>
          <w:sz w:val="22"/>
        </w:rPr>
        <w:t>、外呼效果跟踪统计等功能。</w:t>
      </w:r>
    </w:p>
    <w:p>
      <w:pPr>
        <w:spacing w:before="120" w:after="120" w:line="288" w:lineRule="auto"/>
        <w:ind w:left="453"/>
        <w:jc w:val="left"/>
      </w:pPr>
    </w:p>
    <w:p>
      <w:pPr>
        <w:spacing w:before="120" w:after="120" w:line="288" w:lineRule="auto"/>
        <w:ind w:left="453"/>
        <w:jc w:val="left"/>
      </w:pPr>
      <w:r>
        <w:rPr>
          <w:rFonts w:eastAsia="等线" w:ascii="Arial" w:cs="Arial" w:hAnsi="Arial"/>
          <w:sz w:val="22"/>
        </w:rPr>
        <w:t>10、视频面审平台</w:t>
      </w:r>
    </w:p>
    <w:p>
      <w:pPr>
        <w:spacing w:before="120" w:after="120" w:line="288" w:lineRule="auto"/>
        <w:ind w:left="453"/>
        <w:jc w:val="left"/>
      </w:pPr>
      <w:r>
        <w:rPr>
          <w:rFonts w:eastAsia="等线" w:ascii="Arial" w:cs="Arial" w:hAnsi="Arial"/>
          <w:sz w:val="22"/>
        </w:rPr>
        <w:t>结合5G视频通话技术、智能风控决策引擎技术，打造视频面审平台，可应用在</w:t>
      </w:r>
      <w:r>
        <w:rPr>
          <w:rFonts w:eastAsia="等线" w:ascii="Arial" w:cs="Arial" w:hAnsi="Arial"/>
          <w:sz w:val="22"/>
        </w:rPr>
        <w:t>信贷</w:t>
      </w:r>
      <w:r>
        <w:rPr>
          <w:rFonts w:eastAsia="等线" w:ascii="Arial" w:cs="Arial" w:hAnsi="Arial"/>
          <w:sz w:val="22"/>
        </w:rPr>
        <w:t>业务多个场景中。在贷前审查中，系统结合决策引擎的调查策略，在原有的免尽调、电话调查、入户调查的基础上，增加视频调查环节，在面审环节中，可基于视频解析功能进行</w:t>
      </w:r>
      <w:r>
        <w:rPr>
          <w:rFonts w:eastAsia="等线" w:ascii="Arial" w:cs="Arial" w:hAnsi="Arial"/>
          <w:sz w:val="22"/>
        </w:rPr>
        <w:t>人脸识别</w:t>
      </w:r>
      <w:r>
        <w:rPr>
          <w:rFonts w:eastAsia="等线" w:ascii="Arial" w:cs="Arial" w:hAnsi="Arial"/>
          <w:sz w:val="22"/>
        </w:rPr>
        <w:t>、背景识别等技术用以防范欺诈风险；在贷后回访中，基于贷后模型中用户特定的表现，会提示客户经理需要进行贷后视频回访。</w:t>
      </w:r>
    </w:p>
    <w:p>
      <w:pPr>
        <w:spacing w:before="120" w:after="120" w:line="288" w:lineRule="auto"/>
        <w:ind w:left="453"/>
        <w:jc w:val="left"/>
      </w:pPr>
    </w:p>
    <w:p>
      <w:pPr>
        <w:spacing w:before="120" w:after="120" w:line="288" w:lineRule="auto"/>
        <w:ind w:left="453"/>
        <w:jc w:val="left"/>
      </w:pPr>
      <w:r>
        <w:rPr>
          <w:rFonts w:eastAsia="等线" w:ascii="Arial" w:cs="Arial" w:hAnsi="Arial"/>
          <w:sz w:val="22"/>
        </w:rPr>
        <w:t>11、流水采集分析平台</w:t>
      </w:r>
    </w:p>
    <w:p>
      <w:pPr>
        <w:spacing w:before="120" w:after="120" w:line="288" w:lineRule="auto"/>
        <w:ind w:left="453"/>
        <w:jc w:val="left"/>
      </w:pPr>
      <w:r>
        <w:rPr>
          <w:rFonts w:eastAsia="等线" w:ascii="Arial" w:cs="Arial" w:hAnsi="Arial"/>
          <w:sz w:val="22"/>
        </w:rPr>
        <w:t>基于流水信息</w:t>
      </w:r>
      <w:r>
        <w:rPr>
          <w:rFonts w:eastAsia="等线" w:ascii="Arial" w:cs="Arial" w:hAnsi="Arial"/>
          <w:sz w:val="22"/>
        </w:rPr>
        <w:t>OCR</w:t>
      </w:r>
      <w:r>
        <w:rPr>
          <w:rFonts w:eastAsia="等线" w:ascii="Arial" w:cs="Arial" w:hAnsi="Arial"/>
          <w:sz w:val="22"/>
        </w:rPr>
        <w:t>识别与解析技术，将客户的流水数据融入贷款业务场景中。用户可通过邮箱发送相关银行流水，系统基于流水信息进行综合模型决策，进而实现贷款额度的增信、用户的欺诈识别、以及用户精准营销等场景需求。</w:t>
      </w:r>
    </w:p>
    <w:p>
      <w:pPr>
        <w:spacing w:before="120" w:after="120" w:line="288" w:lineRule="auto"/>
        <w:ind w:left="453"/>
        <w:jc w:val="left"/>
      </w:pPr>
    </w:p>
    <w:p>
      <w:pPr>
        <w:spacing w:before="120" w:after="120" w:line="288" w:lineRule="auto"/>
        <w:ind w:left="453"/>
        <w:jc w:val="left"/>
      </w:pPr>
      <w:r>
        <w:rPr>
          <w:rFonts w:eastAsia="等线" w:ascii="Arial" w:cs="Arial" w:hAnsi="Arial"/>
          <w:sz w:val="22"/>
        </w:rPr>
        <w:t>12、统一支撑平台：系统监控平台、业务监控平台、任务调度平台</w:t>
      </w:r>
    </w:p>
    <w:p>
      <w:pPr>
        <w:spacing w:before="120" w:after="120" w:line="288" w:lineRule="auto"/>
        <w:ind w:left="453"/>
        <w:jc w:val="left"/>
      </w:pPr>
      <w:r>
        <w:rPr>
          <w:rFonts w:eastAsia="等线" w:ascii="Arial" w:cs="Arial" w:hAnsi="Arial"/>
          <w:sz w:val="22"/>
        </w:rPr>
        <w:t>系统监控平台：用来监控系统是否发生接口挂断、程序响应慢、数据库异常等异常功能。</w:t>
      </w:r>
    </w:p>
    <w:p>
      <w:pPr>
        <w:spacing w:before="120" w:after="120" w:line="288" w:lineRule="auto"/>
        <w:ind w:left="453"/>
        <w:jc w:val="left"/>
      </w:pPr>
      <w:r>
        <w:rPr>
          <w:rFonts w:eastAsia="等线" w:ascii="Arial" w:cs="Arial" w:hAnsi="Arial"/>
          <w:sz w:val="22"/>
        </w:rPr>
        <w:t>业务监控平台：用来监控重点业务场景的异常问题，包含：营销奖励发放、征信查询任务、对外营销短信等业务场景，重点保障对客影响较大的场景业务正常运行。</w:t>
      </w:r>
    </w:p>
    <w:p>
      <w:pPr>
        <w:spacing w:before="120" w:after="120" w:line="288" w:lineRule="auto"/>
        <w:ind w:left="453"/>
        <w:jc w:val="left"/>
      </w:pPr>
      <w:r>
        <w:rPr>
          <w:rFonts w:eastAsia="等线" w:ascii="Arial" w:cs="Arial" w:hAnsi="Arial"/>
          <w:sz w:val="22"/>
        </w:rPr>
        <w:t>任务调度平台：用来支持整个系统平台的任务调度，包含：数据下发处理任务、贷后检查任务、指标加工任务等。</w:t>
      </w:r>
    </w:p>
    <w:p>
      <w:pPr>
        <w:spacing w:before="120" w:after="120" w:line="288" w:lineRule="auto"/>
        <w:ind w:left="453"/>
        <w:jc w:val="left"/>
      </w:pPr>
    </w:p>
    <w:p>
      <w:pPr>
        <w:spacing w:before="120" w:after="120" w:line="288" w:lineRule="auto"/>
        <w:ind w:left="453"/>
        <w:jc w:val="left"/>
      </w:pPr>
      <w:r>
        <w:rPr>
          <w:rFonts w:eastAsia="等线" w:ascii="Arial" w:cs="Arial" w:hAnsi="Arial"/>
          <w:sz w:val="22"/>
        </w:rPr>
        <w:t>13、统一贷后平台</w:t>
      </w:r>
    </w:p>
    <w:p>
      <w:pPr>
        <w:spacing w:before="120" w:after="120" w:line="288" w:lineRule="auto"/>
        <w:ind w:left="453"/>
        <w:jc w:val="left"/>
      </w:pPr>
      <w:r>
        <w:rPr>
          <w:rFonts w:eastAsia="等线" w:ascii="Arial" w:cs="Arial" w:hAnsi="Arial"/>
          <w:sz w:val="22"/>
        </w:rPr>
        <w:t>提供全行</w:t>
      </w:r>
      <w:r>
        <w:rPr>
          <w:rFonts w:eastAsia="等线" w:ascii="Arial" w:cs="Arial" w:hAnsi="Arial"/>
          <w:sz w:val="22"/>
        </w:rPr>
        <w:t>信贷</w:t>
      </w:r>
      <w:r>
        <w:rPr>
          <w:rFonts w:eastAsia="等线" w:ascii="Arial" w:cs="Arial" w:hAnsi="Arial"/>
          <w:sz w:val="22"/>
        </w:rPr>
        <w:t>产品统一贷后管理功能，贷后检查任务支持按照不同信贷产品实现</w:t>
      </w:r>
      <w:r>
        <w:rPr>
          <w:rFonts w:eastAsia="等线" w:ascii="Arial" w:cs="Arial" w:hAnsi="Arial"/>
          <w:sz w:val="22"/>
        </w:rPr>
        <w:t>数据源</w:t>
      </w:r>
      <w:r>
        <w:rPr>
          <w:rFonts w:eastAsia="等线" w:ascii="Arial" w:cs="Arial" w:hAnsi="Arial"/>
          <w:sz w:val="22"/>
        </w:rPr>
        <w:t>、执行周期、群体偏好等要素的灵活配置，灵活定义贷后风险等级以及对应的处理手段，通过策略配置系统自动处理或者派发给客户经理人工处理。</w:t>
      </w:r>
    </w:p>
    <w:p>
      <w:pPr>
        <w:spacing w:before="120" w:after="120" w:line="288" w:lineRule="auto"/>
        <w:ind w:left="453"/>
        <w:jc w:val="left"/>
      </w:pPr>
    </w:p>
    <w:p>
      <w:pPr>
        <w:spacing w:before="120" w:after="120" w:line="288" w:lineRule="auto"/>
        <w:ind w:left="453"/>
        <w:jc w:val="left"/>
      </w:pPr>
      <w:r>
        <w:rPr>
          <w:rFonts w:eastAsia="等线" w:ascii="Arial" w:cs="Arial" w:hAnsi="Arial"/>
          <w:sz w:val="22"/>
        </w:rPr>
        <w:t>14、客户档案</w:t>
      </w:r>
    </w:p>
    <w:p>
      <w:pPr>
        <w:spacing w:before="120" w:after="120" w:line="288" w:lineRule="auto"/>
        <w:ind w:left="453"/>
        <w:jc w:val="left"/>
      </w:pPr>
      <w:r>
        <w:rPr>
          <w:rFonts w:eastAsia="等线" w:ascii="Arial" w:cs="Arial" w:hAnsi="Arial"/>
          <w:sz w:val="22"/>
        </w:rPr>
        <w:t>通过归集客户在行内所有系统的数据，可视化展示客户的基本信息、贷款业务信息、行内其他金融数据信息、关联图谱信息等多维度信息，辅助业务管理人员在贷前审核、贷后管理进行相关决策。</w:t>
      </w:r>
    </w:p>
    <w:p>
      <w:pPr>
        <w:spacing w:before="120" w:after="120" w:line="288" w:lineRule="auto"/>
        <w:ind w:left="453"/>
        <w:jc w:val="left"/>
      </w:pPr>
    </w:p>
    <w:p>
      <w:pPr>
        <w:spacing w:before="120" w:after="120" w:line="288" w:lineRule="auto"/>
        <w:ind w:left="453"/>
        <w:jc w:val="left"/>
      </w:pPr>
      <w:r>
        <w:rPr>
          <w:rFonts w:eastAsia="等线" w:ascii="Arial" w:cs="Arial" w:hAnsi="Arial"/>
          <w:sz w:val="22"/>
        </w:rPr>
        <w:t>15、报表平台</w:t>
      </w:r>
    </w:p>
    <w:p>
      <w:pPr>
        <w:spacing w:before="120" w:after="120" w:line="288" w:lineRule="auto"/>
        <w:ind w:left="453"/>
        <w:jc w:val="left"/>
      </w:pPr>
      <w:r>
        <w:rPr>
          <w:rFonts w:eastAsia="等线" w:ascii="Arial" w:cs="Arial" w:hAnsi="Arial"/>
          <w:sz w:val="22"/>
        </w:rPr>
        <w:t>基于</w:t>
      </w:r>
      <w:r>
        <w:rPr>
          <w:rFonts w:eastAsia="等线" w:ascii="Arial" w:cs="Arial" w:hAnsi="Arial"/>
          <w:sz w:val="22"/>
        </w:rPr>
        <w:t>数据仓库</w:t>
      </w:r>
      <w:r>
        <w:rPr>
          <w:rFonts w:eastAsia="等线" w:ascii="Arial" w:cs="Arial" w:hAnsi="Arial"/>
          <w:sz w:val="22"/>
        </w:rPr>
        <w:t>的全量数据，定时生成用户申请、用还款、营销等多张中间表，通过报表平台对中间表所定义的指标进行灵活配置，最终生成客户所需可视化报表。</w:t>
      </w:r>
    </w:p>
    <w:p>
      <w:pPr>
        <w:spacing w:before="120" w:after="120" w:line="288" w:lineRule="auto"/>
        <w:ind w:left="453"/>
        <w:jc w:val="left"/>
      </w:pPr>
      <w:r>
        <w:rPr>
          <w:rFonts w:eastAsia="等线" w:ascii="Arial" w:cs="Arial" w:hAnsi="Arial"/>
          <w:sz w:val="22"/>
        </w:rPr>
        <w:t>数据下发平台使用行方现有的星环</w:t>
      </w:r>
      <w:r>
        <w:rPr>
          <w:rFonts w:eastAsia="等线" w:ascii="Arial" w:cs="Arial" w:hAnsi="Arial"/>
          <w:sz w:val="22"/>
        </w:rPr>
        <w:t>数据仓库</w:t>
      </w:r>
      <w:r>
        <w:rPr>
          <w:rFonts w:eastAsia="等线" w:ascii="Arial" w:cs="Arial" w:hAnsi="Arial"/>
          <w:sz w:val="22"/>
        </w:rPr>
        <w:t>。</w:t>
      </w:r>
    </w:p>
    <w:p>
      <w:pPr>
        <w:spacing w:before="120" w:after="120" w:line="288" w:lineRule="auto"/>
        <w:ind w:left="453"/>
        <w:jc w:val="left"/>
      </w:pPr>
    </w:p>
    <w:p>
      <w:pPr>
        <w:spacing w:before="120" w:after="120" w:line="288" w:lineRule="auto"/>
        <w:ind w:left="0"/>
        <w:jc w:val="left"/>
      </w:pPr>
      <w:r>
        <w:rPr>
          <w:rFonts w:eastAsia="等线" w:ascii="Arial" w:cs="Arial" w:hAnsi="Arial"/>
          <w:sz w:val="22"/>
        </w:rPr>
        <w:t xml:space="preserve">  </w:t>
      </w:r>
      <w:r>
        <w:rPr>
          <w:rFonts w:eastAsia="等线" w:ascii="Arial" w:cs="Arial" w:hAnsi="Arial"/>
          <w:b w:val="true"/>
          <w:sz w:val="22"/>
        </w:rPr>
        <w:t>2.3、其他业务系统接入方案</w:t>
      </w:r>
    </w:p>
    <w:p>
      <w:pPr>
        <w:spacing w:before="120" w:after="120" w:line="288" w:lineRule="auto"/>
        <w:ind w:left="0"/>
        <w:jc w:val="left"/>
      </w:pPr>
      <w:r>
        <w:rPr>
          <w:rFonts w:eastAsia="等线" w:ascii="Arial" w:cs="Arial" w:hAnsi="Arial"/>
          <w:sz w:val="22"/>
        </w:rPr>
        <w:t xml:space="preserve">   </w:t>
      </w:r>
      <w:r>
        <w:rPr>
          <w:rFonts w:eastAsia="等线" w:ascii="Arial" w:cs="Arial" w:hAnsi="Arial"/>
          <w:sz w:val="22"/>
        </w:rPr>
        <w:t>主要以rest接口方式提供接入能力，部分以SDK形式，提供给业务系统进行集成。</w:t>
      </w:r>
    </w:p>
    <w:p>
      <w:pPr>
        <w:spacing w:before="120" w:after="120" w:line="288" w:lineRule="auto"/>
        <w:ind w:left="0"/>
        <w:jc w:val="left"/>
      </w:pPr>
      <w:r>
        <w:rPr>
          <w:rFonts w:eastAsia="等线" w:ascii="Arial" w:cs="Arial" w:hAnsi="Arial"/>
          <w:b w:val="true"/>
          <w:sz w:val="22"/>
        </w:rPr>
        <w:t>1、统一用户权限中心</w:t>
      </w:r>
    </w:p>
    <w:p>
      <w:pPr>
        <w:spacing w:before="120" w:after="120" w:line="288" w:lineRule="auto"/>
        <w:ind w:left="0"/>
        <w:jc w:val="left"/>
      </w:pPr>
      <w:r>
        <w:rPr>
          <w:rFonts w:eastAsia="等线" w:ascii="Arial" w:cs="Arial" w:hAnsi="Arial"/>
          <w:b w:val="true"/>
          <w:sz w:val="22"/>
        </w:rPr>
        <w:t>对接流程：</w:t>
      </w:r>
    </w:p>
    <w:p>
      <w:pPr>
        <w:spacing w:before="120" w:after="120" w:line="288" w:lineRule="auto"/>
        <w:ind w:left="0"/>
        <w:jc w:val="left"/>
      </w:pPr>
      <w:r>
        <w:rPr>
          <w:rFonts w:eastAsia="等线" w:ascii="Arial" w:cs="Arial" w:hAnsi="Arial"/>
          <w:sz w:val="22"/>
        </w:rPr>
        <w:t xml:space="preserve">   1）业务系统集成统一用户SDK</w:t>
      </w:r>
    </w:p>
    <w:p>
      <w:pPr>
        <w:spacing w:before="120" w:after="120" w:line="288" w:lineRule="auto"/>
        <w:ind w:left="0"/>
        <w:jc w:val="left"/>
      </w:pPr>
      <w:r>
        <w:rPr>
          <w:rFonts w:eastAsia="等线" w:ascii="Arial" w:cs="Arial" w:hAnsi="Arial"/>
          <w:sz w:val="22"/>
        </w:rPr>
        <w:t xml:space="preserve">   2）提供用户管理、机构管理、权限菜单管理功能。</w:t>
      </w:r>
    </w:p>
    <w:p>
      <w:pPr>
        <w:spacing w:before="120" w:after="120" w:line="288" w:lineRule="auto"/>
        <w:ind w:left="0"/>
        <w:jc w:val="left"/>
      </w:pPr>
      <w:r>
        <w:rPr>
          <w:rFonts w:eastAsia="等线" w:ascii="Arial" w:cs="Arial" w:hAnsi="Arial"/>
          <w:sz w:val="22"/>
        </w:rPr>
        <w:t xml:space="preserve">   3）业务系统调用SDK的api获取用户信息、菜单权限、接口鉴权等接口实现统一认证。</w:t>
      </w:r>
    </w:p>
    <w:p>
      <w:pPr>
        <w:spacing w:before="120" w:after="120" w:line="288" w:lineRule="auto"/>
        <w:ind w:left="0"/>
        <w:jc w:val="left"/>
      </w:pPr>
      <w:r>
        <w:rPr>
          <w:rFonts w:eastAsia="等线" w:ascii="Arial" w:cs="Arial" w:hAnsi="Arial"/>
          <w:sz w:val="22"/>
        </w:rPr>
        <w:t xml:space="preserve">   4）实现多平台单点登录、用户登数据统一管理。</w:t>
      </w:r>
    </w:p>
    <w:p>
      <w:pPr>
        <w:spacing w:before="120" w:after="120" w:line="288" w:lineRule="auto"/>
        <w:ind w:left="0"/>
        <w:jc w:val="left"/>
      </w:pPr>
      <w:r>
        <w:rPr>
          <w:rFonts w:eastAsia="等线" w:ascii="Arial" w:cs="Arial" w:hAnsi="Arial"/>
          <w:b w:val="true"/>
          <w:sz w:val="22"/>
        </w:rPr>
        <w:t>2、风控决策引擎接入</w:t>
      </w:r>
    </w:p>
    <w:p>
      <w:pPr>
        <w:spacing w:before="120" w:after="120" w:line="288" w:lineRule="auto"/>
        <w:ind w:left="0"/>
        <w:jc w:val="left"/>
      </w:pPr>
      <w:r>
        <w:rPr>
          <w:rFonts w:eastAsia="等线" w:ascii="Arial" w:cs="Arial" w:hAnsi="Arial"/>
          <w:b w:val="true"/>
          <w:sz w:val="22"/>
        </w:rPr>
        <w:t>对接流程：</w:t>
      </w:r>
    </w:p>
    <w:p>
      <w:pPr>
        <w:spacing w:before="120" w:after="120" w:line="288" w:lineRule="auto"/>
        <w:ind w:left="0"/>
        <w:jc w:val="left"/>
      </w:pPr>
      <w:r>
        <w:rPr>
          <w:rFonts w:eastAsia="等线" w:ascii="Arial" w:cs="Arial" w:hAnsi="Arial"/>
          <w:sz w:val="22"/>
        </w:rPr>
        <w:t xml:space="preserve">      1）为业务平台开通租户，可以维护管理风控模型、策略、指标等信息，</w:t>
      </w:r>
    </w:p>
    <w:p>
      <w:pPr>
        <w:spacing w:before="120" w:after="120" w:line="288" w:lineRule="auto"/>
        <w:ind w:left="0"/>
        <w:jc w:val="left"/>
      </w:pPr>
      <w:r>
        <w:rPr>
          <w:rFonts w:eastAsia="等线" w:ascii="Arial" w:cs="Arial" w:hAnsi="Arial"/>
          <w:sz w:val="22"/>
        </w:rPr>
        <w:t xml:space="preserve">      2）模型准入、信用评级、策略等通过restAPI接口方式提供给其他系统，可实现快速接入。</w:t>
      </w:r>
    </w:p>
    <w:p>
      <w:pPr>
        <w:spacing w:before="120" w:after="120" w:line="288" w:lineRule="auto"/>
        <w:ind w:left="0"/>
        <w:jc w:val="left"/>
      </w:pPr>
      <w:r>
        <w:rPr>
          <w:rFonts w:eastAsia="等线" w:ascii="Arial" w:cs="Arial" w:hAnsi="Arial"/>
          <w:sz w:val="22"/>
        </w:rPr>
        <w:t xml:space="preserve">      3）业务系统提供回调接口，决策引擎通过回调接口将指标加工结果、准入评级结果回调给业务系统。</w:t>
      </w:r>
    </w:p>
    <w:p>
      <w:pPr>
        <w:spacing w:before="120" w:after="120" w:line="288" w:lineRule="auto"/>
        <w:ind w:left="0"/>
        <w:jc w:val="left"/>
      </w:pPr>
      <w:r>
        <w:rPr>
          <w:rFonts w:eastAsia="等线" w:ascii="Arial" w:cs="Arial" w:hAnsi="Arial"/>
          <w:b w:val="true"/>
          <w:sz w:val="22"/>
        </w:rPr>
        <w:t>接口列表：</w:t>
      </w:r>
    </w:p>
    <w:p>
      <w:pPr>
        <w:spacing w:before="120" w:after="120" w:line="288" w:lineRule="auto"/>
        <w:ind w:left="453"/>
        <w:jc w:val="left"/>
      </w:pPr>
      <w:r>
        <w:rPr>
          <w:rFonts w:eastAsia="等线" w:ascii="Arial" w:cs="Arial" w:hAnsi="Arial"/>
          <w:sz w:val="22"/>
        </w:rPr>
        <w:t>1）申请提交跑批回调</w:t>
      </w:r>
    </w:p>
    <w:p>
      <w:pPr>
        <w:spacing w:before="120" w:after="120" w:line="288" w:lineRule="auto"/>
        <w:ind w:left="453"/>
        <w:jc w:val="left"/>
      </w:pPr>
      <w:r>
        <w:rPr>
          <w:rFonts w:eastAsia="等线" w:ascii="Arial" w:cs="Arial" w:hAnsi="Arial"/>
          <w:sz w:val="22"/>
        </w:rPr>
        <w:t>2）申请人准入评级</w:t>
      </w:r>
    </w:p>
    <w:p>
      <w:pPr>
        <w:spacing w:before="120" w:after="120" w:line="288" w:lineRule="auto"/>
        <w:ind w:left="453"/>
        <w:jc w:val="left"/>
      </w:pPr>
      <w:r>
        <w:rPr>
          <w:rFonts w:eastAsia="等线" w:ascii="Arial" w:cs="Arial" w:hAnsi="Arial"/>
          <w:sz w:val="22"/>
        </w:rPr>
        <w:t>3）担保人准入评级</w:t>
      </w:r>
    </w:p>
    <w:p>
      <w:pPr>
        <w:spacing w:before="120" w:after="120" w:line="288" w:lineRule="auto"/>
        <w:ind w:left="453"/>
        <w:jc w:val="left"/>
      </w:pPr>
      <w:r>
        <w:rPr>
          <w:rFonts w:eastAsia="等线" w:ascii="Arial" w:cs="Arial" w:hAnsi="Arial"/>
          <w:sz w:val="22"/>
        </w:rPr>
        <w:t>4）额度评级回调</w:t>
      </w:r>
    </w:p>
    <w:p>
      <w:pPr>
        <w:spacing w:before="120" w:after="120" w:line="288" w:lineRule="auto"/>
        <w:ind w:left="453"/>
        <w:jc w:val="left"/>
      </w:pPr>
      <w:r>
        <w:rPr>
          <w:rFonts w:eastAsia="等线" w:ascii="Arial" w:cs="Arial" w:hAnsi="Arial"/>
          <w:sz w:val="22"/>
        </w:rPr>
        <w:t>5）客户经理分配</w:t>
      </w:r>
    </w:p>
    <w:p>
      <w:pPr>
        <w:spacing w:before="120" w:after="120" w:line="288" w:lineRule="auto"/>
        <w:ind w:left="453"/>
        <w:jc w:val="left"/>
      </w:pPr>
      <w:r>
        <w:rPr>
          <w:rFonts w:eastAsia="等线" w:ascii="Arial" w:cs="Arial" w:hAnsi="Arial"/>
          <w:sz w:val="22"/>
        </w:rPr>
        <w:t>6）查询执行记录列表</w:t>
      </w:r>
    </w:p>
    <w:p>
      <w:pPr>
        <w:spacing w:before="120" w:after="120" w:line="288" w:lineRule="auto"/>
        <w:ind w:left="453"/>
        <w:jc w:val="left"/>
      </w:pPr>
      <w:r>
        <w:rPr>
          <w:rFonts w:eastAsia="等线" w:ascii="Arial" w:cs="Arial" w:hAnsi="Arial"/>
          <w:sz w:val="22"/>
        </w:rPr>
        <w:t>7）查询指标结果明细</w:t>
      </w:r>
    </w:p>
    <w:p>
      <w:pPr>
        <w:spacing w:before="120" w:after="120" w:line="288" w:lineRule="auto"/>
        <w:ind w:left="453"/>
        <w:jc w:val="left"/>
      </w:pPr>
      <w:r>
        <w:rPr>
          <w:rFonts w:eastAsia="等线" w:ascii="Arial" w:cs="Arial" w:hAnsi="Arial"/>
          <w:sz w:val="22"/>
        </w:rPr>
        <w:t>8）查询准入规则结果明细</w:t>
      </w:r>
    </w:p>
    <w:p>
      <w:pPr>
        <w:spacing w:before="120" w:after="120" w:line="288" w:lineRule="auto"/>
        <w:ind w:left="453"/>
        <w:jc w:val="left"/>
      </w:pPr>
      <w:r>
        <w:rPr>
          <w:rFonts w:eastAsia="等线" w:ascii="Arial" w:cs="Arial" w:hAnsi="Arial"/>
          <w:sz w:val="22"/>
        </w:rPr>
        <w:t>9）查询准入评分结果明细</w:t>
      </w:r>
    </w:p>
    <w:p>
      <w:pPr>
        <w:spacing w:before="120" w:after="120" w:line="288" w:lineRule="auto"/>
        <w:ind w:left="453"/>
        <w:jc w:val="left"/>
      </w:pPr>
      <w:r>
        <w:rPr>
          <w:rFonts w:eastAsia="等线" w:ascii="Arial" w:cs="Arial" w:hAnsi="Arial"/>
          <w:sz w:val="22"/>
        </w:rPr>
        <w:t>10）查询评级授信结果明细</w:t>
      </w:r>
    </w:p>
    <w:p>
      <w:pPr>
        <w:spacing w:before="120" w:after="120" w:line="288" w:lineRule="auto"/>
        <w:ind w:left="453"/>
        <w:jc w:val="left"/>
      </w:pPr>
      <w:r>
        <w:rPr>
          <w:rFonts w:eastAsia="等线" w:ascii="Arial" w:cs="Arial" w:hAnsi="Arial"/>
          <w:sz w:val="22"/>
        </w:rPr>
        <w:t>11）查询利率定价结果明细</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3、精细化运营管理平台</w:t>
      </w:r>
    </w:p>
    <w:p>
      <w:pPr>
        <w:spacing w:before="120" w:after="120" w:line="288" w:lineRule="auto"/>
        <w:ind w:left="453"/>
        <w:jc w:val="left"/>
      </w:pPr>
      <w:r>
        <w:rPr>
          <w:rFonts w:eastAsia="等线" w:ascii="Arial" w:cs="Arial" w:hAnsi="Arial"/>
          <w:b w:val="true"/>
          <w:sz w:val="22"/>
        </w:rPr>
        <w:t>对接流程：</w:t>
      </w:r>
    </w:p>
    <w:p>
      <w:pPr>
        <w:spacing w:before="120" w:after="120" w:line="288" w:lineRule="auto"/>
        <w:ind w:left="453"/>
        <w:jc w:val="left"/>
      </w:pPr>
      <w:r>
        <w:rPr>
          <w:rFonts w:eastAsia="等线" w:ascii="Arial" w:cs="Arial" w:hAnsi="Arial"/>
          <w:sz w:val="22"/>
        </w:rPr>
        <w:t xml:space="preserve">   1）私有化部署</w:t>
      </w:r>
    </w:p>
    <w:p>
      <w:pPr>
        <w:spacing w:before="120" w:after="120" w:line="288" w:lineRule="auto"/>
        <w:ind w:left="453"/>
        <w:jc w:val="left"/>
      </w:pPr>
      <w:r>
        <w:rPr>
          <w:rFonts w:eastAsia="等线" w:ascii="Arial" w:cs="Arial" w:hAnsi="Arial"/>
          <w:sz w:val="22"/>
        </w:rPr>
        <w:t xml:space="preserve">   2）提供营销人员管理、营销方案、营销活动管理、海报、二维码、全旅程运营配置等功能。</w:t>
      </w:r>
    </w:p>
    <w:p>
      <w:pPr>
        <w:spacing w:before="120" w:after="120" w:line="288" w:lineRule="auto"/>
        <w:ind w:left="453"/>
        <w:jc w:val="left"/>
      </w:pPr>
      <w:r>
        <w:rPr>
          <w:rFonts w:eastAsia="等线" w:ascii="Arial" w:cs="Arial" w:hAnsi="Arial"/>
          <w:sz w:val="22"/>
        </w:rPr>
        <w:t xml:space="preserve">   3）业务系统定时推送节点数据给营销系统。</w:t>
      </w:r>
    </w:p>
    <w:p>
      <w:pPr>
        <w:spacing w:before="120" w:after="120" w:line="288" w:lineRule="auto"/>
        <w:ind w:left="453"/>
        <w:jc w:val="left"/>
      </w:pPr>
      <w:r>
        <w:rPr>
          <w:rFonts w:eastAsia="等线" w:ascii="Arial" w:cs="Arial" w:hAnsi="Arial"/>
          <w:sz w:val="22"/>
        </w:rPr>
        <w:t xml:space="preserve">   4）业务系统调用绑定关系等接口，建立客户与客户经理绑定关系。</w:t>
      </w:r>
    </w:p>
    <w:p>
      <w:pPr>
        <w:spacing w:before="120" w:after="120" w:line="288" w:lineRule="auto"/>
        <w:ind w:left="453"/>
        <w:jc w:val="left"/>
      </w:pPr>
      <w:r>
        <w:rPr>
          <w:rFonts w:eastAsia="等线" w:ascii="Arial" w:cs="Arial" w:hAnsi="Arial"/>
          <w:sz w:val="22"/>
        </w:rPr>
        <w:t xml:space="preserve">   5）提供常用红包活动规则，业务系统可配置红包发送规则。</w:t>
      </w:r>
    </w:p>
    <w:p>
      <w:pPr>
        <w:spacing w:before="120" w:after="120" w:line="288" w:lineRule="auto"/>
        <w:ind w:left="453"/>
        <w:jc w:val="left"/>
      </w:pPr>
      <w:r>
        <w:rPr>
          <w:rFonts w:eastAsia="等线" w:ascii="Arial" w:cs="Arial" w:hAnsi="Arial"/>
          <w:sz w:val="22"/>
        </w:rPr>
        <w:t xml:space="preserve">   6）用户、机构同步接口，将业务系统用户、机构数据同步给营销系统。</w:t>
      </w:r>
    </w:p>
    <w:p>
      <w:pPr>
        <w:spacing w:before="120" w:after="120" w:line="288" w:lineRule="auto"/>
        <w:ind w:left="453"/>
        <w:jc w:val="left"/>
      </w:pPr>
      <w:r>
        <w:rPr>
          <w:rFonts w:eastAsia="等线" w:ascii="Arial" w:cs="Arial" w:hAnsi="Arial"/>
          <w:sz w:val="22"/>
        </w:rPr>
        <w:t xml:space="preserve">   7）业务系统下发业务数据给营销系统，主要包括申请数据、授信数据、用信数据、客户信息等。</w:t>
      </w:r>
    </w:p>
    <w:p>
      <w:pPr>
        <w:spacing w:before="120" w:after="120" w:line="288" w:lineRule="auto"/>
        <w:ind w:left="453"/>
        <w:jc w:val="left"/>
      </w:pPr>
      <w:r>
        <w:rPr>
          <w:rFonts w:eastAsia="等线" w:ascii="Arial" w:cs="Arial" w:hAnsi="Arial"/>
          <w:b w:val="true"/>
          <w:sz w:val="22"/>
        </w:rPr>
        <w:t>接口对接模式：</w:t>
      </w:r>
    </w:p>
    <w:p>
      <w:pPr>
        <w:spacing w:before="120" w:after="120" w:line="288" w:lineRule="auto"/>
        <w:ind w:left="453"/>
        <w:jc w:val="left"/>
      </w:pPr>
      <w:r>
        <w:rPr>
          <w:rFonts w:eastAsia="等线" w:ascii="Arial" w:cs="Arial" w:hAnsi="Arial"/>
          <w:sz w:val="22"/>
        </w:rPr>
        <w:t>1）业务节点状态同步</w:t>
      </w:r>
    </w:p>
    <w:p>
      <w:pPr>
        <w:spacing w:before="120" w:after="120" w:line="288" w:lineRule="auto"/>
        <w:ind w:left="453"/>
        <w:jc w:val="left"/>
      </w:pPr>
      <w:r>
        <w:rPr>
          <w:rFonts w:eastAsia="等线" w:ascii="Arial" w:cs="Arial" w:hAnsi="Arial"/>
          <w:sz w:val="22"/>
        </w:rPr>
        <w:t>2）业务批量数据同步</w:t>
      </w:r>
    </w:p>
    <w:p>
      <w:pPr>
        <w:spacing w:before="120" w:after="120" w:line="288" w:lineRule="auto"/>
        <w:ind w:left="453"/>
        <w:jc w:val="left"/>
      </w:pPr>
      <w:r>
        <w:rPr>
          <w:rFonts w:eastAsia="等线" w:ascii="Arial" w:cs="Arial" w:hAnsi="Arial"/>
          <w:sz w:val="22"/>
        </w:rPr>
        <w:t>3）用信数据同步</w:t>
      </w:r>
    </w:p>
    <w:p>
      <w:pPr>
        <w:spacing w:before="120" w:after="120" w:line="288" w:lineRule="auto"/>
        <w:ind w:left="453"/>
        <w:jc w:val="left"/>
      </w:pPr>
      <w:r>
        <w:rPr>
          <w:rFonts w:eastAsia="等线" w:ascii="Arial" w:cs="Arial" w:hAnsi="Arial"/>
          <w:b w:val="true"/>
          <w:sz w:val="22"/>
        </w:rPr>
        <w:t>数据下发对接模式：</w:t>
      </w:r>
    </w:p>
    <w:p>
      <w:pPr>
        <w:spacing w:before="120" w:after="120" w:line="288" w:lineRule="auto"/>
        <w:ind w:left="453"/>
        <w:jc w:val="left"/>
      </w:pPr>
      <w:r>
        <w:rPr>
          <w:rFonts w:eastAsia="等线" w:ascii="Arial" w:cs="Arial" w:hAnsi="Arial"/>
          <w:sz w:val="22"/>
        </w:rPr>
        <w:t>1）客户节点数据</w:t>
      </w:r>
    </w:p>
    <w:p>
      <w:pPr>
        <w:spacing w:before="120" w:after="120" w:line="288" w:lineRule="auto"/>
        <w:ind w:left="453"/>
        <w:jc w:val="left"/>
      </w:pPr>
      <w:r>
        <w:rPr>
          <w:rFonts w:eastAsia="等线" w:ascii="Arial" w:cs="Arial" w:hAnsi="Arial"/>
          <w:sz w:val="22"/>
        </w:rPr>
        <w:t>2）驾驶舱业务节点</w:t>
      </w:r>
    </w:p>
    <w:p>
      <w:pPr>
        <w:spacing w:before="120" w:after="120" w:line="288" w:lineRule="auto"/>
        <w:ind w:left="453"/>
        <w:jc w:val="left"/>
      </w:pPr>
      <w:r>
        <w:rPr>
          <w:rFonts w:eastAsia="等线" w:ascii="Arial" w:cs="Arial" w:hAnsi="Arial"/>
          <w:sz w:val="22"/>
        </w:rPr>
        <w:t>3）驾驶舱用信数据</w:t>
      </w:r>
    </w:p>
    <w:p>
      <w:pPr>
        <w:spacing w:before="120" w:after="120" w:line="288" w:lineRule="auto"/>
        <w:ind w:left="453"/>
        <w:jc w:val="left"/>
      </w:pPr>
      <w:r>
        <w:rPr>
          <w:rFonts w:eastAsia="等线" w:ascii="Arial" w:cs="Arial" w:hAnsi="Arial"/>
          <w:sz w:val="22"/>
        </w:rPr>
        <w:t>4）客户宽表</w:t>
      </w:r>
    </w:p>
    <w:p>
      <w:pPr>
        <w:spacing w:before="120" w:after="120" w:line="288" w:lineRule="auto"/>
        <w:ind w:left="453"/>
        <w:jc w:val="left"/>
      </w:pPr>
      <w:r>
        <w:rPr>
          <w:rFonts w:eastAsia="等线" w:ascii="Arial" w:cs="Arial" w:hAnsi="Arial"/>
          <w:sz w:val="22"/>
        </w:rPr>
        <w:t>5）客户类型</w:t>
      </w:r>
    </w:p>
    <w:p>
      <w:pPr>
        <w:spacing w:before="120" w:after="120" w:line="288" w:lineRule="auto"/>
        <w:ind w:left="453"/>
        <w:jc w:val="left"/>
      </w:pPr>
    </w:p>
    <w:p>
      <w:pPr>
        <w:spacing w:before="120" w:after="120" w:line="288" w:lineRule="auto"/>
        <w:ind w:left="0"/>
        <w:jc w:val="left"/>
      </w:pPr>
      <w:r>
        <w:rPr>
          <w:rFonts w:eastAsia="等线" w:ascii="Arial" w:cs="Arial" w:hAnsi="Arial"/>
          <w:b w:val="true"/>
          <w:sz w:val="22"/>
        </w:rPr>
        <w:t>4、反欺诈系统接口</w:t>
      </w:r>
    </w:p>
    <w:p>
      <w:pPr>
        <w:spacing w:before="120" w:after="120" w:line="288" w:lineRule="auto"/>
        <w:ind w:left="0"/>
        <w:jc w:val="left"/>
      </w:pPr>
      <w:r>
        <w:rPr>
          <w:rFonts w:eastAsia="等线" w:ascii="Arial" w:cs="Arial" w:hAnsi="Arial"/>
          <w:sz w:val="22"/>
        </w:rPr>
        <w:t xml:space="preserve">      1）反欺诈系统提供埋点接口，业务系统将埋点数据实时上送给反欺诈系统。</w:t>
      </w:r>
    </w:p>
    <w:p>
      <w:pPr>
        <w:spacing w:before="120" w:after="120" w:line="288" w:lineRule="auto"/>
        <w:ind w:left="0"/>
        <w:jc w:val="left"/>
      </w:pPr>
      <w:r>
        <w:rPr>
          <w:rFonts w:eastAsia="等线" w:ascii="Arial" w:cs="Arial" w:hAnsi="Arial"/>
          <w:sz w:val="22"/>
        </w:rPr>
        <w:t xml:space="preserve">      2）</w:t>
      </w:r>
      <w:r>
        <w:rPr>
          <w:rFonts w:eastAsia="等线" w:ascii="Arial" w:cs="Arial" w:hAnsi="Arial"/>
          <w:sz w:val="22"/>
        </w:rPr>
        <w:t>反</w:t>
      </w:r>
      <w:r>
        <w:rPr>
          <w:rFonts w:eastAsia="等线" w:ascii="Arial" w:cs="Arial" w:hAnsi="Arial"/>
          <w:sz w:val="22"/>
        </w:rPr>
        <w:t>欺诈系统提供通用欺诈模型、欺诈模型运算能力</w:t>
      </w:r>
    </w:p>
    <w:p>
      <w:pPr>
        <w:spacing w:before="120" w:after="120" w:line="288" w:lineRule="auto"/>
        <w:ind w:left="0"/>
        <w:jc w:val="left"/>
      </w:pPr>
      <w:r>
        <w:rPr>
          <w:rFonts w:eastAsia="等线" w:ascii="Arial" w:cs="Arial" w:hAnsi="Arial"/>
          <w:sz w:val="22"/>
        </w:rPr>
        <w:t xml:space="preserve">      3）提供接口给业务系统调用，欺诈模型将运算结果以分值的形式输出给业务系统。</w:t>
      </w:r>
    </w:p>
    <w:p>
      <w:pPr>
        <w:spacing w:before="120" w:after="120" w:line="288" w:lineRule="auto"/>
        <w:ind w:left="0"/>
        <w:jc w:val="left"/>
      </w:pPr>
      <w:r>
        <w:rPr>
          <w:rFonts w:eastAsia="等线" w:ascii="Arial" w:cs="Arial" w:hAnsi="Arial"/>
          <w:b w:val="true"/>
          <w:sz w:val="22"/>
        </w:rPr>
        <w:t>5、统一外部数据管理平台</w:t>
      </w:r>
    </w:p>
    <w:p>
      <w:pPr>
        <w:spacing w:before="120" w:after="120" w:line="288" w:lineRule="auto"/>
        <w:ind w:left="453"/>
        <w:jc w:val="left"/>
      </w:pPr>
      <w:r>
        <w:rPr>
          <w:rFonts w:eastAsia="等线" w:ascii="Arial" w:cs="Arial" w:hAnsi="Arial"/>
          <w:sz w:val="22"/>
        </w:rPr>
        <w:t>1）平台提供外部数据采集能力，包括商采、金融接口、政务接口、征信报告等数据</w:t>
      </w:r>
    </w:p>
    <w:p>
      <w:pPr>
        <w:spacing w:before="120" w:after="120" w:line="288" w:lineRule="auto"/>
        <w:ind w:left="453"/>
        <w:jc w:val="left"/>
      </w:pPr>
      <w:r>
        <w:rPr>
          <w:rFonts w:eastAsia="等线" w:ascii="Arial" w:cs="Arial" w:hAnsi="Arial"/>
          <w:sz w:val="22"/>
        </w:rPr>
        <w:t>2）提供快速开发能力</w:t>
      </w:r>
    </w:p>
    <w:p>
      <w:pPr>
        <w:spacing w:before="120" w:after="120" w:line="288" w:lineRule="auto"/>
        <w:ind w:left="453"/>
        <w:jc w:val="left"/>
      </w:pPr>
      <w:r>
        <w:rPr>
          <w:rFonts w:eastAsia="等线" w:ascii="Arial" w:cs="Arial" w:hAnsi="Arial"/>
          <w:sz w:val="22"/>
        </w:rPr>
        <w:t>3）提供采集数据源配置、数据接口配置、重置机制、缓存机制</w:t>
      </w:r>
    </w:p>
    <w:p>
      <w:pPr>
        <w:spacing w:before="120" w:after="120" w:line="288" w:lineRule="auto"/>
        <w:ind w:left="453"/>
        <w:jc w:val="left"/>
      </w:pPr>
      <w:r>
        <w:rPr>
          <w:rFonts w:eastAsia="等线" w:ascii="Arial" w:cs="Arial" w:hAnsi="Arial"/>
          <w:sz w:val="22"/>
        </w:rPr>
        <w:t>4）以接口对接的形式提供，实时或异步方式调用</w:t>
      </w:r>
    </w:p>
    <w:p>
      <w:pPr>
        <w:spacing w:before="120" w:after="120" w:line="288" w:lineRule="auto"/>
        <w:ind w:left="0"/>
        <w:jc w:val="left"/>
      </w:pPr>
      <w:r>
        <w:rPr>
          <w:rFonts w:eastAsia="等线" w:ascii="Arial" w:cs="Arial" w:hAnsi="Arial"/>
          <w:b w:val="true"/>
          <w:sz w:val="22"/>
        </w:rPr>
        <w:t>6、流程引擎平台</w:t>
      </w:r>
    </w:p>
    <w:p>
      <w:pPr>
        <w:spacing w:before="120" w:after="120" w:line="288" w:lineRule="auto"/>
        <w:ind w:left="453"/>
        <w:jc w:val="left"/>
      </w:pPr>
      <w:r>
        <w:rPr>
          <w:rFonts w:eastAsia="等线" w:ascii="Arial" w:cs="Arial" w:hAnsi="Arial"/>
          <w:b w:val="true"/>
          <w:sz w:val="22"/>
        </w:rPr>
        <w:t>对接流程：</w:t>
      </w:r>
    </w:p>
    <w:p>
      <w:pPr>
        <w:spacing w:before="120" w:after="120" w:line="288" w:lineRule="auto"/>
        <w:ind w:left="453"/>
        <w:jc w:val="left"/>
      </w:pPr>
      <w:r>
        <w:rPr>
          <w:rFonts w:eastAsia="等线" w:ascii="Arial" w:cs="Arial" w:hAnsi="Arial"/>
          <w:sz w:val="22"/>
        </w:rPr>
        <w:t xml:space="preserve">   1）针对流程节点的动作，提供不</w:t>
      </w:r>
      <w:r>
        <w:rPr>
          <w:rFonts w:eastAsia="等线" w:ascii="Arial" w:cs="Arial" w:hAnsi="Arial"/>
          <w:sz w:val="22"/>
        </w:rPr>
        <w:t>同</w:t>
      </w:r>
      <w:r>
        <w:rPr>
          <w:rFonts w:eastAsia="等线" w:ascii="Arial" w:cs="Arial" w:hAnsi="Arial"/>
          <w:sz w:val="22"/>
        </w:rPr>
        <w:t>形式的接口，以适配业务系统</w:t>
      </w:r>
    </w:p>
    <w:p>
      <w:pPr>
        <w:spacing w:before="120" w:after="120" w:line="288" w:lineRule="auto"/>
        <w:ind w:left="453"/>
        <w:jc w:val="left"/>
      </w:pPr>
      <w:r>
        <w:rPr>
          <w:rFonts w:eastAsia="等线" w:ascii="Arial" w:cs="Arial" w:hAnsi="Arial"/>
          <w:sz w:val="22"/>
        </w:rPr>
        <w:t xml:space="preserve">   2）集成常用组件，提供业务系统快速编排流程</w:t>
      </w:r>
    </w:p>
    <w:p>
      <w:pPr>
        <w:spacing w:before="120" w:after="120" w:line="288" w:lineRule="auto"/>
        <w:ind w:left="453"/>
        <w:jc w:val="left"/>
      </w:pPr>
      <w:r>
        <w:rPr>
          <w:rFonts w:eastAsia="等线" w:ascii="Arial" w:cs="Arial" w:hAnsi="Arial"/>
          <w:sz w:val="22"/>
        </w:rPr>
        <w:t xml:space="preserve">   3）业务系统在流程引擎平台编排业务流程，并进行发布审核</w:t>
      </w:r>
    </w:p>
    <w:p>
      <w:pPr>
        <w:spacing w:before="120" w:after="120" w:line="288" w:lineRule="auto"/>
        <w:ind w:left="453"/>
        <w:jc w:val="left"/>
      </w:pPr>
      <w:r>
        <w:rPr>
          <w:rFonts w:eastAsia="等线" w:ascii="Arial" w:cs="Arial" w:hAnsi="Arial"/>
          <w:sz w:val="22"/>
        </w:rPr>
        <w:t xml:space="preserve">   4）提供流程启动、流程审批、流程过程数据查询接口给业务系统使用</w:t>
      </w:r>
    </w:p>
    <w:p>
      <w:pPr>
        <w:spacing w:before="120" w:after="120" w:line="288" w:lineRule="auto"/>
        <w:ind w:left="453"/>
        <w:jc w:val="left"/>
      </w:pPr>
      <w:r>
        <w:rPr>
          <w:rFonts w:eastAsia="等线" w:ascii="Arial" w:cs="Arial" w:hAnsi="Arial"/>
          <w:b w:val="true"/>
          <w:sz w:val="22"/>
        </w:rPr>
        <w:t>对接接口：</w:t>
      </w:r>
    </w:p>
    <w:p>
      <w:pPr>
        <w:spacing w:before="120" w:after="120" w:line="288" w:lineRule="auto"/>
        <w:ind w:left="453"/>
        <w:jc w:val="left"/>
      </w:pPr>
      <w:r>
        <w:rPr>
          <w:rFonts w:eastAsia="等线" w:ascii="Arial" w:cs="Arial" w:hAnsi="Arial"/>
          <w:sz w:val="22"/>
        </w:rPr>
        <w:t>1）流程启动</w:t>
      </w:r>
    </w:p>
    <w:p>
      <w:pPr>
        <w:spacing w:before="120" w:after="120" w:line="288" w:lineRule="auto"/>
        <w:ind w:left="453"/>
        <w:jc w:val="left"/>
      </w:pPr>
      <w:r>
        <w:rPr>
          <w:rFonts w:eastAsia="等线" w:ascii="Arial" w:cs="Arial" w:hAnsi="Arial"/>
          <w:sz w:val="22"/>
        </w:rPr>
        <w:t>2）流程审批</w:t>
      </w:r>
    </w:p>
    <w:p>
      <w:pPr>
        <w:spacing w:before="120" w:after="120" w:line="288" w:lineRule="auto"/>
        <w:ind w:left="453"/>
        <w:jc w:val="left"/>
      </w:pPr>
      <w:r>
        <w:rPr>
          <w:rFonts w:eastAsia="等线" w:ascii="Arial" w:cs="Arial" w:hAnsi="Arial"/>
          <w:sz w:val="22"/>
        </w:rPr>
        <w:t>3）流程退回</w:t>
      </w:r>
    </w:p>
    <w:p>
      <w:pPr>
        <w:spacing w:before="120" w:after="120" w:line="288" w:lineRule="auto"/>
        <w:ind w:left="453"/>
        <w:jc w:val="left"/>
      </w:pPr>
      <w:r>
        <w:rPr>
          <w:rFonts w:eastAsia="等线" w:ascii="Arial" w:cs="Arial" w:hAnsi="Arial"/>
          <w:sz w:val="22"/>
        </w:rPr>
        <w:t>4）流程结束</w:t>
      </w:r>
    </w:p>
    <w:p>
      <w:pPr>
        <w:spacing w:before="120" w:after="120" w:line="288" w:lineRule="auto"/>
        <w:ind w:left="453"/>
        <w:jc w:val="left"/>
      </w:pPr>
      <w:r>
        <w:rPr>
          <w:rFonts w:eastAsia="等线" w:ascii="Arial" w:cs="Arial" w:hAnsi="Arial"/>
          <w:sz w:val="22"/>
        </w:rPr>
        <w:t>5）流程节点状态查询</w:t>
      </w:r>
    </w:p>
    <w:p>
      <w:pPr>
        <w:spacing w:before="120" w:after="120" w:line="288" w:lineRule="auto"/>
        <w:ind w:left="453"/>
        <w:jc w:val="left"/>
      </w:pPr>
      <w:r>
        <w:rPr>
          <w:rFonts w:eastAsia="等线" w:ascii="Arial" w:cs="Arial" w:hAnsi="Arial"/>
          <w:sz w:val="22"/>
        </w:rPr>
        <w:t>6）审批日志查询</w:t>
      </w:r>
    </w:p>
    <w:p>
      <w:pPr>
        <w:spacing w:before="120" w:after="120" w:line="288" w:lineRule="auto"/>
        <w:ind w:left="453"/>
        <w:jc w:val="left"/>
      </w:pPr>
      <w:r>
        <w:rPr>
          <w:rFonts w:eastAsia="等线" w:ascii="Arial" w:cs="Arial" w:hAnsi="Arial"/>
          <w:sz w:val="22"/>
        </w:rPr>
        <w:t>7）根据人员查询待办</w:t>
      </w:r>
    </w:p>
    <w:p>
      <w:pPr>
        <w:spacing w:before="120" w:after="120" w:line="288" w:lineRule="auto"/>
        <w:ind w:left="453"/>
        <w:jc w:val="left"/>
      </w:pPr>
      <w:r>
        <w:rPr>
          <w:rFonts w:eastAsia="等线" w:ascii="Arial" w:cs="Arial" w:hAnsi="Arial"/>
          <w:sz w:val="22"/>
        </w:rPr>
        <w:t>8）根据机构查询待办</w:t>
      </w:r>
    </w:p>
    <w:p>
      <w:pPr>
        <w:spacing w:before="120" w:after="120" w:line="288" w:lineRule="auto"/>
        <w:ind w:left="453"/>
        <w:jc w:val="left"/>
      </w:pPr>
      <w:r>
        <w:rPr>
          <w:rFonts w:eastAsia="等线" w:ascii="Arial" w:cs="Arial" w:hAnsi="Arial"/>
          <w:sz w:val="22"/>
        </w:rPr>
        <w:t>9）根据任务查询待办</w:t>
      </w:r>
    </w:p>
    <w:p>
      <w:pPr>
        <w:spacing w:before="120" w:after="120" w:line="288" w:lineRule="auto"/>
        <w:ind w:left="453"/>
        <w:jc w:val="left"/>
      </w:pPr>
    </w:p>
    <w:p>
      <w:pPr>
        <w:spacing w:before="120" w:after="120" w:line="288" w:lineRule="auto"/>
        <w:ind w:left="0"/>
        <w:jc w:val="left"/>
      </w:pPr>
      <w:r>
        <w:rPr>
          <w:rFonts w:eastAsia="等线" w:ascii="Arial" w:cs="Arial" w:hAnsi="Arial"/>
          <w:b w:val="true"/>
          <w:sz w:val="22"/>
        </w:rPr>
        <w:t>7、产品管理中心</w:t>
      </w:r>
    </w:p>
    <w:p>
      <w:pPr>
        <w:spacing w:before="120" w:after="120" w:line="288" w:lineRule="auto"/>
        <w:ind w:left="453"/>
        <w:jc w:val="left"/>
      </w:pPr>
      <w:r>
        <w:rPr>
          <w:rFonts w:eastAsia="等线" w:ascii="Arial" w:cs="Arial" w:hAnsi="Arial"/>
          <w:sz w:val="22"/>
        </w:rPr>
        <w:t xml:space="preserve">   1）针对金融业务系统，提供多产品管理中心</w:t>
      </w:r>
    </w:p>
    <w:p>
      <w:pPr>
        <w:spacing w:before="120" w:after="120" w:line="288" w:lineRule="auto"/>
        <w:ind w:left="453"/>
        <w:jc w:val="left"/>
      </w:pPr>
      <w:r>
        <w:rPr>
          <w:rFonts w:eastAsia="等线" w:ascii="Arial" w:cs="Arial" w:hAnsi="Arial"/>
          <w:sz w:val="22"/>
        </w:rPr>
        <w:t xml:space="preserve">   2）包括产品属性、角色、菜单、权限等进行管理，并可编排产品业务流程。</w:t>
      </w:r>
    </w:p>
    <w:p>
      <w:pPr>
        <w:spacing w:before="120" w:after="120" w:line="288" w:lineRule="auto"/>
        <w:ind w:left="453"/>
        <w:jc w:val="left"/>
      </w:pPr>
      <w:r>
        <w:rPr>
          <w:rFonts w:eastAsia="等线" w:ascii="Arial" w:cs="Arial" w:hAnsi="Arial"/>
          <w:sz w:val="22"/>
        </w:rPr>
        <w:t xml:space="preserve">   3）与流程引擎、决策平台、外呼平台进行集成，实现多产品的全流程管理。</w:t>
      </w:r>
    </w:p>
    <w:p>
      <w:pPr>
        <w:spacing w:before="120" w:after="120" w:line="288" w:lineRule="auto"/>
        <w:ind w:left="0"/>
        <w:jc w:val="left"/>
      </w:pPr>
      <w:r>
        <w:rPr>
          <w:rFonts w:eastAsia="等线" w:ascii="Arial" w:cs="Arial" w:hAnsi="Arial"/>
          <w:b w:val="true"/>
          <w:sz w:val="22"/>
        </w:rPr>
        <w:t>8、核验平台</w:t>
      </w:r>
    </w:p>
    <w:p>
      <w:pPr>
        <w:spacing w:before="120" w:after="120" w:line="288" w:lineRule="auto"/>
        <w:ind w:left="453"/>
        <w:jc w:val="left"/>
      </w:pPr>
      <w:r>
        <w:rPr>
          <w:rFonts w:eastAsia="等线" w:ascii="Arial" w:cs="Arial" w:hAnsi="Arial"/>
          <w:b w:val="true"/>
          <w:sz w:val="22"/>
        </w:rPr>
        <w:t>对接流程：</w:t>
      </w:r>
    </w:p>
    <w:p>
      <w:pPr>
        <w:spacing w:before="120" w:after="120" w:line="288" w:lineRule="auto"/>
        <w:ind w:left="453"/>
        <w:jc w:val="left"/>
      </w:pPr>
      <w:r>
        <w:rPr>
          <w:rFonts w:eastAsia="等线" w:ascii="Arial" w:cs="Arial" w:hAnsi="Arial"/>
          <w:sz w:val="22"/>
        </w:rPr>
        <w:t xml:space="preserve">   1）核验平台提供样本数据导入功能，业务系统可导入自己的样本数据</w:t>
      </w:r>
    </w:p>
    <w:p>
      <w:pPr>
        <w:spacing w:before="120" w:after="120" w:line="288" w:lineRule="auto"/>
        <w:ind w:left="453"/>
        <w:jc w:val="left"/>
      </w:pPr>
      <w:r>
        <w:rPr>
          <w:rFonts w:eastAsia="等线" w:ascii="Arial" w:cs="Arial" w:hAnsi="Arial"/>
          <w:sz w:val="22"/>
        </w:rPr>
        <w:t xml:space="preserve">   2）配置核验模型、定时任务，将核验样本，通过模型进行跑批运算，与历史模型结果进行核验，并进行预警</w:t>
      </w:r>
    </w:p>
    <w:p>
      <w:pPr>
        <w:spacing w:before="120" w:after="120" w:line="288" w:lineRule="auto"/>
        <w:ind w:left="453"/>
        <w:jc w:val="left"/>
      </w:pPr>
      <w:r>
        <w:rPr>
          <w:rFonts w:eastAsia="等线" w:ascii="Arial" w:cs="Arial" w:hAnsi="Arial"/>
          <w:sz w:val="22"/>
        </w:rPr>
        <w:t xml:space="preserve">   3）配置熔断规则，核验流程如果满足熔断规则，则会触发业务流程熔断</w:t>
      </w:r>
    </w:p>
    <w:p>
      <w:pPr>
        <w:spacing w:before="120" w:after="120" w:line="288" w:lineRule="auto"/>
        <w:ind w:left="453"/>
        <w:jc w:val="left"/>
      </w:pPr>
      <w:r>
        <w:rPr>
          <w:rFonts w:eastAsia="等线" w:ascii="Arial" w:cs="Arial" w:hAnsi="Arial"/>
          <w:sz w:val="22"/>
        </w:rPr>
        <w:t xml:space="preserve">   4）待人工放行后，业务流程才可继续执行。</w:t>
      </w:r>
    </w:p>
    <w:p>
      <w:pPr>
        <w:spacing w:before="120" w:after="120" w:line="288" w:lineRule="auto"/>
        <w:ind w:left="453"/>
        <w:jc w:val="left"/>
      </w:pPr>
      <w:r>
        <w:rPr>
          <w:rFonts w:eastAsia="等线" w:ascii="Arial" w:cs="Arial" w:hAnsi="Arial"/>
          <w:b w:val="true"/>
          <w:sz w:val="22"/>
        </w:rPr>
        <w:t>外部接口：</w:t>
      </w:r>
    </w:p>
    <w:p>
      <w:pPr>
        <w:spacing w:before="120" w:after="120" w:line="288" w:lineRule="auto"/>
        <w:ind w:left="453"/>
        <w:jc w:val="left"/>
      </w:pPr>
      <w:r>
        <w:rPr>
          <w:rFonts w:eastAsia="等线" w:ascii="Arial" w:cs="Arial" w:hAnsi="Arial"/>
          <w:sz w:val="22"/>
        </w:rPr>
        <w:t>1）流程熔断</w:t>
      </w:r>
    </w:p>
    <w:p>
      <w:pPr>
        <w:spacing w:before="120" w:after="120" w:line="288" w:lineRule="auto"/>
        <w:ind w:left="453"/>
        <w:jc w:val="left"/>
      </w:pPr>
      <w:r>
        <w:rPr>
          <w:rFonts w:eastAsia="等线" w:ascii="Arial" w:cs="Arial" w:hAnsi="Arial"/>
          <w:sz w:val="22"/>
        </w:rPr>
        <w:t>2）熔断恢复</w:t>
      </w:r>
    </w:p>
    <w:p>
      <w:pPr>
        <w:spacing w:before="120" w:after="120" w:line="288" w:lineRule="auto"/>
        <w:ind w:left="453"/>
        <w:jc w:val="left"/>
      </w:pPr>
    </w:p>
    <w:p>
      <w:pPr>
        <w:spacing w:before="120" w:after="120" w:line="288" w:lineRule="auto"/>
        <w:ind w:left="0"/>
        <w:jc w:val="left"/>
      </w:pPr>
      <w:r>
        <w:rPr>
          <w:rFonts w:eastAsia="等线" w:ascii="Arial" w:cs="Arial" w:hAnsi="Arial"/>
          <w:b w:val="true"/>
          <w:sz w:val="22"/>
        </w:rPr>
        <w:t>9、智能外呼接入</w:t>
      </w:r>
    </w:p>
    <w:p>
      <w:pPr>
        <w:spacing w:before="120" w:after="120" w:line="288" w:lineRule="auto"/>
        <w:ind w:left="0"/>
        <w:jc w:val="left"/>
      </w:pPr>
      <w:r>
        <w:rPr>
          <w:rFonts w:eastAsia="等线" w:ascii="Arial" w:cs="Arial" w:hAnsi="Arial"/>
          <w:sz w:val="22"/>
        </w:rPr>
        <w:t xml:space="preserve">      1）智能外呼一般以saas化服务的形式提供能力，也可以私有化部署</w:t>
      </w:r>
    </w:p>
    <w:p>
      <w:pPr>
        <w:spacing w:before="120" w:after="120" w:line="288" w:lineRule="auto"/>
        <w:ind w:left="0"/>
        <w:jc w:val="left"/>
      </w:pPr>
      <w:r>
        <w:rPr>
          <w:rFonts w:eastAsia="等线" w:ascii="Arial" w:cs="Arial" w:hAnsi="Arial"/>
          <w:sz w:val="22"/>
        </w:rPr>
        <w:t xml:space="preserve">      2）对接行方运营商线路</w:t>
      </w:r>
    </w:p>
    <w:p>
      <w:pPr>
        <w:spacing w:before="120" w:after="120" w:line="288" w:lineRule="auto"/>
        <w:ind w:left="0"/>
        <w:jc w:val="left"/>
      </w:pPr>
      <w:r>
        <w:rPr>
          <w:rFonts w:eastAsia="等线" w:ascii="Arial" w:cs="Arial" w:hAnsi="Arial"/>
          <w:sz w:val="22"/>
        </w:rPr>
        <w:t xml:space="preserve">      3）saas平台为业务系统开通租户账号，可以对外呼的话术、标签、样本进行管理和配置</w:t>
      </w:r>
    </w:p>
    <w:p>
      <w:pPr>
        <w:spacing w:before="120" w:after="120" w:line="288" w:lineRule="auto"/>
        <w:ind w:left="0"/>
        <w:jc w:val="left"/>
      </w:pPr>
      <w:r>
        <w:rPr>
          <w:rFonts w:eastAsia="等线" w:ascii="Arial" w:cs="Arial" w:hAnsi="Arial"/>
          <w:sz w:val="22"/>
        </w:rPr>
        <w:t xml:space="preserve">      4）提供外呼接口给业务系统，进行实时外呼</w:t>
      </w:r>
    </w:p>
    <w:p>
      <w:pPr>
        <w:spacing w:before="120" w:after="120" w:line="288" w:lineRule="auto"/>
        <w:ind w:left="0"/>
        <w:jc w:val="left"/>
      </w:pPr>
      <w:r>
        <w:rPr>
          <w:rFonts w:eastAsia="等线" w:ascii="Arial" w:cs="Arial" w:hAnsi="Arial"/>
          <w:sz w:val="22"/>
        </w:rPr>
        <w:t xml:space="preserve">      5）外呼结果以及标签结果回调给业务系统</w:t>
      </w:r>
    </w:p>
    <w:p>
      <w:pPr>
        <w:spacing w:before="120" w:after="120" w:line="288" w:lineRule="auto"/>
        <w:ind w:left="0"/>
        <w:jc w:val="center"/>
      </w:pPr>
      <w:r>
        <w:drawing>
          <wp:inline distT="0" distR="0" distB="0" distL="0">
            <wp:extent cx="5257800" cy="39147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8"/>
                    <a:stretch>
                      <a:fillRect/>
                    </a:stretch>
                  </pic:blipFill>
                  <pic:spPr>
                    <a:xfrm>
                      <a:off x="0" y="0"/>
                      <a:ext cx="5257800" cy="391477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10、视频面审接入</w:t>
      </w:r>
    </w:p>
    <w:p>
      <w:pPr>
        <w:spacing w:before="120" w:after="120" w:line="288" w:lineRule="auto"/>
        <w:ind w:left="453"/>
        <w:jc w:val="left"/>
      </w:pPr>
      <w:r>
        <w:rPr>
          <w:rFonts w:eastAsia="等线" w:ascii="Arial" w:cs="Arial" w:hAnsi="Arial"/>
          <w:b w:val="true"/>
          <w:sz w:val="22"/>
        </w:rPr>
        <w:t>接入流程：</w:t>
      </w:r>
    </w:p>
    <w:p>
      <w:pPr>
        <w:spacing w:before="120" w:after="120" w:line="288" w:lineRule="auto"/>
        <w:ind w:left="453"/>
        <w:jc w:val="left"/>
      </w:pPr>
      <w:r>
        <w:rPr>
          <w:rFonts w:eastAsia="等线" w:ascii="Arial" w:cs="Arial" w:hAnsi="Arial"/>
          <w:sz w:val="22"/>
        </w:rPr>
        <w:t xml:space="preserve">    1）以</w:t>
      </w:r>
      <w:r>
        <w:rPr>
          <w:rFonts w:eastAsia="等线" w:ascii="Arial" w:cs="Arial" w:hAnsi="Arial"/>
          <w:sz w:val="22"/>
        </w:rPr>
        <w:t>SDK</w:t>
      </w:r>
      <w:r>
        <w:rPr>
          <w:rFonts w:eastAsia="等线" w:ascii="Arial" w:cs="Arial" w:hAnsi="Arial"/>
          <w:sz w:val="22"/>
        </w:rPr>
        <w:t>、restAPI的形式将视频会议接口发布给业务系统</w:t>
      </w:r>
    </w:p>
    <w:p>
      <w:pPr>
        <w:spacing w:before="120" w:after="120" w:line="288" w:lineRule="auto"/>
        <w:ind w:left="453"/>
        <w:jc w:val="left"/>
      </w:pPr>
      <w:r>
        <w:rPr>
          <w:rFonts w:eastAsia="等线" w:ascii="Arial" w:cs="Arial" w:hAnsi="Arial"/>
          <w:sz w:val="22"/>
        </w:rPr>
        <w:t xml:space="preserve">    2）分配接入的</w:t>
      </w:r>
      <w:r>
        <w:rPr>
          <w:rFonts w:eastAsia="等线" w:ascii="Arial" w:cs="Arial" w:hAnsi="Arial"/>
          <w:sz w:val="22"/>
        </w:rPr>
        <w:t>appID</w:t>
      </w:r>
      <w:r>
        <w:rPr>
          <w:rFonts w:eastAsia="等线" w:ascii="Arial" w:cs="Arial" w:hAnsi="Arial"/>
          <w:sz w:val="22"/>
        </w:rPr>
        <w:t>、appKey给业务系统</w:t>
      </w:r>
    </w:p>
    <w:p>
      <w:pPr>
        <w:spacing w:before="120" w:after="120" w:line="288" w:lineRule="auto"/>
        <w:ind w:left="453"/>
        <w:jc w:val="left"/>
      </w:pPr>
      <w:r>
        <w:rPr>
          <w:rFonts w:eastAsia="等线" w:ascii="Arial" w:cs="Arial" w:hAnsi="Arial"/>
          <w:sz w:val="22"/>
        </w:rPr>
        <w:t xml:space="preserve">    3）业务端集成平台的视频面试</w:t>
      </w:r>
      <w:r>
        <w:rPr>
          <w:rFonts w:eastAsia="等线" w:ascii="Arial" w:cs="Arial" w:hAnsi="Arial"/>
          <w:sz w:val="22"/>
        </w:rPr>
        <w:t>UI</w:t>
      </w:r>
      <w:r>
        <w:rPr>
          <w:rFonts w:eastAsia="等线" w:ascii="Arial" w:cs="Arial" w:hAnsi="Arial"/>
          <w:sz w:val="22"/>
        </w:rPr>
        <w:t>组件</w:t>
      </w:r>
    </w:p>
    <w:p>
      <w:pPr>
        <w:spacing w:before="120" w:after="120" w:line="288" w:lineRule="auto"/>
        <w:ind w:left="453"/>
        <w:jc w:val="left"/>
      </w:pPr>
      <w:r>
        <w:rPr>
          <w:rFonts w:eastAsia="等线" w:ascii="Arial" w:cs="Arial" w:hAnsi="Arial"/>
          <w:sz w:val="22"/>
        </w:rPr>
        <w:t xml:space="preserve">    4）按照流程调用相关视频面审接口，包括创建房间、加入房间等接口</w:t>
      </w:r>
    </w:p>
    <w:p>
      <w:pPr>
        <w:spacing w:before="120" w:after="120" w:line="288" w:lineRule="auto"/>
        <w:ind w:left="453"/>
        <w:jc w:val="left"/>
      </w:pPr>
      <w:r>
        <w:rPr>
          <w:rFonts w:eastAsia="等线" w:ascii="Arial" w:cs="Arial" w:hAnsi="Arial"/>
          <w:b w:val="true"/>
          <w:sz w:val="22"/>
        </w:rPr>
        <w:t>对接接口：</w:t>
      </w:r>
    </w:p>
    <w:p>
      <w:pPr>
        <w:spacing w:before="120" w:after="120" w:line="288" w:lineRule="auto"/>
        <w:ind w:left="907"/>
        <w:jc w:val="left"/>
      </w:pPr>
      <w:r>
        <w:rPr>
          <w:rFonts w:eastAsia="等线" w:ascii="Arial" w:cs="Arial" w:hAnsi="Arial"/>
          <w:sz w:val="22"/>
        </w:rPr>
        <w:t>1）发起视频面审会议</w:t>
      </w:r>
    </w:p>
    <w:p>
      <w:pPr>
        <w:spacing w:before="120" w:after="120" w:line="288" w:lineRule="auto"/>
        <w:ind w:left="907"/>
        <w:jc w:val="left"/>
      </w:pPr>
      <w:r>
        <w:rPr>
          <w:rFonts w:eastAsia="等线" w:ascii="Arial" w:cs="Arial" w:hAnsi="Arial"/>
          <w:sz w:val="22"/>
        </w:rPr>
        <w:t>2）面审开始通知</w:t>
      </w:r>
    </w:p>
    <w:p>
      <w:pPr>
        <w:spacing w:before="120" w:after="120" w:line="288" w:lineRule="auto"/>
        <w:ind w:left="907"/>
        <w:jc w:val="left"/>
      </w:pPr>
      <w:r>
        <w:rPr>
          <w:rFonts w:eastAsia="等线" w:ascii="Arial" w:cs="Arial" w:hAnsi="Arial"/>
          <w:sz w:val="22"/>
        </w:rPr>
        <w:t>3）循环查询待接听视频面审</w:t>
      </w:r>
    </w:p>
    <w:p>
      <w:pPr>
        <w:spacing w:before="120" w:after="120" w:line="288" w:lineRule="auto"/>
        <w:ind w:left="907"/>
        <w:jc w:val="left"/>
      </w:pPr>
      <w:r>
        <w:rPr>
          <w:rFonts w:eastAsia="等线" w:ascii="Arial" w:cs="Arial" w:hAnsi="Arial"/>
          <w:sz w:val="22"/>
        </w:rPr>
        <w:t>4）循环查询客户是否接听</w:t>
      </w:r>
    </w:p>
    <w:p>
      <w:pPr>
        <w:spacing w:before="120" w:after="120" w:line="288" w:lineRule="auto"/>
        <w:ind w:left="907"/>
        <w:jc w:val="left"/>
      </w:pPr>
      <w:r>
        <w:rPr>
          <w:rFonts w:eastAsia="等线" w:ascii="Arial" w:cs="Arial" w:hAnsi="Arial"/>
          <w:sz w:val="22"/>
        </w:rPr>
        <w:t>5）加入视频会议</w:t>
      </w:r>
    </w:p>
    <w:p>
      <w:pPr>
        <w:spacing w:before="120" w:after="120" w:line="288" w:lineRule="auto"/>
        <w:ind w:left="907"/>
        <w:jc w:val="left"/>
      </w:pPr>
      <w:r>
        <w:rPr>
          <w:rFonts w:eastAsia="等线" w:ascii="Arial" w:cs="Arial" w:hAnsi="Arial"/>
          <w:sz w:val="22"/>
        </w:rPr>
        <w:t>6）面审视频流推送</w:t>
      </w:r>
    </w:p>
    <w:p>
      <w:pPr>
        <w:spacing w:before="120" w:after="120" w:line="288" w:lineRule="auto"/>
        <w:ind w:left="907"/>
        <w:jc w:val="left"/>
      </w:pPr>
      <w:r>
        <w:rPr>
          <w:rFonts w:eastAsia="等线" w:ascii="Arial" w:cs="Arial" w:hAnsi="Arial"/>
          <w:sz w:val="22"/>
        </w:rPr>
        <w:t>7）挂断视频面审会议</w:t>
      </w:r>
    </w:p>
    <w:p>
      <w:pPr>
        <w:spacing w:before="120" w:after="120" w:line="288" w:lineRule="auto"/>
        <w:ind w:left="907"/>
        <w:jc w:val="left"/>
      </w:pPr>
      <w:r>
        <w:rPr>
          <w:rFonts w:eastAsia="等线" w:ascii="Arial" w:cs="Arial" w:hAnsi="Arial"/>
          <w:sz w:val="22"/>
        </w:rPr>
        <w:t>8) 录制视频面审开始</w:t>
      </w:r>
    </w:p>
    <w:p>
      <w:pPr>
        <w:spacing w:before="120" w:after="120" w:line="288" w:lineRule="auto"/>
        <w:ind w:left="907"/>
        <w:jc w:val="left"/>
      </w:pPr>
      <w:r>
        <w:rPr>
          <w:rFonts w:eastAsia="等线" w:ascii="Arial" w:cs="Arial" w:hAnsi="Arial"/>
          <w:sz w:val="22"/>
        </w:rPr>
        <w:t>9）录制审批面审结束</w:t>
      </w:r>
    </w:p>
    <w:p>
      <w:pPr>
        <w:spacing w:before="120" w:after="120" w:line="288" w:lineRule="auto"/>
        <w:ind w:left="907"/>
        <w:jc w:val="left"/>
      </w:pPr>
    </w:p>
    <w:p>
      <w:pPr>
        <w:spacing w:before="120" w:after="120" w:line="288" w:lineRule="auto"/>
        <w:ind w:left="453"/>
        <w:jc w:val="left"/>
      </w:pPr>
    </w:p>
    <w:p>
      <w:pPr>
        <w:pStyle w:val="2"/>
        <w:spacing w:before="320" w:after="120" w:line="288" w:lineRule="auto"/>
        <w:ind w:left="0"/>
        <w:jc w:val="left"/>
        <w:outlineLvl w:val="1"/>
      </w:pPr>
      <w:bookmarkStart w:name="heading_2" w:id="2"/>
      <w:r>
        <w:rPr>
          <w:rFonts w:eastAsia="等线" w:ascii="Arial" w:cs="Arial" w:hAnsi="Arial"/>
          <w:b w:val="true"/>
          <w:sz w:val="32"/>
        </w:rPr>
        <w:t>三、金农易贷优化的功能方案</w:t>
      </w:r>
      <w:bookmarkEnd w:id="2"/>
    </w:p>
    <w:p>
      <w:pPr>
        <w:spacing w:before="120" w:after="120" w:line="288" w:lineRule="auto"/>
        <w:ind w:left="453"/>
        <w:jc w:val="left"/>
      </w:pPr>
      <w:r>
        <w:rPr>
          <w:rFonts w:eastAsia="等线" w:ascii="Arial" w:cs="Arial" w:hAnsi="Arial"/>
          <w:b w:val="true"/>
          <w:sz w:val="22"/>
        </w:rPr>
        <w:t>3.1、金农易贷系统优化方案</w:t>
      </w:r>
    </w:p>
    <w:p>
      <w:pPr>
        <w:spacing w:before="120" w:after="120" w:line="288" w:lineRule="auto"/>
        <w:ind w:left="453"/>
        <w:jc w:val="left"/>
      </w:pPr>
      <w:r>
        <w:rPr>
          <w:rFonts w:eastAsia="等线" w:ascii="Arial" w:cs="Arial" w:hAnsi="Arial"/>
          <w:sz w:val="22"/>
        </w:rPr>
        <w:t>基于以上统一业务及技术平台，金农易贷本身建设主要功能梳理如下：</w:t>
      </w:r>
    </w:p>
    <w:p>
      <w:pPr>
        <w:spacing w:before="120" w:after="120" w:line="288" w:lineRule="auto"/>
        <w:ind w:left="453"/>
        <w:jc w:val="left"/>
      </w:pPr>
      <w:r>
        <w:rPr>
          <w:rFonts w:eastAsia="等线" w:ascii="Arial" w:cs="Arial" w:hAnsi="Arial"/>
          <w:sz w:val="22"/>
        </w:rPr>
        <w:t>1、进件渠道：支持手机银行、微信小程序进件，实现注册、实名认证、多产品贷款申请、担保授权、签订合同等功能</w:t>
      </w:r>
    </w:p>
    <w:p>
      <w:pPr>
        <w:spacing w:before="120" w:after="120" w:line="288" w:lineRule="auto"/>
        <w:ind w:left="453"/>
        <w:jc w:val="left"/>
      </w:pPr>
      <w:r>
        <w:rPr>
          <w:rFonts w:eastAsia="等线" w:ascii="Arial" w:cs="Arial" w:hAnsi="Arial"/>
          <w:sz w:val="22"/>
        </w:rPr>
        <w:t>2、后管系统：主要实现金农易贷的贷款进件管理、业务调查管理、贷后业务管理、续贷业务管理、催收业务管理等功能模块，重点实现的是本身的业务管理，涉及到数据采集、数据加工、模型运算、流程配置等公共能力通过统一平台进行接口交互实现。</w:t>
      </w:r>
    </w:p>
    <w:p>
      <w:pPr>
        <w:spacing w:before="120" w:after="120" w:line="288" w:lineRule="auto"/>
        <w:ind w:left="453"/>
        <w:jc w:val="left"/>
      </w:pPr>
      <w:r>
        <w:rPr>
          <w:rFonts w:eastAsia="等线" w:ascii="Arial" w:cs="Arial" w:hAnsi="Arial"/>
          <w:b w:val="true"/>
          <w:sz w:val="22"/>
        </w:rPr>
        <w:t>3.2、风控优化方案</w:t>
      </w:r>
    </w:p>
    <w:p>
      <w:pPr>
        <w:spacing w:before="120" w:after="120" w:line="288" w:lineRule="auto"/>
        <w:ind w:left="453"/>
        <w:jc w:val="left"/>
      </w:pPr>
      <w:r>
        <w:rPr>
          <w:rFonts w:eastAsia="等线" w:ascii="Arial" w:cs="Arial" w:hAnsi="Arial"/>
          <w:sz w:val="22"/>
        </w:rPr>
        <w:t>1、反欺诈+第三方商采数据</w:t>
      </w:r>
    </w:p>
    <w:p>
      <w:pPr>
        <w:spacing w:before="120" w:after="120" w:line="288" w:lineRule="auto"/>
        <w:ind w:left="907"/>
        <w:jc w:val="left"/>
      </w:pPr>
      <w:r>
        <w:rPr>
          <w:rFonts w:eastAsia="等线" w:ascii="Arial" w:cs="Arial" w:hAnsi="Arial"/>
          <w:sz w:val="22"/>
        </w:rPr>
        <w:t>1）反欺诈模型：可自建微信渠道，通过行为数据埋点，基于</w:t>
      </w:r>
      <w:r>
        <w:rPr>
          <w:rFonts w:eastAsia="等线" w:ascii="Arial" w:cs="Arial" w:hAnsi="Arial"/>
          <w:sz w:val="22"/>
        </w:rPr>
        <w:t>flink</w:t>
      </w:r>
      <w:r>
        <w:rPr>
          <w:rFonts w:eastAsia="等线" w:ascii="Arial" w:cs="Arial" w:hAnsi="Arial"/>
          <w:sz w:val="22"/>
        </w:rPr>
        <w:t>+</w:t>
      </w:r>
      <w:r>
        <w:rPr>
          <w:rFonts w:eastAsia="等线" w:ascii="Arial" w:cs="Arial" w:hAnsi="Arial"/>
          <w:sz w:val="22"/>
        </w:rPr>
        <w:t>kafka</w:t>
      </w:r>
      <w:r>
        <w:rPr>
          <w:rFonts w:eastAsia="等线" w:ascii="Arial" w:cs="Arial" w:hAnsi="Arial"/>
          <w:sz w:val="22"/>
        </w:rPr>
        <w:t>进行欺诈指标计算引入反欺诈模型；</w:t>
      </w:r>
    </w:p>
    <w:p>
      <w:pPr>
        <w:spacing w:before="120" w:after="120" w:line="288" w:lineRule="auto"/>
        <w:ind w:left="907"/>
        <w:jc w:val="left"/>
      </w:pPr>
      <w:r>
        <w:rPr>
          <w:rFonts w:eastAsia="等线" w:ascii="Arial" w:cs="Arial" w:hAnsi="Arial"/>
          <w:sz w:val="22"/>
        </w:rPr>
        <w:t>2）图像识别：通过</w:t>
      </w:r>
      <w:r>
        <w:rPr>
          <w:rFonts w:eastAsia="等线" w:ascii="Arial" w:cs="Arial" w:hAnsi="Arial"/>
          <w:sz w:val="22"/>
        </w:rPr>
        <w:t>ocr</w:t>
      </w:r>
      <w:r>
        <w:rPr>
          <w:rFonts w:eastAsia="等线" w:ascii="Arial" w:cs="Arial" w:hAnsi="Arial"/>
          <w:sz w:val="22"/>
        </w:rPr>
        <w:t>身份证防伪识别、背景相似度识别，多人脸、光头、车内、背景、背景相似度识别来对客户进行欺诈风险定义；</w:t>
      </w:r>
    </w:p>
    <w:p>
      <w:pPr>
        <w:spacing w:before="120" w:after="120" w:line="288" w:lineRule="auto"/>
        <w:ind w:left="907"/>
        <w:jc w:val="left"/>
      </w:pPr>
      <w:r>
        <w:rPr>
          <w:rFonts w:eastAsia="等线" w:ascii="Arial" w:cs="Arial" w:hAnsi="Arial"/>
          <w:sz w:val="22"/>
        </w:rPr>
        <w:t>3）关系图谱：借助商采数据法海、汇法网、电话邦三要素、扑道征信等三方数据，基于</w:t>
      </w:r>
      <w:r>
        <w:rPr>
          <w:rFonts w:eastAsia="等线" w:ascii="Arial" w:cs="Arial" w:hAnsi="Arial"/>
          <w:sz w:val="22"/>
        </w:rPr>
        <w:t>neo4j</w:t>
      </w:r>
      <w:r>
        <w:rPr>
          <w:rFonts w:eastAsia="等线" w:ascii="Arial" w:cs="Arial" w:hAnsi="Arial"/>
          <w:sz w:val="22"/>
        </w:rPr>
        <w:t>的图关系网计算关联人员的信用评分、团伙欺诈、中介欺诈等；</w:t>
      </w:r>
    </w:p>
    <w:p>
      <w:pPr>
        <w:spacing w:before="120" w:after="120" w:line="288" w:lineRule="auto"/>
        <w:ind w:left="907"/>
        <w:jc w:val="left"/>
      </w:pPr>
      <w:r>
        <w:rPr>
          <w:rFonts w:eastAsia="等线" w:ascii="Arial" w:cs="Arial" w:hAnsi="Arial"/>
          <w:sz w:val="22"/>
        </w:rPr>
        <w:t>4）裁判文书解析：基于星火</w:t>
      </w:r>
      <w:r>
        <w:rPr>
          <w:rFonts w:eastAsia="等线" w:ascii="Arial" w:cs="Arial" w:hAnsi="Arial"/>
          <w:sz w:val="22"/>
        </w:rPr>
        <w:t>大模型</w:t>
      </w:r>
      <w:r>
        <w:rPr>
          <w:rFonts w:eastAsia="等线" w:ascii="Arial" w:cs="Arial" w:hAnsi="Arial"/>
          <w:sz w:val="22"/>
        </w:rPr>
        <w:t>和</w:t>
      </w:r>
      <w:r>
        <w:rPr>
          <w:rFonts w:eastAsia="等线" w:ascii="Arial" w:cs="Arial" w:hAnsi="Arial"/>
          <w:sz w:val="22"/>
        </w:rPr>
        <w:t>NLP</w:t>
      </w:r>
      <w:r>
        <w:rPr>
          <w:rFonts w:eastAsia="等线" w:ascii="Arial" w:cs="Arial" w:hAnsi="Arial"/>
          <w:sz w:val="22"/>
        </w:rPr>
        <w:t>的裁判文书解析；</w:t>
      </w:r>
    </w:p>
    <w:p>
      <w:pPr>
        <w:spacing w:before="120" w:after="120" w:line="288" w:lineRule="auto"/>
        <w:ind w:left="907"/>
        <w:jc w:val="left"/>
      </w:pPr>
      <w:r>
        <w:rPr>
          <w:rFonts w:eastAsia="等线" w:ascii="Arial" w:cs="Arial" w:hAnsi="Arial"/>
          <w:sz w:val="22"/>
        </w:rPr>
        <w:t>5）流水欺诈识别：基于</w:t>
      </w:r>
      <w:r>
        <w:rPr>
          <w:rFonts w:eastAsia="等线" w:ascii="Arial" w:cs="Arial" w:hAnsi="Arial"/>
          <w:sz w:val="22"/>
        </w:rPr>
        <w:t>OCR</w:t>
      </w:r>
      <w:r>
        <w:rPr>
          <w:rFonts w:eastAsia="等线" w:ascii="Arial" w:cs="Arial" w:hAnsi="Arial"/>
          <w:sz w:val="22"/>
        </w:rPr>
        <w:t>识别、</w:t>
      </w:r>
      <w:r>
        <w:rPr>
          <w:rFonts w:eastAsia="等线" w:ascii="Arial" w:cs="Arial" w:hAnsi="Arial"/>
          <w:sz w:val="22"/>
        </w:rPr>
        <w:t>NLP</w:t>
      </w:r>
      <w:r>
        <w:rPr>
          <w:rFonts w:eastAsia="等线" w:ascii="Arial" w:cs="Arial" w:hAnsi="Arial"/>
          <w:sz w:val="22"/>
        </w:rPr>
        <w:t>的客户流水的欺诈识别。</w:t>
      </w:r>
    </w:p>
    <w:p>
      <w:pPr>
        <w:spacing w:before="120" w:after="120" w:line="288" w:lineRule="auto"/>
        <w:ind w:left="453"/>
        <w:jc w:val="left"/>
      </w:pPr>
      <w:r>
        <w:rPr>
          <w:rFonts w:eastAsia="等线" w:ascii="Arial" w:cs="Arial" w:hAnsi="Arial"/>
          <w:sz w:val="22"/>
        </w:rPr>
        <w:t>3、贷后策略</w:t>
      </w:r>
    </w:p>
    <w:p>
      <w:pPr>
        <w:spacing w:before="120" w:after="120" w:line="288" w:lineRule="auto"/>
        <w:ind w:left="453"/>
        <w:jc w:val="left"/>
      </w:pPr>
      <w:r>
        <w:rPr>
          <w:rFonts w:eastAsia="等线" w:ascii="Arial" w:cs="Arial" w:hAnsi="Arial"/>
          <w:sz w:val="22"/>
        </w:rPr>
        <w:t xml:space="preserve">      1）增强贷后策略，如针对各群体风险偏好不同对数据源、贷后执行频率、贷后风险分级均设置差异化的贷后处理能力。</w:t>
      </w:r>
    </w:p>
    <w:p>
      <w:pPr>
        <w:spacing w:before="120" w:after="120" w:line="288" w:lineRule="auto"/>
        <w:ind w:left="453"/>
        <w:jc w:val="left"/>
      </w:pPr>
      <w:r>
        <w:rPr>
          <w:rFonts w:eastAsia="等线" w:ascii="Arial" w:cs="Arial" w:hAnsi="Arial"/>
          <w:sz w:val="22"/>
        </w:rPr>
        <w:t>4、用信策略</w:t>
      </w:r>
    </w:p>
    <w:p>
      <w:pPr>
        <w:spacing w:before="120" w:after="120" w:line="288" w:lineRule="auto"/>
        <w:ind w:left="453"/>
        <w:jc w:val="left"/>
      </w:pPr>
      <w:r>
        <w:rPr>
          <w:rFonts w:eastAsia="等线" w:ascii="Arial" w:cs="Arial" w:hAnsi="Arial"/>
          <w:sz w:val="22"/>
        </w:rPr>
        <w:t xml:space="preserve">      1）增加用信策略：超过一定时间进行用信需要对其风险情况重新进行评估，风险可控的情况下才允许借款；</w:t>
      </w:r>
    </w:p>
    <w:p>
      <w:pPr>
        <w:spacing w:before="120" w:after="120" w:line="288" w:lineRule="auto"/>
        <w:ind w:left="453"/>
        <w:jc w:val="left"/>
      </w:pPr>
      <w:r>
        <w:rPr>
          <w:rFonts w:eastAsia="等线" w:ascii="Arial" w:cs="Arial" w:hAnsi="Arial"/>
          <w:sz w:val="22"/>
        </w:rPr>
        <w:t xml:space="preserve">      2）贷后管理机制：对于长时间没有用信的客户，在每次贷后执行的情况下重新执行授信模型，将当前客户的真实授信水平与之前的授信数据进行对比，超过一定的范围进行用信控制。</w:t>
      </w:r>
    </w:p>
    <w:p>
      <w:pPr>
        <w:spacing w:before="120" w:after="120" w:line="288" w:lineRule="auto"/>
        <w:ind w:left="453"/>
        <w:jc w:val="left"/>
      </w:pPr>
      <w:r>
        <w:rPr>
          <w:rFonts w:eastAsia="等线" w:ascii="Arial" w:cs="Arial" w:hAnsi="Arial"/>
          <w:b w:val="true"/>
          <w:sz w:val="22"/>
        </w:rPr>
        <w:t>3.3、运营优化方案</w:t>
      </w:r>
    </w:p>
    <w:p>
      <w:pPr>
        <w:spacing w:before="120" w:after="120" w:line="288" w:lineRule="auto"/>
        <w:ind w:left="453"/>
        <w:jc w:val="left"/>
      </w:pPr>
      <w:r>
        <w:rPr>
          <w:rFonts w:eastAsia="等线" w:ascii="Arial" w:cs="Arial" w:hAnsi="Arial"/>
          <w:sz w:val="22"/>
        </w:rPr>
        <w:t xml:space="preserve">   1、客户流失</w:t>
      </w:r>
    </w:p>
    <w:p>
      <w:pPr>
        <w:spacing w:before="120" w:after="120" w:line="288" w:lineRule="auto"/>
        <w:ind w:left="453"/>
        <w:jc w:val="left"/>
      </w:pPr>
      <w:r>
        <w:rPr>
          <w:rFonts w:eastAsia="等线" w:ascii="Arial" w:cs="Arial" w:hAnsi="Arial"/>
          <w:sz w:val="22"/>
        </w:rPr>
        <w:t xml:space="preserve">      1）减少贷前流失，通过增加进件渠道对客户的行为数据进行分析，在客户申请流失的过程中进行精准触达（短信、外呼等），挽留客户；</w:t>
      </w:r>
    </w:p>
    <w:p>
      <w:pPr>
        <w:spacing w:before="120" w:after="120" w:line="288" w:lineRule="auto"/>
        <w:ind w:left="453"/>
        <w:jc w:val="left"/>
      </w:pPr>
      <w:r>
        <w:rPr>
          <w:rFonts w:eastAsia="等线" w:ascii="Arial" w:cs="Arial" w:hAnsi="Arial"/>
          <w:sz w:val="22"/>
        </w:rPr>
        <w:t xml:space="preserve">      2）跟进贷中流失，对于完成授信的用户，合同未签署、签约未用信两类流失的客户，进行客群分类、他行授用信征信</w:t>
      </w:r>
      <w:r>
        <w:rPr>
          <w:rFonts w:eastAsia="等线" w:ascii="Arial" w:cs="Arial" w:hAnsi="Arial"/>
          <w:sz w:val="22"/>
        </w:rPr>
        <w:t>数据分析</w:t>
      </w:r>
      <w:r>
        <w:rPr>
          <w:rFonts w:eastAsia="等线" w:ascii="Arial" w:cs="Arial" w:hAnsi="Arial"/>
          <w:sz w:val="22"/>
        </w:rPr>
        <w:t>等维度进行精准化的签约奖励和用信奖励。</w:t>
      </w:r>
    </w:p>
    <w:p>
      <w:pPr>
        <w:spacing w:before="120" w:after="120" w:line="288" w:lineRule="auto"/>
        <w:ind w:left="453"/>
        <w:jc w:val="left"/>
      </w:pPr>
      <w:r>
        <w:rPr>
          <w:rFonts w:eastAsia="等线" w:ascii="Arial" w:cs="Arial" w:hAnsi="Arial"/>
          <w:sz w:val="22"/>
        </w:rPr>
        <w:t xml:space="preserve">      3）建立续贷任务，针对快到期客户，进行续贷提醒、建立续贷计划及续贷预授信，针对不同客群分析再进行执行流程、额度及利率等不同策略</w:t>
      </w:r>
    </w:p>
    <w:p>
      <w:pPr>
        <w:spacing w:before="120" w:after="120" w:line="288" w:lineRule="auto"/>
        <w:ind w:left="453"/>
        <w:jc w:val="left"/>
      </w:pPr>
      <w:r>
        <w:rPr>
          <w:rFonts w:eastAsia="等线" w:ascii="Arial" w:cs="Arial" w:hAnsi="Arial"/>
          <w:sz w:val="22"/>
        </w:rPr>
        <w:t xml:space="preserve">      4）引入流失召回，针对各个转化环节流失的客户，基于其流失原因进行分析，进行灵活的召回策略配置；如针对融资渠道比较少的客群客户，客户主动完成贷款申请，却没有进行签约的客户，通过增加召回策略，提供利率优惠、引导客户进行担保或者抵押提额等措施来召回客户；</w:t>
      </w:r>
    </w:p>
    <w:p>
      <w:pPr>
        <w:spacing w:before="120" w:after="120" w:line="288" w:lineRule="auto"/>
        <w:ind w:left="453"/>
        <w:jc w:val="left"/>
      </w:pPr>
      <w:r>
        <w:rPr>
          <w:rFonts w:eastAsia="等线" w:ascii="Arial" w:cs="Arial" w:hAnsi="Arial"/>
          <w:sz w:val="22"/>
        </w:rPr>
        <w:t xml:space="preserve">   2、用信转化</w:t>
      </w:r>
    </w:p>
    <w:p>
      <w:pPr>
        <w:spacing w:before="120" w:after="120" w:line="288" w:lineRule="auto"/>
        <w:ind w:left="453"/>
        <w:jc w:val="left"/>
      </w:pPr>
      <w:r>
        <w:rPr>
          <w:rFonts w:eastAsia="等线" w:ascii="Arial" w:cs="Arial" w:hAnsi="Arial"/>
          <w:sz w:val="22"/>
        </w:rPr>
        <w:t xml:space="preserve">   搭建运营平台，实现金农易贷集中运营、批量运营、自动化运营的机制。</w:t>
      </w:r>
    </w:p>
    <w:p>
      <w:pPr>
        <w:spacing w:before="120" w:after="120" w:line="288" w:lineRule="auto"/>
        <w:ind w:left="453"/>
        <w:jc w:val="left"/>
      </w:pPr>
      <w:r>
        <w:rPr>
          <w:rFonts w:eastAsia="等线" w:ascii="Arial" w:cs="Arial" w:hAnsi="Arial"/>
          <w:sz w:val="22"/>
        </w:rPr>
        <w:t xml:space="preserve">    1）推出自动化运营以及全旅程运营，解放客户经理精力，让百分之八十的存量客户运营问题通过集中化、自动化、智能化的系统来解决；</w:t>
      </w:r>
    </w:p>
    <w:p>
      <w:pPr>
        <w:spacing w:before="120" w:after="120" w:line="288" w:lineRule="auto"/>
        <w:ind w:left="453"/>
        <w:jc w:val="left"/>
      </w:pPr>
      <w:r>
        <w:rPr>
          <w:rFonts w:eastAsia="等线" w:ascii="Arial" w:cs="Arial" w:hAnsi="Arial"/>
          <w:sz w:val="22"/>
        </w:rPr>
        <w:t xml:space="preserve">    2）推出拓客地图以及营销活动、云店等工具，武装客户经理，让客户经理的营销拓客有目标、有渠道、有工具。 </w:t>
      </w:r>
    </w:p>
    <w:p>
      <w:pPr>
        <w:spacing w:before="120" w:after="120" w:line="288" w:lineRule="auto"/>
        <w:ind w:left="453"/>
        <w:jc w:val="left"/>
      </w:pPr>
      <w:r>
        <w:rPr>
          <w:rFonts w:eastAsia="等线" w:ascii="Arial" w:cs="Arial" w:hAnsi="Arial"/>
          <w:sz w:val="22"/>
        </w:rPr>
        <w:t xml:space="preserve">     3）增加精细化及定制化运营，建立存量客户签约而不用信</w:t>
      </w:r>
      <w:r>
        <w:rPr>
          <w:rFonts w:eastAsia="等线" w:ascii="Arial" w:cs="Arial" w:hAnsi="Arial"/>
          <w:sz w:val="22"/>
        </w:rPr>
        <w:t>数据分析</w:t>
      </w:r>
      <w:r>
        <w:rPr>
          <w:rFonts w:eastAsia="等线" w:ascii="Arial" w:cs="Arial" w:hAnsi="Arial"/>
          <w:sz w:val="22"/>
        </w:rPr>
        <w:t>、个体工商户资金周期性分析、行内多产品交叉营销等策略进行精准运营。</w:t>
      </w:r>
    </w:p>
    <w:p>
      <w:pPr>
        <w:spacing w:before="120" w:after="120" w:line="288" w:lineRule="auto"/>
        <w:ind w:left="0"/>
        <w:jc w:val="left"/>
      </w:pPr>
    </w:p>
    <w:p>
      <w:pPr>
        <w:pStyle w:val="1"/>
        <w:spacing w:before="380" w:after="140" w:line="288" w:lineRule="auto"/>
        <w:ind w:left="0"/>
        <w:jc w:val="left"/>
        <w:outlineLvl w:val="0"/>
      </w:pPr>
      <w:bookmarkStart w:name="heading_3" w:id="3"/>
      <w:r>
        <w:rPr>
          <w:rFonts w:eastAsia="等线" w:ascii="Arial" w:cs="Arial" w:hAnsi="Arial"/>
          <w:b w:val="true"/>
          <w:sz w:val="36"/>
        </w:rPr>
        <w:t>四、系统迁移方案</w:t>
      </w:r>
      <w:bookmarkEnd w:id="3"/>
    </w:p>
    <w:p>
      <w:pPr>
        <w:spacing w:before="120" w:after="120" w:line="288" w:lineRule="auto"/>
        <w:ind w:left="0"/>
        <w:jc w:val="left"/>
      </w:pPr>
      <w:r>
        <w:rPr>
          <w:rFonts w:eastAsia="等线" w:ascii="Arial" w:cs="Arial" w:hAnsi="Arial"/>
          <w:b w:val="true"/>
          <w:sz w:val="22"/>
        </w:rPr>
        <w:t>复用的数据主要包括：</w:t>
      </w:r>
    </w:p>
    <w:p>
      <w:pPr>
        <w:spacing w:before="120" w:after="120" w:line="288" w:lineRule="auto"/>
        <w:ind w:left="0"/>
        <w:jc w:val="left"/>
      </w:pPr>
      <w:r>
        <w:rPr>
          <w:rFonts w:eastAsia="等线" w:ascii="Arial" w:cs="Arial" w:hAnsi="Arial"/>
          <w:sz w:val="22"/>
        </w:rPr>
        <w:t>1、金融数据无需迁移，还存放在原有数据平台，与新系统直接对接。</w:t>
      </w:r>
    </w:p>
    <w:p>
      <w:pPr>
        <w:spacing w:before="120" w:after="120" w:line="288" w:lineRule="auto"/>
        <w:ind w:left="0"/>
        <w:jc w:val="left"/>
      </w:pPr>
      <w:r>
        <w:rPr>
          <w:rFonts w:eastAsia="等线" w:ascii="Arial" w:cs="Arial" w:hAnsi="Arial"/>
          <w:sz w:val="22"/>
        </w:rPr>
        <w:t>2、政务数据、下发指标保持原有数据结果直接迁移入库。</w:t>
      </w:r>
    </w:p>
    <w:p>
      <w:pPr>
        <w:spacing w:before="120" w:after="120" w:line="288" w:lineRule="auto"/>
        <w:ind w:left="0"/>
        <w:jc w:val="left"/>
      </w:pPr>
      <w:r>
        <w:rPr>
          <w:rFonts w:eastAsia="等线" w:ascii="Arial" w:cs="Arial" w:hAnsi="Arial"/>
          <w:sz w:val="22"/>
        </w:rPr>
        <w:t>3、政务接口、外部对接接口直接复用。</w:t>
      </w:r>
    </w:p>
    <w:p>
      <w:pPr>
        <w:spacing w:before="120" w:after="120" w:line="288" w:lineRule="auto"/>
        <w:ind w:left="0"/>
        <w:jc w:val="left"/>
      </w:pPr>
      <w:r>
        <w:rPr>
          <w:rFonts w:eastAsia="等线" w:ascii="Arial" w:cs="Arial" w:hAnsi="Arial"/>
          <w:sz w:val="22"/>
        </w:rPr>
        <w:t>4、复用原有省联社信贷接口。</w:t>
      </w:r>
    </w:p>
    <w:p>
      <w:pPr>
        <w:spacing w:before="120" w:after="120" w:line="288" w:lineRule="auto"/>
        <w:ind w:left="0"/>
        <w:jc w:val="left"/>
      </w:pPr>
      <w:r>
        <w:rPr>
          <w:rFonts w:eastAsia="等线" w:ascii="Arial" w:cs="Arial" w:hAnsi="Arial"/>
          <w:sz w:val="22"/>
        </w:rPr>
        <w:t>5、复用省联社数据下发、数据入库的原有流程。</w:t>
      </w:r>
    </w:p>
    <w:p>
      <w:pPr>
        <w:spacing w:before="120" w:after="120" w:line="288" w:lineRule="auto"/>
        <w:ind w:left="0"/>
        <w:jc w:val="left"/>
      </w:pPr>
      <w:r>
        <w:rPr>
          <w:rFonts w:eastAsia="等线" w:ascii="Arial" w:cs="Arial" w:hAnsi="Arial"/>
          <w:b w:val="true"/>
          <w:sz w:val="22"/>
        </w:rPr>
        <w:t>需要迁移数据主要包括：</w:t>
      </w:r>
    </w:p>
    <w:p>
      <w:pPr>
        <w:spacing w:before="120" w:after="120" w:line="288" w:lineRule="auto"/>
        <w:ind w:left="0"/>
        <w:jc w:val="left"/>
      </w:pPr>
      <w:r>
        <w:rPr>
          <w:rFonts w:eastAsia="等线" w:ascii="Arial" w:cs="Arial" w:hAnsi="Arial"/>
          <w:sz w:val="22"/>
        </w:rPr>
        <w:t>1、迁移系统基础数据，包括用户基础信息。</w:t>
      </w:r>
    </w:p>
    <w:p>
      <w:pPr>
        <w:spacing w:before="120" w:after="120" w:line="288" w:lineRule="auto"/>
        <w:ind w:left="0"/>
        <w:jc w:val="left"/>
      </w:pPr>
      <w:r>
        <w:rPr>
          <w:rFonts w:eastAsia="等线" w:ascii="Arial" w:cs="Arial" w:hAnsi="Arial"/>
          <w:sz w:val="22"/>
        </w:rPr>
        <w:t>2、迁移</w:t>
      </w:r>
      <w:r>
        <w:rPr>
          <w:rFonts w:eastAsia="等线" w:ascii="Arial" w:cs="Arial" w:hAnsi="Arial"/>
          <w:sz w:val="22"/>
        </w:rPr>
        <w:t>存量</w:t>
      </w:r>
      <w:r>
        <w:rPr>
          <w:rFonts w:eastAsia="等线" w:ascii="Arial" w:cs="Arial" w:hAnsi="Arial"/>
          <w:sz w:val="22"/>
        </w:rPr>
        <w:t>业务数据，包括贷款申请信息、授信、授信结果等业务流程数据。</w:t>
      </w:r>
    </w:p>
    <w:p>
      <w:pPr>
        <w:spacing w:before="120" w:after="120" w:line="288" w:lineRule="auto"/>
        <w:ind w:left="0"/>
        <w:jc w:val="left"/>
      </w:pPr>
      <w:r>
        <w:rPr>
          <w:rFonts w:eastAsia="等线" w:ascii="Arial" w:cs="Arial" w:hAnsi="Arial"/>
          <w:sz w:val="22"/>
        </w:rPr>
        <w:t>3、迁移流程引擎、规则引擎过程数据。</w:t>
      </w:r>
    </w:p>
    <w:p>
      <w:pPr>
        <w:spacing w:before="120" w:after="120" w:line="288" w:lineRule="auto"/>
        <w:ind w:left="0"/>
        <w:jc w:val="left"/>
      </w:pPr>
      <w:r>
        <w:rPr>
          <w:rFonts w:eastAsia="等线" w:ascii="Arial" w:cs="Arial" w:hAnsi="Arial"/>
          <w:sz w:val="22"/>
        </w:rPr>
        <w:t>4、针对流程转派过程数据根据情况迁移，非核心日志不做迁移。</w:t>
      </w:r>
    </w:p>
    <w:p>
      <w:pPr>
        <w:spacing w:before="120" w:after="120" w:line="288" w:lineRule="auto"/>
        <w:ind w:left="0"/>
        <w:jc w:val="left"/>
      </w:pPr>
      <w:r>
        <w:rPr>
          <w:rFonts w:eastAsia="等线" w:ascii="Arial" w:cs="Arial" w:hAnsi="Arial"/>
          <w:b w:val="true"/>
          <w:sz w:val="22"/>
        </w:rPr>
        <w:t>不需要迁移主要包括：</w:t>
      </w:r>
    </w:p>
    <w:p>
      <w:pPr>
        <w:spacing w:before="120" w:after="120" w:line="288" w:lineRule="auto"/>
        <w:ind w:left="0"/>
        <w:jc w:val="left"/>
      </w:pPr>
      <w:r>
        <w:rPr>
          <w:rFonts w:eastAsia="等线" w:ascii="Arial" w:cs="Arial" w:hAnsi="Arial"/>
          <w:sz w:val="22"/>
        </w:rPr>
        <w:t>1、系统登录日志、业务参数、数据字典等。</w:t>
      </w:r>
    </w:p>
    <w:p>
      <w:pPr>
        <w:spacing w:before="120" w:after="120" w:line="288" w:lineRule="auto"/>
        <w:ind w:left="0"/>
        <w:jc w:val="left"/>
      </w:pPr>
      <w:r>
        <w:rPr>
          <w:rFonts w:eastAsia="等线" w:ascii="Arial" w:cs="Arial" w:hAnsi="Arial"/>
          <w:sz w:val="22"/>
        </w:rPr>
        <w:t>2、进件转派日志信息</w:t>
      </w:r>
    </w:p>
    <w:p>
      <w:pPr>
        <w:spacing w:before="120" w:after="120" w:line="288" w:lineRule="auto"/>
        <w:ind w:left="0"/>
        <w:jc w:val="left"/>
      </w:pPr>
      <w:r>
        <w:rPr>
          <w:rFonts w:eastAsia="等线" w:ascii="Arial" w:cs="Arial" w:hAnsi="Arial"/>
          <w:sz w:val="22"/>
        </w:rPr>
        <w:t>3、模型风控跑批过程中的数据</w:t>
      </w:r>
    </w:p>
    <w:p>
      <w:pPr>
        <w:spacing w:before="120" w:after="120" w:line="288" w:lineRule="auto"/>
        <w:ind w:left="0"/>
        <w:jc w:val="left"/>
      </w:pPr>
      <w:r>
        <w:rPr>
          <w:rFonts w:eastAsia="等线" w:ascii="Arial" w:cs="Arial" w:hAnsi="Arial"/>
          <w:sz w:val="22"/>
        </w:rPr>
        <w:t>4、指标历史表</w:t>
      </w:r>
    </w:p>
    <w:p>
      <w:pPr>
        <w:spacing w:before="120" w:after="120" w:line="288" w:lineRule="auto"/>
        <w:ind w:left="0"/>
        <w:jc w:val="left"/>
      </w:pPr>
      <w:r>
        <w:rPr>
          <w:rFonts w:eastAsia="等线" w:ascii="Arial" w:cs="Arial" w:hAnsi="Arial"/>
          <w:sz w:val="22"/>
        </w:rPr>
        <w:t>5、模型风控任务状态表</w:t>
      </w:r>
    </w:p>
    <w:p>
      <w:pPr>
        <w:spacing w:before="120" w:after="120" w:line="288" w:lineRule="auto"/>
        <w:ind w:left="0"/>
        <w:jc w:val="left"/>
      </w:pPr>
      <w:r>
        <w:rPr>
          <w:rFonts w:eastAsia="等线" w:ascii="Arial" w:cs="Arial" w:hAnsi="Arial"/>
          <w:sz w:val="22"/>
        </w:rPr>
        <w:t>6、业务数据变更记录</w:t>
      </w:r>
    </w:p>
    <w:p>
      <w:pPr>
        <w:spacing w:before="120" w:after="120" w:line="288" w:lineRule="auto"/>
        <w:ind w:left="0"/>
        <w:jc w:val="left"/>
      </w:pPr>
      <w:r>
        <w:rPr>
          <w:rFonts w:eastAsia="等线" w:ascii="Arial" w:cs="Arial" w:hAnsi="Arial"/>
          <w:b w:val="true"/>
          <w:sz w:val="22"/>
        </w:rPr>
        <w:t>无需迁移，需要重新配置：</w:t>
      </w:r>
    </w:p>
    <w:p>
      <w:pPr>
        <w:spacing w:before="120" w:after="120" w:line="288" w:lineRule="auto"/>
        <w:ind w:left="0"/>
        <w:jc w:val="left"/>
      </w:pPr>
      <w:r>
        <w:rPr>
          <w:rFonts w:eastAsia="等线" w:ascii="Arial" w:cs="Arial" w:hAnsi="Arial"/>
          <w:sz w:val="22"/>
        </w:rPr>
        <w:t>1、群体、模型、规则、指标、策略等风控相关数据需要根据新平台进行重新配置和定义。</w:t>
      </w:r>
    </w:p>
    <w:p>
      <w:pPr>
        <w:spacing w:before="120" w:after="120" w:line="288" w:lineRule="auto"/>
        <w:ind w:left="0"/>
        <w:jc w:val="left"/>
      </w:pPr>
      <w:r>
        <w:rPr>
          <w:rFonts w:eastAsia="等线" w:ascii="Arial" w:cs="Arial" w:hAnsi="Arial"/>
          <w:sz w:val="22"/>
        </w:rPr>
        <w:t>2、数据字典、业务参数</w:t>
      </w:r>
    </w:p>
    <w:p>
      <w:pPr>
        <w:spacing w:before="120" w:after="120" w:line="288" w:lineRule="auto"/>
        <w:ind w:left="0"/>
        <w:jc w:val="left"/>
      </w:pPr>
      <w:r>
        <w:rPr>
          <w:rFonts w:eastAsia="等线" w:ascii="Arial" w:cs="Arial" w:hAnsi="Arial"/>
          <w:b w:val="true"/>
          <w:sz w:val="22"/>
        </w:rPr>
        <w:t>系统切换步骤：</w:t>
      </w:r>
    </w:p>
    <w:p>
      <w:pPr>
        <w:spacing w:before="120" w:after="120" w:line="288" w:lineRule="auto"/>
        <w:ind w:left="0"/>
        <w:jc w:val="left"/>
      </w:pPr>
      <w:r>
        <w:rPr>
          <w:rFonts w:eastAsia="等线" w:ascii="Arial" w:cs="Arial" w:hAnsi="Arial"/>
          <w:sz w:val="22"/>
        </w:rPr>
        <w:t>1、老系统数据按照上述规则进行全量迁移到新系统数据库。</w:t>
      </w:r>
    </w:p>
    <w:p>
      <w:pPr>
        <w:spacing w:before="120" w:after="120" w:line="288" w:lineRule="auto"/>
        <w:ind w:left="0"/>
        <w:jc w:val="left"/>
      </w:pPr>
      <w:r>
        <w:rPr>
          <w:rFonts w:eastAsia="等线" w:ascii="Arial" w:cs="Arial" w:hAnsi="Arial"/>
          <w:sz w:val="22"/>
        </w:rPr>
        <w:t>2、将新用户直接切换到新系统，所有业务流程直接路由到新系统。</w:t>
      </w:r>
    </w:p>
    <w:p>
      <w:pPr>
        <w:spacing w:before="120" w:after="120" w:line="288" w:lineRule="auto"/>
        <w:ind w:left="0"/>
        <w:jc w:val="left"/>
      </w:pPr>
      <w:r>
        <w:rPr>
          <w:rFonts w:eastAsia="等线" w:ascii="Arial" w:cs="Arial" w:hAnsi="Arial"/>
          <w:sz w:val="22"/>
        </w:rPr>
        <w:t>3、老系统产生数据，准实时同步迁移到新平台。</w:t>
      </w:r>
    </w:p>
    <w:p>
      <w:pPr>
        <w:spacing w:before="120" w:after="120" w:line="288" w:lineRule="auto"/>
        <w:ind w:left="0"/>
        <w:jc w:val="left"/>
      </w:pPr>
      <w:r>
        <w:rPr>
          <w:rFonts w:eastAsia="等线" w:ascii="Arial" w:cs="Arial" w:hAnsi="Arial"/>
          <w:sz w:val="22"/>
        </w:rPr>
        <w:t>4、针对老客户，采用白名单制进行切换到新系统，进行内部流程测试、验证。</w:t>
      </w:r>
    </w:p>
    <w:p>
      <w:pPr>
        <w:spacing w:before="120" w:after="120" w:line="288" w:lineRule="auto"/>
        <w:ind w:left="0"/>
        <w:jc w:val="left"/>
      </w:pPr>
      <w:r>
        <w:rPr>
          <w:rFonts w:eastAsia="等线" w:ascii="Arial" w:cs="Arial" w:hAnsi="Arial"/>
          <w:sz w:val="22"/>
        </w:rPr>
        <w:t>5、第4步验证稳定后，在逐步按照机构或其他规则进行切换到新系统，直至完成所有用户切换，原有系统停止运营。</w:t>
      </w:r>
    </w:p>
    <w:p>
      <w:pPr>
        <w:spacing w:before="120" w:after="120" w:line="288" w:lineRule="auto"/>
        <w:ind w:left="0"/>
        <w:jc w:val="left"/>
      </w:pPr>
    </w:p>
    <w:p>
      <w:pPr>
        <w:spacing w:before="120" w:after="120" w:line="288" w:lineRule="auto"/>
        <w:ind w:left="0"/>
        <w:jc w:val="left"/>
      </w:pPr>
    </w:p>
    <w:sectPr>
      <w:footerReference w:type="default" r:id="rId3"/>
      <w:headerReference w:type="default" r:id="rId9"/>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header1.xml" Type="http://schemas.openxmlformats.org/officeDocument/2006/relationships/header"/></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2024-04-29T08:44:47Z</dcterms:created>
  <dc:creator>Apache POI</dc:creator>
</cp:coreProperties>
</file>