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B3AE" w14:textId="77777777" w:rsidR="001353E8" w:rsidRDefault="00074D20">
      <w:pPr>
        <w:pStyle w:val="a4"/>
        <w:spacing w:after="200"/>
      </w:pPr>
      <w:r>
        <w:t>Design and Characterization of a Mission-Oriented Self-Suspending Underwater Platform with Anisotropic Permeability-Corrected Dynamics and Experimental Identification</w:t>
      </w:r>
    </w:p>
    <w:p w14:paraId="0A22FAF2" w14:textId="77777777" w:rsidR="001353E8" w:rsidRDefault="00074D20">
      <w:pPr>
        <w:pStyle w:val="Author"/>
      </w:pPr>
      <w:r>
        <w:t>First Author</w:t>
      </w:r>
    </w:p>
    <w:p w14:paraId="7B01DC91" w14:textId="77777777" w:rsidR="001353E8" w:rsidRDefault="00074D20">
      <w:pPr>
        <w:pStyle w:val="Author"/>
      </w:pPr>
      <w:r>
        <w:t>Second Author</w:t>
      </w:r>
    </w:p>
    <w:p w14:paraId="1177B1E5" w14:textId="77777777" w:rsidR="001353E8" w:rsidRDefault="00074D20">
      <w:pPr>
        <w:pStyle w:val="FirstParagraph"/>
        <w:spacing w:after="60"/>
        <w:jc w:val="center"/>
      </w:pPr>
      <w:r>
        <w:rPr>
          <w:i/>
          <w:iCs/>
        </w:rPr>
        <w:t>Ocean Engineering</w:t>
      </w:r>
    </w:p>
    <w:p w14:paraId="37F0648D" w14:textId="77777777" w:rsidR="001353E8" w:rsidRDefault="00074D20">
      <w:pPr>
        <w:pStyle w:val="a0"/>
        <w:spacing w:after="60"/>
        <w:jc w:val="center"/>
      </w:pPr>
      <w:r>
        <w:t>Affiliation</w:t>
      </w:r>
    </w:p>
    <w:p w14:paraId="1C4E3E35" w14:textId="77777777" w:rsidR="001353E8" w:rsidRDefault="00074D20">
      <w:pPr>
        <w:pStyle w:val="a0"/>
        <w:spacing w:after="60"/>
        <w:jc w:val="center"/>
      </w:pPr>
      <w:r>
        <w:t>Corresponding author: corresponding.author@example.com</w:t>
      </w:r>
    </w:p>
    <w:p w14:paraId="00B52796" w14:textId="77777777" w:rsidR="001353E8" w:rsidRDefault="00074D20">
      <w:pPr>
        <w:pStyle w:val="1"/>
        <w:spacing w:before="160"/>
      </w:pPr>
      <w:bookmarkStart w:id="0" w:name="abstract"/>
      <w:r>
        <w:t>Abstract</w:t>
      </w:r>
    </w:p>
    <w:p w14:paraId="6B888E4C" w14:textId="52F113CD" w:rsidR="00A63DEF" w:rsidRPr="00A63DEF" w:rsidRDefault="00A63DEF" w:rsidP="00A63DEF">
      <w:pPr>
        <w:pStyle w:val="a0"/>
        <w:spacing w:after="60"/>
        <w:jc w:val="both"/>
      </w:pPr>
      <w:r w:rsidRPr="00A63DEF">
        <w:t xml:space="preserve">Underwater corner reflectors are widely used as passive, high-contrast markers for marine detection and localization. However, dedicated deployment platforms specifically designed for these devices are rarely reported in the open literature. This paper presents a mission-oriented, self-suspending underwater platform tailored for corner-reflector deployment. </w:t>
      </w:r>
      <w:r w:rsidR="00B23213">
        <w:rPr>
          <w:rFonts w:eastAsiaTheme="minorEastAsia"/>
          <w:lang w:eastAsia="zh-CN"/>
        </w:rPr>
        <w:t>Based</w:t>
      </w:r>
      <w:r w:rsidR="00B23213">
        <w:rPr>
          <w:rFonts w:eastAsiaTheme="minorEastAsia" w:hint="eastAsia"/>
          <w:lang w:eastAsia="zh-CN"/>
        </w:rPr>
        <w:t xml:space="preserve"> on </w:t>
      </w:r>
      <w:proofErr w:type="gramStart"/>
      <w:r w:rsidR="00B23213">
        <w:rPr>
          <w:rFonts w:eastAsiaTheme="minorEastAsia" w:hint="eastAsia"/>
          <w:lang w:eastAsia="zh-CN"/>
        </w:rPr>
        <w:t>the  physical</w:t>
      </w:r>
      <w:proofErr w:type="gramEnd"/>
      <w:r w:rsidR="00B23213">
        <w:rPr>
          <w:rFonts w:eastAsiaTheme="minorEastAsia" w:hint="eastAsia"/>
          <w:lang w:eastAsia="zh-CN"/>
        </w:rPr>
        <w:t xml:space="preserve"> realization of the platform</w:t>
      </w:r>
      <w:r>
        <w:rPr>
          <w:rFonts w:eastAsiaTheme="minorEastAsia" w:hint="eastAsia"/>
          <w:lang w:eastAsia="zh-CN"/>
        </w:rPr>
        <w:t xml:space="preserve">, </w:t>
      </w:r>
      <w:r w:rsidRPr="00A63DEF">
        <w:t>we specifically characterize its critical mission-defining transition: moving from a compact, near-horizontal release with a nonzero initial velocity to a stable, near-vertical working posture.</w:t>
      </w:r>
      <w:r>
        <w:rPr>
          <w:rFonts w:eastAsiaTheme="minorEastAsia" w:hint="eastAsia"/>
          <w:lang w:eastAsia="zh-CN"/>
        </w:rPr>
        <w:t xml:space="preserve"> </w:t>
      </w:r>
      <w:r w:rsidRPr="00B23213">
        <w:rPr>
          <w:highlight w:val="yellow"/>
        </w:rPr>
        <w:t>To model this transitional phase, we develop an interpretable planar three-degree-of-freedom (3-DOF) dynamic model encompassing surge, heave, and pitch. The directional coupling between the rigid-body motion and the entrained water within the platform’s open-frame structure is captured by three bounded, anisotropic permeability-corrected inertial parameters.</w:t>
      </w:r>
      <w:r w:rsidRPr="00A63DEF">
        <w:t xml:space="preserve"> Static forces and moments are mapped </w:t>
      </w:r>
      <w:r>
        <w:rPr>
          <w:rFonts w:eastAsiaTheme="minorEastAsia" w:hint="eastAsia"/>
          <w:lang w:eastAsia="zh-CN"/>
        </w:rPr>
        <w:t xml:space="preserve">by </w:t>
      </w:r>
      <w:r w:rsidRPr="00A63DEF">
        <w:t>using CFD-derived coefficient tables to achieve hydrodynamic closure. Meanwhile, rotational damping and remaining dynamic parameters are identified through standardized free-decay experiments, employing strict condition-level data splitting to separate calibration from validation.</w:t>
      </w:r>
    </w:p>
    <w:p w14:paraId="70C7DD09" w14:textId="77777777" w:rsidR="00A63DEF" w:rsidRPr="00A63DEF" w:rsidRDefault="00A63DEF" w:rsidP="00A63DEF">
      <w:pPr>
        <w:pStyle w:val="a0"/>
        <w:spacing w:after="60"/>
        <w:jc w:val="both"/>
      </w:pPr>
      <w:r w:rsidRPr="00A63DEF">
        <w:t xml:space="preserve">Validation against independent out-of-sample datasets demonstrates the model's high predictive accuracy, yielding a root-mean-square error (RMSE) of strictly less than </w:t>
      </w:r>
      <w:r w:rsidRPr="00A63DEF">
        <w:rPr>
          <w:b/>
          <w:bCs/>
        </w:rPr>
        <w:t>[2.5°]</w:t>
      </w:r>
      <w:r w:rsidRPr="00A63DEF">
        <w:t xml:space="preserve"> for pitch and </w:t>
      </w:r>
      <w:r w:rsidRPr="00A63DEF">
        <w:rPr>
          <w:b/>
          <w:bCs/>
        </w:rPr>
        <w:t>[0.15]</w:t>
      </w:r>
      <w:r w:rsidRPr="00A63DEF">
        <w:t xml:space="preserve"> rad/s for angular velocity. Leveraging this validated model, extensive parametric analyses reveal how initial deployment conditions govern the platform's transitional dynamics. Results show that the initial release angle significantly dominates the settling time and trajectory stability, whereas the initial surge velocity has a marginal effect on the final posture. Furthermore, initial release angles exceeding a critical threshold (e.g., </w:t>
      </w:r>
      <w:r w:rsidRPr="00A63DEF">
        <w:rPr>
          <w:b/>
          <w:bCs/>
        </w:rPr>
        <w:t>[&gt;30°]</w:t>
      </w:r>
      <w:r w:rsidRPr="00A63DEF">
        <w:t xml:space="preserve"> from horizontal) induce severe hydrodynamic overshoot, destabilizing the transition process. Ultimately, this study delineates a precise initial-condition feasibility envelope, providing practical, sensitivity-based operational guidance to ensure stable and efficient horizontal-to-vertical transitions for open-frame underwater platforms.</w:t>
      </w:r>
    </w:p>
    <w:p w14:paraId="40A1E515" w14:textId="77777777" w:rsidR="001353E8" w:rsidRDefault="00074D20">
      <w:pPr>
        <w:pStyle w:val="a0"/>
        <w:spacing w:after="60"/>
        <w:jc w:val="both"/>
      </w:pPr>
      <w:r>
        <w:rPr>
          <w:b/>
          <w:bCs/>
        </w:rPr>
        <w:t>Keywords:</w:t>
      </w:r>
      <w:r>
        <w:t xml:space="preserve"> Underwater platform; Mission-oriented deployment; Free-decay identification; CFD evidence; Added mass; Permeability correction</w:t>
      </w:r>
    </w:p>
    <w:p w14:paraId="1DDE2754" w14:textId="77777777" w:rsidR="001353E8" w:rsidRDefault="00074D20">
      <w:pPr>
        <w:pStyle w:val="1"/>
        <w:spacing w:before="160"/>
      </w:pPr>
      <w:bookmarkStart w:id="1" w:name="highlights"/>
      <w:bookmarkEnd w:id="0"/>
      <w:r>
        <w:t>Highlights</w:t>
      </w:r>
    </w:p>
    <w:p w14:paraId="6E978D0A" w14:textId="77777777" w:rsidR="001353E8" w:rsidRDefault="00074D20">
      <w:pPr>
        <w:pStyle w:val="Compact"/>
        <w:numPr>
          <w:ilvl w:val="0"/>
          <w:numId w:val="2"/>
        </w:numPr>
        <w:spacing w:after="60"/>
        <w:ind w:firstLine="0"/>
        <w:jc w:val="both"/>
      </w:pPr>
      <w:r>
        <w:t>Mission-oriented self-suspending platform for underwater marker deployment</w:t>
      </w:r>
    </w:p>
    <w:p w14:paraId="470ABC6E" w14:textId="77777777" w:rsidR="001353E8" w:rsidRDefault="00074D20">
      <w:pPr>
        <w:pStyle w:val="Compact"/>
        <w:numPr>
          <w:ilvl w:val="0"/>
          <w:numId w:val="2"/>
        </w:numPr>
        <w:spacing w:after="60"/>
        <w:ind w:firstLine="0"/>
        <w:jc w:val="both"/>
      </w:pPr>
      <w:r>
        <w:t>Interpretable 3-DOF anisotropic permeability-corrected dynamics model</w:t>
      </w:r>
    </w:p>
    <w:p w14:paraId="01EBB549" w14:textId="77777777" w:rsidR="001353E8" w:rsidRDefault="00074D20">
      <w:pPr>
        <w:pStyle w:val="Compact"/>
        <w:numPr>
          <w:ilvl w:val="0"/>
          <w:numId w:val="2"/>
        </w:numPr>
        <w:spacing w:after="60"/>
        <w:ind w:firstLine="0"/>
        <w:jc w:val="both"/>
      </w:pPr>
      <w:r>
        <w:t>CFD-based mapping for force, moment, and pressure-center migration evidence</w:t>
      </w:r>
    </w:p>
    <w:p w14:paraId="4A966585" w14:textId="77777777" w:rsidR="001353E8" w:rsidRDefault="00074D20">
      <w:pPr>
        <w:pStyle w:val="Compact"/>
        <w:numPr>
          <w:ilvl w:val="0"/>
          <w:numId w:val="2"/>
        </w:numPr>
        <w:spacing w:after="60"/>
        <w:ind w:firstLine="0"/>
        <w:jc w:val="both"/>
      </w:pPr>
      <w:r>
        <w:t>Free-decay identification with split-controlled sim-real validation</w:t>
      </w:r>
    </w:p>
    <w:p w14:paraId="06C17B69" w14:textId="77777777" w:rsidR="001353E8" w:rsidRDefault="00074D20">
      <w:pPr>
        <w:pStyle w:val="Compact"/>
        <w:numPr>
          <w:ilvl w:val="0"/>
          <w:numId w:val="2"/>
        </w:numPr>
        <w:spacing w:after="60"/>
        <w:ind w:firstLine="0"/>
        <w:jc w:val="both"/>
      </w:pPr>
      <w:r>
        <w:t>Sensitivity envelopes support robust deployment-strategy selection</w:t>
      </w:r>
    </w:p>
    <w:p w14:paraId="47A81853" w14:textId="77777777" w:rsidR="001353E8" w:rsidRDefault="001353E8">
      <w:pPr>
        <w:sectPr w:rsidR="001353E8">
          <w:footnotePr>
            <w:numRestart w:val="eachSect"/>
          </w:footnotePr>
          <w:type w:val="continuous"/>
          <w:pgSz w:w="11906" w:h="16838"/>
          <w:pgMar w:top="1020" w:right="850" w:bottom="1134" w:left="850" w:header="720" w:footer="720" w:gutter="0"/>
          <w:cols w:space="720"/>
        </w:sectPr>
      </w:pPr>
      <w:bookmarkStart w:id="2" w:name="introduction"/>
      <w:bookmarkEnd w:id="1"/>
    </w:p>
    <w:p w14:paraId="02DE847A" w14:textId="53CAF67B" w:rsidR="008D05D8" w:rsidRDefault="00074D20" w:rsidP="00C85596">
      <w:pPr>
        <w:pStyle w:val="1"/>
        <w:numPr>
          <w:ilvl w:val="0"/>
          <w:numId w:val="4"/>
        </w:numPr>
        <w:spacing w:before="160"/>
      </w:pPr>
      <w:r>
        <w:lastRenderedPageBreak/>
        <w:t>Introduction</w:t>
      </w:r>
    </w:p>
    <w:p w14:paraId="45FC164B" w14:textId="794DAAAD" w:rsidR="00C85596" w:rsidRDefault="00C85596" w:rsidP="00C85596">
      <w:pPr>
        <w:pStyle w:val="a0"/>
        <w:jc w:val="both"/>
        <w:rPr>
          <w:rFonts w:eastAsiaTheme="minorEastAsia"/>
          <w:lang w:eastAsia="zh-CN"/>
        </w:rPr>
      </w:pPr>
      <w:r w:rsidRPr="00C85596">
        <w:rPr>
          <w:rFonts w:eastAsiaTheme="minorEastAsia"/>
          <w:lang w:eastAsia="zh-CN"/>
        </w:rPr>
        <w:t xml:space="preserve">Underwater corner reflectors have emerged as pivotal passive, high-contrast markers for marine detection and </w:t>
      </w:r>
      <w:proofErr w:type="gramStart"/>
      <w:r w:rsidRPr="00C85596">
        <w:rPr>
          <w:rFonts w:eastAsiaTheme="minorEastAsia"/>
          <w:lang w:eastAsia="zh-CN"/>
        </w:rPr>
        <w:t>localization</w:t>
      </w:r>
      <w:bookmarkStart w:id="3" w:name="ZOTERO_BREF_E0GbxCtq3Y5U"/>
      <w:r w:rsidR="007845C9" w:rsidRPr="007845C9">
        <w:rPr>
          <w:rFonts w:eastAsiaTheme="minorEastAsia"/>
        </w:rPr>
        <w:t>(</w:t>
      </w:r>
      <w:proofErr w:type="gramEnd"/>
      <w:r w:rsidR="007845C9" w:rsidRPr="007845C9">
        <w:rPr>
          <w:rFonts w:eastAsiaTheme="minorEastAsia"/>
        </w:rPr>
        <w:t>Luo et al., 2020; Zhou et al., 2022)</w:t>
      </w:r>
      <w:bookmarkEnd w:id="3"/>
      <w:r w:rsidRPr="00C85596">
        <w:rPr>
          <w:rFonts w:eastAsiaTheme="minorEastAsia"/>
          <w:lang w:eastAsia="zh-CN"/>
        </w:rPr>
        <w:t>.</w:t>
      </w:r>
      <w:r w:rsidR="00191B39">
        <w:rPr>
          <w:rFonts w:eastAsiaTheme="minorEastAsia" w:hint="eastAsia"/>
          <w:lang w:eastAsia="zh-CN"/>
        </w:rPr>
        <w:t xml:space="preserve"> </w:t>
      </w:r>
      <w:r w:rsidRPr="00C85596">
        <w:rPr>
          <w:rFonts w:eastAsiaTheme="minorEastAsia"/>
          <w:lang w:eastAsia="zh-CN"/>
        </w:rPr>
        <w:t xml:space="preserve">Their practical effectiveness, however, relies not only on the intrinsic acoustic performance of the reflectors but also on whether they can be deployed reliably into the target underwater environment. In real-world marine operations, the stringent spatial constraints of host vehicles often preclude the direct release of reflectors in their fully expanded working configurations. Instead, the reflector system must first be compactly stowed and then deployed only after the carrier reaches an appropriate release condition. As a result, the overall deployment reliability is governed not only by the payload itself but also by the structural design and post-release transitional dynamics of the carrier </w:t>
      </w:r>
      <w:proofErr w:type="gramStart"/>
      <w:r w:rsidRPr="00C85596">
        <w:rPr>
          <w:rFonts w:eastAsiaTheme="minorEastAsia"/>
          <w:lang w:eastAsia="zh-CN"/>
        </w:rPr>
        <w:t>platform</w:t>
      </w:r>
      <w:bookmarkStart w:id="4" w:name="ZOTERO_BREF_azBmzOaJFHFc"/>
      <w:r w:rsidR="007845C9" w:rsidRPr="007845C9">
        <w:rPr>
          <w:rFonts w:eastAsiaTheme="minorEastAsia"/>
        </w:rPr>
        <w:t>(</w:t>
      </w:r>
      <w:proofErr w:type="gramEnd"/>
      <w:r w:rsidR="007845C9" w:rsidRPr="007845C9">
        <w:rPr>
          <w:rFonts w:eastAsiaTheme="minorEastAsia"/>
        </w:rPr>
        <w:t>Wang et al., 2024)</w:t>
      </w:r>
      <w:bookmarkEnd w:id="4"/>
      <w:r w:rsidRPr="00C85596">
        <w:rPr>
          <w:rFonts w:eastAsiaTheme="minorEastAsia"/>
          <w:lang w:eastAsia="zh-CN"/>
        </w:rPr>
        <w:t xml:space="preserve">. Developing a mission-oriented underwater deployment platform is therefore essential for mitigating deployment risks and maximizing operational effectiveness. </w:t>
      </w:r>
    </w:p>
    <w:p w14:paraId="4680A3AB" w14:textId="60A29640" w:rsidR="00AE04F7" w:rsidRDefault="00AE04F7" w:rsidP="00C85596">
      <w:pPr>
        <w:pStyle w:val="a0"/>
        <w:jc w:val="both"/>
        <w:rPr>
          <w:rFonts w:eastAsiaTheme="minorEastAsia"/>
          <w:lang w:eastAsia="zh-CN"/>
        </w:rPr>
      </w:pPr>
      <w:r w:rsidRPr="00AE04F7">
        <w:rPr>
          <w:rFonts w:eastAsiaTheme="minorEastAsia"/>
          <w:lang w:eastAsia="zh-CN"/>
        </w:rPr>
        <w:t xml:space="preserve">Existing studies related to the present problem can be broadly categorized into two groups: payload-oriented acoustic investigations and platform-oriented hydrodynamic studies. The former mainly focus on how reflector geometry, internal medium, and configuration affect target strength and scattering directivity. Representative efforts include air-cavity-based enhancement designs, array-configuration analyses, and recent experimental studies on flexible inflatable reflector structures </w:t>
      </w:r>
      <w:bookmarkStart w:id="5" w:name="ZOTERO_BREF_WIWdElHOgNpm"/>
      <w:r w:rsidR="007845C9" w:rsidRPr="007845C9">
        <w:rPr>
          <w:rFonts w:eastAsiaTheme="minorEastAsia"/>
        </w:rPr>
        <w:t>(Xiao et al., 2025; Zhou et al., 2025)</w:t>
      </w:r>
      <w:bookmarkEnd w:id="5"/>
      <w:r w:rsidRPr="00AE04F7">
        <w:rPr>
          <w:rFonts w:eastAsiaTheme="minorEastAsia"/>
          <w:lang w:eastAsia="zh-CN"/>
        </w:rPr>
        <w:t>. These works have substantially advanced the understanding of the acoustic behavior of underwater corner reflectors and, in some cases, have also considered compact storage and post-deployment performance. Overall, however, deployment is still largely treated as an external prerequisite, without further addressing a key issue</w:t>
      </w:r>
      <w:r w:rsidR="00223FF9">
        <w:rPr>
          <w:rFonts w:eastAsiaTheme="minorEastAsia" w:hint="eastAsia"/>
          <w:lang w:eastAsia="zh-CN"/>
        </w:rPr>
        <w:t xml:space="preserve"> of </w:t>
      </w:r>
      <w:r w:rsidRPr="00AE04F7">
        <w:rPr>
          <w:rFonts w:eastAsiaTheme="minorEastAsia"/>
          <w:lang w:eastAsia="zh-CN"/>
        </w:rPr>
        <w:t xml:space="preserve">how a stowed reflector–carrier system should be designed and realized, and through what hydrodynamic process it can transition to its final working posture. In contrast, platform-oriented studies have focused more on vehicle-level hydrodynamic characteristics, CFD-assisted parameter extraction, and reduced-order dynamic modeling. The </w:t>
      </w:r>
      <w:r w:rsidR="00223FF9">
        <w:rPr>
          <w:rFonts w:eastAsiaTheme="minorEastAsia" w:hint="eastAsia"/>
          <w:lang w:eastAsia="zh-CN"/>
        </w:rPr>
        <w:t>Classical F</w:t>
      </w:r>
      <w:r w:rsidRPr="00AE04F7">
        <w:rPr>
          <w:rFonts w:eastAsiaTheme="minorEastAsia"/>
          <w:lang w:eastAsia="zh-CN"/>
        </w:rPr>
        <w:t xml:space="preserve">ossen framework remains the standard foundation for underwater vehicle dynamics modeling </w:t>
      </w:r>
      <w:r w:rsidR="007845C9">
        <w:rPr>
          <w:rFonts w:eastAsiaTheme="minorEastAsia"/>
          <w:highlight w:val="yellow"/>
          <w:lang w:eastAsia="zh-CN"/>
        </w:rPr>
        <w:fldChar w:fldCharType="begin"/>
      </w:r>
      <w:r w:rsidR="007845C9">
        <w:rPr>
          <w:rFonts w:eastAsiaTheme="minorEastAsia"/>
          <w:highlight w:val="yellow"/>
          <w:lang w:eastAsia="zh-CN"/>
        </w:rPr>
        <w:instrText xml:space="preserve"> ADDIN ZOTERO_ITEM CSL_CITATION {"citationID":"4JecCtCC","properties":{"formattedCitation":"(\\uc0\\u8220{}Introduction,\\uc0\\u8221{} 2011)","plainCitation":"(“Introduction,” 2011)","dontUpdate":true,"noteIndex":0},"citationItems":[{"id":350,"uris":["http://zotero.org/users/local/Frb7DBuY/items/BSTSPQKW"],"itemData":{"id":350,"type":"chapter","abstract":"Guidance, navigation and control (GNC) deals with the design of systems that automatically control or remotely control devices or vehicles that are moving under water, on the surface or in space. This chapter deals with the design of model-based GNC systems. The history of model-based ship control starts with the invention of the gyrocompass in 1908, which allowed for reliable automatic yaw angle feedback. The autopilot or automatic pilot is a device for controlling an aircraft, marine craft or other vehicles without constant human intervention. The great successes with proportional-integral-derivative (PID)-based autopilot systems and the development of local area positioning systems suggest that three decoupled PID controllers could be used to control the horizontal motion of a ship in surge, sway and yaw exclusively by means of thrusters and propellers. The idea was tested in the 1970s, and the invention was referred to as a dynamic positioning (DP) system. Controlled Vocabulary Terms aircraft control; linear feedback control systems; marine vehicles; navigation; propellers; ships","container-title":"Handbook of Marine Craft Hydrodynamics and Motion Control","DOI":"10.1002/9781119994138.ch9","ISBN":"978-1-119-99413-8","language":"en","note":"section: 9\n_eprint: https://onlinelibrary.wiley.com/doi/pdf/10.1002/9781119994138.ch9\nDOI: 10.1002/9781119994138.ch9","page":"227-239","publisher":"John Wiley &amp; Sons, Ltd","source":"Wiley Online Library","title":"Introduction","URL":"https://onlinelibrary.wiley.com/doi/abs/10.1002/9781119994138.ch9","accessed":{"date-parts":[["2026",3,8]]},"issued":{"date-parts":[["2011"]]}}}],"schema":"https://github.com/citation-style-language/schema/raw/master/csl-citation.json"} </w:instrText>
      </w:r>
      <w:r w:rsidR="007845C9">
        <w:rPr>
          <w:rFonts w:eastAsiaTheme="minorEastAsia"/>
          <w:highlight w:val="yellow"/>
          <w:lang w:eastAsia="zh-CN"/>
        </w:rPr>
        <w:fldChar w:fldCharType="separate"/>
      </w:r>
      <w:r w:rsidR="007845C9" w:rsidRPr="007845C9">
        <w:t>(</w:t>
      </w:r>
      <w:r w:rsidR="007845C9" w:rsidRPr="007845C9">
        <w:rPr>
          <w:rFonts w:eastAsiaTheme="minorEastAsia"/>
          <w:lang w:eastAsia="zh-CN"/>
        </w:rPr>
        <w:t>Fossen</w:t>
      </w:r>
      <w:r w:rsidR="007845C9" w:rsidRPr="007845C9">
        <w:t xml:space="preserve"> </w:t>
      </w:r>
      <w:r w:rsidR="007845C9">
        <w:rPr>
          <w:rFonts w:ascii="宋体" w:eastAsia="宋体" w:hAnsi="宋体" w:cs="宋体" w:hint="eastAsia"/>
          <w:lang w:eastAsia="zh-CN"/>
        </w:rPr>
        <w:t>,</w:t>
      </w:r>
      <w:r w:rsidR="007845C9" w:rsidRPr="007845C9">
        <w:t>2011)</w:t>
      </w:r>
      <w:r w:rsidR="007845C9">
        <w:rPr>
          <w:rFonts w:eastAsiaTheme="minorEastAsia"/>
          <w:highlight w:val="yellow"/>
          <w:lang w:eastAsia="zh-CN"/>
        </w:rPr>
        <w:fldChar w:fldCharType="end"/>
      </w:r>
      <w:r w:rsidRPr="00AE04F7">
        <w:rPr>
          <w:rFonts w:eastAsiaTheme="minorEastAsia"/>
          <w:lang w:eastAsia="zh-CN"/>
        </w:rPr>
        <w:t xml:space="preserve">. Meanwhile, CFD and experimental studies on open-frame or permeable platforms have shown that flow penetration, internal-water participation, and fluid–structure interaction can substantially alter added-mass and damping characteristics, rendering conventional closed-body assumptions inadequate for such configurations </w:t>
      </w:r>
      <w:bookmarkStart w:id="6" w:name="ZOTERO_BREF_7iMS26RbyPHp"/>
      <w:r w:rsidR="007845C9" w:rsidRPr="007845C9">
        <w:rPr>
          <w:rFonts w:eastAsiaTheme="minorEastAsia"/>
        </w:rPr>
        <w:t>(Li et al., 2020; Molin, 2011)</w:t>
      </w:r>
      <w:bookmarkEnd w:id="6"/>
      <w:r w:rsidRPr="00AE04F7">
        <w:rPr>
          <w:rFonts w:eastAsiaTheme="minorEastAsia"/>
          <w:lang w:eastAsia="zh-CN"/>
        </w:rPr>
        <w:t>. Free-decay identification provides a practical route for estimating low-speed hydrodynamic coefficients</w:t>
      </w:r>
      <w:r w:rsidR="007845C9">
        <w:rPr>
          <w:rFonts w:eastAsiaTheme="minorEastAsia" w:hint="eastAsia"/>
          <w:lang w:eastAsia="zh-CN"/>
        </w:rPr>
        <w:t xml:space="preserve"> </w:t>
      </w:r>
      <w:bookmarkStart w:id="7" w:name="ZOTERO_BREF_lKXjG9QSewbK"/>
      <w:r w:rsidR="007845C9" w:rsidRPr="007845C9">
        <w:rPr>
          <w:rFonts w:eastAsiaTheme="minorEastAsia"/>
        </w:rPr>
        <w:t>(Ross et al., 2004)</w:t>
      </w:r>
      <w:bookmarkEnd w:id="7"/>
      <w:r w:rsidRPr="00AE04F7">
        <w:rPr>
          <w:rFonts w:eastAsiaTheme="minorEastAsia"/>
          <w:lang w:eastAsia="zh-CN"/>
        </w:rPr>
        <w:t>, while recent studies on separation safety further indicate that initial release conditions can strongly govern the evolution of the early transient response in underwater deployment systems (Wang et al., 2024). Nevertheless, existing platform studies have mostly addressed generic control, hovering operations, or safe separation, rather than</w:t>
      </w:r>
      <w:r w:rsidR="00223FF9">
        <w:rPr>
          <w:rFonts w:eastAsiaTheme="minorEastAsia" w:hint="eastAsia"/>
          <w:lang w:eastAsia="zh-CN"/>
        </w:rPr>
        <w:t xml:space="preserve"> the specific transitional dynamics of</w:t>
      </w:r>
      <w:r w:rsidRPr="00AE04F7">
        <w:rPr>
          <w:rFonts w:eastAsiaTheme="minorEastAsia"/>
          <w:lang w:eastAsia="zh-CN"/>
        </w:rPr>
        <w:t xml:space="preserve"> a mission-oriented miniature carrier that must start from a compact release state, undergo a large-attitude transition, stabilize into a near-vertical working posture, and subsequently release and deploy the corner </w:t>
      </w:r>
      <w:r w:rsidRPr="00AE04F7">
        <w:rPr>
          <w:rFonts w:eastAsiaTheme="minorEastAsia"/>
          <w:lang w:eastAsia="zh-CN"/>
        </w:rPr>
        <w:t xml:space="preserve">reflector for operation. Therefore, a clear and important gap </w:t>
      </w:r>
      <w:proofErr w:type="gramStart"/>
      <w:r w:rsidRPr="00AE04F7">
        <w:rPr>
          <w:rFonts w:eastAsiaTheme="minorEastAsia"/>
          <w:lang w:eastAsia="zh-CN"/>
        </w:rPr>
        <w:t>still remains</w:t>
      </w:r>
      <w:proofErr w:type="gramEnd"/>
      <w:r w:rsidRPr="00AE04F7">
        <w:rPr>
          <w:rFonts w:eastAsiaTheme="minorEastAsia"/>
          <w:lang w:eastAsia="zh-CN"/>
        </w:rPr>
        <w:t xml:space="preserve"> between reflector acoustic design and deployment-stage dynamic modeling for underwater corner-reflector deployment systems.</w:t>
      </w:r>
    </w:p>
    <w:p w14:paraId="413345A2" w14:textId="77777777" w:rsidR="001C7B14" w:rsidRDefault="00463C9C" w:rsidP="00E82B65">
      <w:pPr>
        <w:pStyle w:val="a0"/>
        <w:jc w:val="both"/>
        <w:rPr>
          <w:rFonts w:eastAsiaTheme="minorEastAsia"/>
          <w:lang w:eastAsia="zh-CN"/>
        </w:rPr>
      </w:pPr>
      <w:r w:rsidRPr="00463C9C">
        <w:rPr>
          <w:rFonts w:eastAsiaTheme="minorEastAsia"/>
          <w:lang w:eastAsia="zh-CN"/>
        </w:rPr>
        <w:t xml:space="preserve">Two key insights emerge from the </w:t>
      </w:r>
      <w:proofErr w:type="gramStart"/>
      <w:r w:rsidRPr="00463C9C">
        <w:rPr>
          <w:rFonts w:eastAsiaTheme="minorEastAsia"/>
          <w:lang w:eastAsia="zh-CN"/>
        </w:rPr>
        <w:t>aforementioned literature</w:t>
      </w:r>
      <w:proofErr w:type="gramEnd"/>
      <w:r w:rsidRPr="00463C9C">
        <w:rPr>
          <w:rFonts w:eastAsiaTheme="minorEastAsia"/>
          <w:lang w:eastAsia="zh-CN"/>
        </w:rPr>
        <w:t xml:space="preserve">. First, a reduced-order model, supported by CFD and standardized experiments, provides a practical and efficient basis for evaluating complex transitional phases, provided its hydrodynamic closure is consistently formulated. Second, open-frame or permeable structures exhibit additional inertia-related mechanisms due to internal water entrainment and momentum exchange, which are highly dependent on the geometry and maneuver direction. However, a critical gap </w:t>
      </w:r>
      <w:proofErr w:type="gramStart"/>
      <w:r w:rsidRPr="00463C9C">
        <w:rPr>
          <w:rFonts w:eastAsiaTheme="minorEastAsia"/>
          <w:lang w:eastAsia="zh-CN"/>
        </w:rPr>
        <w:t>remains:</w:t>
      </w:r>
      <w:proofErr w:type="gramEnd"/>
      <w:r w:rsidRPr="00463C9C">
        <w:rPr>
          <w:rFonts w:eastAsiaTheme="minorEastAsia"/>
          <w:lang w:eastAsia="zh-CN"/>
        </w:rPr>
        <w:t xml:space="preserve"> modeling the large-attitude transition of a mission-oriented miniature platform introduces unique coupled challenges. Physically, the open structure required by packaging constraints yields strong, direction-dependent inertia coupling. Methodologically, accurately capturing this phenomenon requires seamlessly integrating CFD-based static closures with experimentally identified damping parameters, while strictly avoiding the double-counting of hydrodynamic terms.</w:t>
      </w:r>
    </w:p>
    <w:p w14:paraId="7FB8CEED" w14:textId="1403A54F" w:rsidR="001C7B14" w:rsidRDefault="001C7B14" w:rsidP="00E82B65">
      <w:pPr>
        <w:pStyle w:val="a0"/>
        <w:jc w:val="both"/>
        <w:rPr>
          <w:rFonts w:eastAsiaTheme="minorEastAsia"/>
          <w:lang w:eastAsia="zh-CN"/>
        </w:rPr>
      </w:pPr>
      <w:r w:rsidRPr="001C7B14">
        <w:rPr>
          <w:rFonts w:eastAsiaTheme="minorEastAsia"/>
          <w:lang w:eastAsia="zh-CN"/>
        </w:rPr>
        <w:t>To address the above gap, this study presents a mission-oriented miniature underwater platform for corner-reflector deployment and establishes a reduced-order dynamic framework for its transition-stage motion. The platform is designed to satisfy the coupled requirements of compact storage, post-release autonomous reorientation, and subsequent deployment operation. To characterize the critical horizontal-to-vertical transition, an interpretable planar three-degree-of-freedom (3-DOF) model in surge, heave, and pitch is developed. The directional coupling between rigid-body motion and internal fluid entrainment</w:t>
      </w:r>
      <w:r w:rsidRPr="001C7B14">
        <w:rPr>
          <w:rFonts w:eastAsiaTheme="minorEastAsia" w:hint="eastAsia"/>
          <w:lang w:eastAsia="zh-CN"/>
        </w:rPr>
        <w:t xml:space="preserve"> </w:t>
      </w:r>
      <w:r w:rsidRPr="001C7B14">
        <w:rPr>
          <w:rFonts w:eastAsiaTheme="minorEastAsia"/>
          <w:lang w:eastAsia="zh-CN"/>
        </w:rPr>
        <w:t xml:space="preserve">in the open-frame configuration is represented by three bounded anisotropic permeability-corrected inertial parameters,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x</m:t>
            </m:r>
          </m:sub>
        </m:sSub>
      </m:oMath>
      <w:r w:rsidRPr="001C7B14">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z</m:t>
            </m:r>
          </m:sub>
        </m:sSub>
      </m:oMath>
      <w:r w:rsidRPr="001C7B14">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oMath>
      <w:r w:rsidRPr="001C7B14">
        <w:rPr>
          <w:rFonts w:eastAsiaTheme="minorEastAsia"/>
          <w:lang w:eastAsia="zh-CN"/>
        </w:rPr>
        <w:t>. Static hydrodynamic forces and moments are closed through CFD-derived coefficient mappings, so that geometry- and attitude-dependent quasi-static loads are incorporated explicitly without resorting to a fully CFD-resolved transient model. This treatment also prevents these contributions from being absorbed into the identification of dynamic terms, thereby reducing parameter confounding and avoiding double-counting. Rotational damping and other key dynamic terms are then identified from standardized free-d</w:t>
      </w:r>
      <w:proofErr w:type="spellStart"/>
      <w:r w:rsidRPr="001C7B14">
        <w:rPr>
          <w:rFonts w:eastAsiaTheme="minorEastAsia"/>
          <w:lang w:eastAsia="zh-CN"/>
        </w:rPr>
        <w:t>ecay</w:t>
      </w:r>
      <w:proofErr w:type="spellEnd"/>
      <w:r w:rsidRPr="001C7B14">
        <w:rPr>
          <w:rFonts w:eastAsiaTheme="minorEastAsia"/>
          <w:lang w:eastAsia="zh-CN"/>
        </w:rPr>
        <w:t xml:space="preserve"> experiments. To assess predictive capability under deployment-relevant conditions, a strict condition-level data-splitting strategy is adopted to separate calibration from out-of-sample validation. On this basis, sensitivity and parametric analyses are further conducted to delineate the feasible initial-condition range for successful transition, stabilization, and reflector deployment. Through this integrated hardware-model-experiment framework, the present study aims to bridge the gap between underwater corner-reflector payload design and deployment-stage dynamic modeling.</w:t>
      </w:r>
    </w:p>
    <w:p w14:paraId="4D5B333E" w14:textId="67032BEB" w:rsidR="00E82B65" w:rsidRPr="00E82B65" w:rsidRDefault="00E82B65" w:rsidP="00E82B65">
      <w:pPr>
        <w:pStyle w:val="a0"/>
        <w:jc w:val="both"/>
        <w:rPr>
          <w:rFonts w:eastAsiaTheme="minorEastAsia"/>
          <w:lang w:eastAsia="zh-CN"/>
        </w:rPr>
      </w:pPr>
      <w:r w:rsidRPr="00E82B65">
        <w:rPr>
          <w:rFonts w:eastAsiaTheme="minorEastAsia"/>
          <w:lang w:eastAsia="zh-CN"/>
        </w:rPr>
        <w:t>The main contributions of this work are summarized as follows:</w:t>
      </w:r>
    </w:p>
    <w:p w14:paraId="3EC9AA04" w14:textId="616FA947" w:rsidR="00E82B65" w:rsidRPr="00E82B65" w:rsidRDefault="00E82B65" w:rsidP="00E82B65">
      <w:pPr>
        <w:pStyle w:val="a0"/>
        <w:numPr>
          <w:ilvl w:val="0"/>
          <w:numId w:val="6"/>
        </w:numPr>
        <w:jc w:val="both"/>
        <w:rPr>
          <w:rFonts w:eastAsiaTheme="minorEastAsia"/>
          <w:lang w:eastAsia="zh-CN"/>
        </w:rPr>
      </w:pPr>
      <w:r w:rsidRPr="00E82B65">
        <w:rPr>
          <w:rFonts w:eastAsiaTheme="minorEastAsia"/>
          <w:lang w:eastAsia="zh-CN"/>
        </w:rPr>
        <w:t xml:space="preserve">A mission-oriented, self-suspending miniature underwater platform is designed and fabricated for underwater corner-reflector deployment, providing </w:t>
      </w:r>
      <w:r w:rsidRPr="00E82B65">
        <w:rPr>
          <w:rFonts w:eastAsiaTheme="minorEastAsia"/>
          <w:lang w:eastAsia="zh-CN"/>
        </w:rPr>
        <w:lastRenderedPageBreak/>
        <w:t>a realizable carrier solution for compact-release and post-release stabilization tasks.</w:t>
      </w:r>
    </w:p>
    <w:p w14:paraId="598C22C9" w14:textId="0500ED73" w:rsidR="00E82B65" w:rsidRPr="00E82B65" w:rsidRDefault="00E82B65" w:rsidP="00E82B65">
      <w:pPr>
        <w:pStyle w:val="a0"/>
        <w:numPr>
          <w:ilvl w:val="0"/>
          <w:numId w:val="6"/>
        </w:numPr>
        <w:jc w:val="both"/>
        <w:rPr>
          <w:rFonts w:eastAsiaTheme="minorEastAsia"/>
          <w:lang w:eastAsia="zh-CN"/>
        </w:rPr>
      </w:pPr>
      <w:r w:rsidRPr="00E82B65">
        <w:rPr>
          <w:rFonts w:eastAsiaTheme="minorEastAsia"/>
          <w:lang w:eastAsia="zh-CN"/>
        </w:rPr>
        <w:t>A planar 3-DOF dynamic model is developed for the horizontal-to-vertical transition, in which anisotropic permeability-corrected inertial parameters are introduced to capture direction-dependent internal-water coupling effects in a bounded and physically interpretable manner.</w:t>
      </w:r>
    </w:p>
    <w:p w14:paraId="701F4FDC" w14:textId="400D7412" w:rsidR="00E82B65" w:rsidRPr="00E82B65" w:rsidRDefault="00E82B65" w:rsidP="00E82B65">
      <w:pPr>
        <w:pStyle w:val="a0"/>
        <w:numPr>
          <w:ilvl w:val="0"/>
          <w:numId w:val="6"/>
        </w:numPr>
        <w:jc w:val="both"/>
        <w:rPr>
          <w:rFonts w:eastAsiaTheme="minorEastAsia"/>
          <w:lang w:eastAsia="zh-CN"/>
        </w:rPr>
      </w:pPr>
      <w:r w:rsidRPr="00E82B65">
        <w:rPr>
          <w:rFonts w:eastAsiaTheme="minorEastAsia"/>
          <w:lang w:eastAsia="zh-CN"/>
        </w:rPr>
        <w:t>CFD-derived static force and moment mappings are integrated with free-decay-based parameter identification to form a practically identifiable reduced-order model, and strict out-of-sample validation is used to evaluate predictive performance under representative release conditions.</w:t>
      </w:r>
    </w:p>
    <w:p w14:paraId="1361D02D" w14:textId="568A13EE" w:rsidR="001479BD" w:rsidRPr="001479BD" w:rsidRDefault="00E82B65" w:rsidP="001479BD">
      <w:pPr>
        <w:pStyle w:val="a0"/>
        <w:numPr>
          <w:ilvl w:val="0"/>
          <w:numId w:val="6"/>
        </w:numPr>
        <w:jc w:val="both"/>
        <w:rPr>
          <w:rFonts w:eastAsiaTheme="minorEastAsia" w:hint="eastAsia"/>
          <w:lang w:eastAsia="zh-CN"/>
        </w:rPr>
      </w:pPr>
      <w:r w:rsidRPr="00E82B65">
        <w:rPr>
          <w:rFonts w:eastAsiaTheme="minorEastAsia"/>
          <w:lang w:eastAsia="zh-CN"/>
        </w:rPr>
        <w:t>Sensitivity-based analyses are performed to determine the feasible initial-condition envelope for successful transition, providing practical guidance for deployment design and operation</w:t>
      </w:r>
      <w:r w:rsidR="001479BD">
        <w:rPr>
          <w:rFonts w:eastAsiaTheme="minorEastAsia" w:hint="eastAsia"/>
          <w:lang w:eastAsia="zh-CN"/>
        </w:rPr>
        <w:t>.</w:t>
      </w:r>
    </w:p>
    <w:p w14:paraId="4409DFDC" w14:textId="0FDC8BFB" w:rsidR="00463C9C" w:rsidRDefault="001479BD" w:rsidP="00463C9C">
      <w:pPr>
        <w:pStyle w:val="a0"/>
        <w:rPr>
          <w:rFonts w:eastAsiaTheme="minorEastAsia"/>
          <w:lang w:eastAsia="zh-CN"/>
        </w:rPr>
      </w:pPr>
      <w:r w:rsidRPr="001479BD">
        <w:rPr>
          <w:rFonts w:eastAsiaTheme="minorEastAsia" w:hint="eastAsia"/>
          <w:highlight w:val="yellow"/>
          <w:lang w:eastAsia="zh-CN"/>
        </w:rPr>
        <w:t>补充论文章节概述</w:t>
      </w:r>
    </w:p>
    <w:p w14:paraId="716E488B" w14:textId="77777777" w:rsidR="001479BD" w:rsidRPr="00463C9C" w:rsidRDefault="001479BD" w:rsidP="00463C9C">
      <w:pPr>
        <w:pStyle w:val="a0"/>
        <w:rPr>
          <w:rFonts w:eastAsiaTheme="minorEastAsia" w:hint="eastAsia"/>
          <w:lang w:eastAsia="zh-CN"/>
        </w:rPr>
      </w:pPr>
    </w:p>
    <w:p w14:paraId="5601EDD5" w14:textId="77777777" w:rsidR="001353E8" w:rsidRDefault="00074D20">
      <w:pPr>
        <w:pStyle w:val="1"/>
        <w:spacing w:before="160"/>
      </w:pPr>
      <w:bookmarkStart w:id="8" w:name="platform-design-and-implementation"/>
      <w:bookmarkEnd w:id="2"/>
      <w:r>
        <w:rPr>
          <w:rStyle w:val="SectionNumber"/>
        </w:rPr>
        <w:t>2</w:t>
      </w:r>
      <w:r>
        <w:tab/>
        <w:t>Platform Design and Implementation</w:t>
      </w:r>
    </w:p>
    <w:p w14:paraId="230DD514" w14:textId="77777777" w:rsidR="001353E8" w:rsidRDefault="00074D20">
      <w:pPr>
        <w:pStyle w:val="2"/>
      </w:pPr>
      <w:bookmarkStart w:id="9" w:name="X1a80c420a1a06f492fe784330f16677c43dca46"/>
      <w:r>
        <w:rPr>
          <w:rStyle w:val="SectionNumber"/>
        </w:rPr>
        <w:t>2.1</w:t>
      </w:r>
      <w:r>
        <w:tab/>
        <w:t>Mission Scenario and Engineering Requirements</w:t>
      </w:r>
    </w:p>
    <w:p w14:paraId="64B42BCB" w14:textId="77777777" w:rsidR="001353E8" w:rsidRDefault="00074D20">
      <w:pPr>
        <w:pStyle w:val="FirstParagraph"/>
        <w:spacing w:after="60"/>
        <w:jc w:val="both"/>
      </w:pPr>
      <w:r>
        <w:t>The platform studied in this work is developed for underwater corner-reflector deployment, where the reflector acts as a passive marker and the carrier must rapidly achieve an operational posture after release. In the considered scenario, the platform is packaged in a compact, near-horizontal configuration and released with nonzero initial velocity. The mission-critical requirement is to complete the horizontal-launch to vertical-stabilization transition reliably, because the payload can be regarded as operationally effective only after the platform reaches and maintains a near-vertical working posture.</w:t>
      </w:r>
    </w:p>
    <w:p w14:paraId="6F00E82E" w14:textId="77777777" w:rsidR="001353E8" w:rsidRDefault="00074D20">
      <w:pPr>
        <w:pStyle w:val="a0"/>
        <w:spacing w:after="60"/>
        <w:jc w:val="both"/>
      </w:pPr>
      <w:r>
        <w:t xml:space="preserve">This requirement imposes coupled constraints on the platform: the mechanical architecture and buoyancy layout must support a stable working posture, the transient response must avoid excessive overshoot and residual rate, and the design must remain compatible with practical deployment and packaging constraints. These constraints motivate treating </w:t>
      </w:r>
      <w:proofErr w:type="gramStart"/>
      <w:r>
        <w:t>the platform</w:t>
      </w:r>
      <w:proofErr w:type="gramEnd"/>
      <w:r>
        <w:t xml:space="preserve"> design and fabrication as a primary contribution and motivate an accompanying transition-focused model and evidence chain.</w:t>
      </w:r>
    </w:p>
    <w:p w14:paraId="10D819F6" w14:textId="77777777" w:rsidR="001353E8" w:rsidRDefault="00074D20">
      <w:pPr>
        <w:pStyle w:val="2"/>
      </w:pPr>
      <w:bookmarkStart w:id="10" w:name="X7de3271ab85c8ff8bc0e01ccbea6c4f28a95d05"/>
      <w:bookmarkEnd w:id="9"/>
      <w:r>
        <w:rPr>
          <w:rStyle w:val="SectionNumber"/>
        </w:rPr>
        <w:t>2.2</w:t>
      </w:r>
      <w:r>
        <w:tab/>
        <w:t>Realized Platform Architecture and Implementation</w:t>
      </w:r>
    </w:p>
    <w:p w14:paraId="4D689F8C" w14:textId="77777777" w:rsidR="001353E8" w:rsidRDefault="00074D20">
      <w:pPr>
        <w:pStyle w:val="FirstParagraph"/>
        <w:spacing w:after="60"/>
        <w:jc w:val="both"/>
      </w:pPr>
      <w:r>
        <w:t>The realized platform is a mission-oriented self-suspending system whose architecture is defined by a rigid frame, a prescribed buoyancy-center offset relative to the mass distribution, and structural features that induce inner-water coupling during large-attitude transition. The platform is designed such that the vertical working posture is a stable equilibrium under hydrostatic restoring, while the transient motion remains compatible with deployment constraints and the available actuation strategy.</w:t>
      </w:r>
    </w:p>
    <w:p w14:paraId="41BDAC01" w14:textId="77777777" w:rsidR="001353E8" w:rsidRDefault="00074D20">
      <w:pPr>
        <w:pStyle w:val="a0"/>
        <w:spacing w:after="60"/>
        <w:jc w:val="both"/>
      </w:pPr>
      <w:r>
        <w:t>A high-level representation of the hardware architecture and the deployment procedure is summarized in Fig. </w:t>
      </w:r>
      <w:hyperlink w:anchor="fig:mission-architecture">
        <w:r>
          <w:rPr>
            <w:rStyle w:val="af"/>
          </w:rPr>
          <w:t>1</w:t>
        </w:r>
      </w:hyperlink>
      <w:r>
        <w:t>. Detailed mission-sensitive operational information is intentionally abstracted, but the physical and experimental assumptions that affect the transition dynamics are stated explicitly so that the modeling and validation results remain interpretable and reproducible.</w:t>
      </w:r>
    </w:p>
    <w:p w14:paraId="247C7CA7" w14:textId="77777777" w:rsidR="001353E8" w:rsidRDefault="00074D20">
      <w:pPr>
        <w:pStyle w:val="a0"/>
        <w:spacing w:after="60"/>
        <w:jc w:val="both"/>
      </w:pPr>
      <w:r>
        <w:t>Mission-oriented platform architecture and deployment procedure.</w:t>
      </w:r>
    </w:p>
    <w:p w14:paraId="56C6E7C9" w14:textId="77777777" w:rsidR="001353E8" w:rsidRDefault="00074D20">
      <w:pPr>
        <w:pStyle w:val="2"/>
      </w:pPr>
      <w:bookmarkStart w:id="11" w:name="X548b5dab52ce72f28ee8ba38996e191e4b24d57"/>
      <w:bookmarkEnd w:id="10"/>
      <w:r>
        <w:rPr>
          <w:rStyle w:val="SectionNumber"/>
        </w:rPr>
        <w:t>2.3</w:t>
      </w:r>
      <w:r>
        <w:tab/>
        <w:t>Mass–Buoyancy Arrangement and Self-Suspending Mechanism</w:t>
      </w:r>
    </w:p>
    <w:p w14:paraId="27B6F10C" w14:textId="77777777" w:rsidR="001353E8" w:rsidRDefault="00074D20">
      <w:pPr>
        <w:pStyle w:val="FirstParagraph"/>
        <w:spacing w:after="60"/>
        <w:jc w:val="both"/>
      </w:pPr>
      <w:r>
        <w:t>The self-suspending behavior is achieved through the relative placement of the centers of buoyancy and gravity, which generates a restoring moment that drives the platform toward the working posture. For the nominal configuration used throughout this paper, the baseline physical parameters are summarized in Table </w:t>
      </w:r>
      <w:hyperlink w:anchor="tab:baseline-params">
        <w:r>
          <w:rPr>
            <w:rStyle w:val="af"/>
          </w:rPr>
          <w:t>1</w:t>
        </w:r>
      </w:hyperlink>
      <w:r>
        <w:t>.</w:t>
      </w:r>
    </w:p>
    <w:p w14:paraId="304A29D5" w14:textId="77777777" w:rsidR="001353E8" w:rsidRDefault="00074D20">
      <w:pPr>
        <w:pStyle w:val="TableCaption"/>
        <w:spacing w:after="40"/>
        <w:jc w:val="both"/>
      </w:pPr>
      <w:bookmarkStart w:id="12" w:name="tab:baseline-params"/>
      <w:r>
        <w:t>Baseline physical parameters of the realized platform.</w:t>
      </w:r>
    </w:p>
    <w:tbl>
      <w:tblPr>
        <w:tblStyle w:val="Table"/>
        <w:tblW w:w="0" w:type="auto"/>
        <w:jc w:val="center"/>
        <w:tblLook w:val="0020" w:firstRow="1" w:lastRow="0" w:firstColumn="0" w:lastColumn="0" w:noHBand="0" w:noVBand="0"/>
      </w:tblPr>
      <w:tblGrid>
        <w:gridCol w:w="2445"/>
        <w:gridCol w:w="1079"/>
        <w:gridCol w:w="939"/>
        <w:gridCol w:w="643"/>
      </w:tblGrid>
      <w:tr w:rsidR="001353E8" w14:paraId="756223E9" w14:textId="77777777" w:rsidTr="001353E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833AD5E" w14:textId="77777777" w:rsidR="001353E8" w:rsidRDefault="00074D20">
            <w:pPr>
              <w:pStyle w:val="Compact"/>
              <w:spacing w:after="0"/>
            </w:pPr>
            <w:r>
              <w:t>Parameter</w:t>
            </w:r>
          </w:p>
        </w:tc>
        <w:tc>
          <w:tcPr>
            <w:tcW w:w="0" w:type="auto"/>
          </w:tcPr>
          <w:p w14:paraId="618EB295" w14:textId="77777777" w:rsidR="001353E8" w:rsidRDefault="00074D20">
            <w:pPr>
              <w:pStyle w:val="Compact"/>
              <w:spacing w:after="0"/>
            </w:pPr>
            <w:r>
              <w:t>Symbol</w:t>
            </w:r>
          </w:p>
        </w:tc>
        <w:tc>
          <w:tcPr>
            <w:tcW w:w="0" w:type="auto"/>
          </w:tcPr>
          <w:p w14:paraId="3A65EA40" w14:textId="77777777" w:rsidR="001353E8" w:rsidRDefault="00074D20">
            <w:pPr>
              <w:pStyle w:val="Compact"/>
              <w:spacing w:after="0"/>
            </w:pPr>
            <w:r>
              <w:t>Value</w:t>
            </w:r>
          </w:p>
        </w:tc>
        <w:tc>
          <w:tcPr>
            <w:tcW w:w="0" w:type="auto"/>
          </w:tcPr>
          <w:p w14:paraId="72D87735" w14:textId="77777777" w:rsidR="001353E8" w:rsidRDefault="00074D20">
            <w:pPr>
              <w:pStyle w:val="Compact"/>
              <w:spacing w:after="0"/>
            </w:pPr>
            <w:r>
              <w:t>Unit</w:t>
            </w:r>
          </w:p>
        </w:tc>
      </w:tr>
      <w:tr w:rsidR="001353E8" w14:paraId="5ACE658F" w14:textId="77777777">
        <w:trPr>
          <w:jc w:val="center"/>
        </w:trPr>
        <w:tc>
          <w:tcPr>
            <w:tcW w:w="0" w:type="auto"/>
          </w:tcPr>
          <w:p w14:paraId="5108A4FE" w14:textId="77777777" w:rsidR="001353E8" w:rsidRDefault="00074D20">
            <w:pPr>
              <w:pStyle w:val="Compact"/>
              <w:spacing w:after="0"/>
            </w:pPr>
            <w:r>
              <w:t>Water density</w:t>
            </w:r>
          </w:p>
        </w:tc>
        <w:tc>
          <w:tcPr>
            <w:tcW w:w="0" w:type="auto"/>
          </w:tcPr>
          <w:p w14:paraId="53AE8E25" w14:textId="77777777" w:rsidR="001353E8" w:rsidRDefault="00074D20">
            <w:pPr>
              <w:pStyle w:val="Compact"/>
              <w:spacing w:after="0"/>
            </w:pPr>
            <m:oMathPara>
              <m:oMath>
                <m:r>
                  <w:rPr>
                    <w:rFonts w:ascii="Cambria Math" w:hAnsi="Cambria Math"/>
                  </w:rPr>
                  <m:t>ρ</m:t>
                </m:r>
              </m:oMath>
            </m:oMathPara>
          </w:p>
        </w:tc>
        <w:tc>
          <w:tcPr>
            <w:tcW w:w="0" w:type="auto"/>
          </w:tcPr>
          <w:p w14:paraId="6A901487" w14:textId="77777777" w:rsidR="001353E8" w:rsidRDefault="00074D20">
            <w:pPr>
              <w:pStyle w:val="Compact"/>
              <w:spacing w:after="0"/>
            </w:pPr>
            <w:r>
              <w:t>997.561</w:t>
            </w:r>
          </w:p>
        </w:tc>
        <w:tc>
          <w:tcPr>
            <w:tcW w:w="0" w:type="auto"/>
          </w:tcPr>
          <w:p w14:paraId="34707F3F" w14:textId="77777777" w:rsidR="001353E8" w:rsidRDefault="00074D20">
            <w:pPr>
              <w:pStyle w:val="Compact"/>
              <w:spacing w:after="0"/>
            </w:pPr>
            <w:r>
              <w:t>kg/m</w:t>
            </w:r>
            <m:oMath>
              <m:sSup>
                <m:sSupPr>
                  <m:ctrlPr>
                    <w:rPr>
                      <w:rFonts w:ascii="Cambria Math" w:hAnsi="Cambria Math"/>
                    </w:rPr>
                  </m:ctrlPr>
                </m:sSupPr>
                <m:e>
                  <m:r>
                    <w:rPr>
                      <w:rFonts w:ascii="Cambria Math" w:hAnsi="Cambria Math"/>
                    </w:rPr>
                    <m:t>​</m:t>
                  </m:r>
                </m:e>
                <m:sup>
                  <m:r>
                    <w:rPr>
                      <w:rFonts w:ascii="Cambria Math" w:hAnsi="Cambria Math"/>
                    </w:rPr>
                    <m:t>3</m:t>
                  </m:r>
                </m:sup>
              </m:sSup>
            </m:oMath>
          </w:p>
        </w:tc>
      </w:tr>
      <w:tr w:rsidR="001353E8" w14:paraId="01EDA567" w14:textId="77777777">
        <w:trPr>
          <w:jc w:val="center"/>
        </w:trPr>
        <w:tc>
          <w:tcPr>
            <w:tcW w:w="0" w:type="auto"/>
          </w:tcPr>
          <w:p w14:paraId="3B1AF857" w14:textId="77777777" w:rsidR="001353E8" w:rsidRDefault="00074D20">
            <w:pPr>
              <w:pStyle w:val="Compact"/>
              <w:spacing w:after="0"/>
            </w:pPr>
            <w:r>
              <w:t>Reference area</w:t>
            </w:r>
          </w:p>
        </w:tc>
        <w:tc>
          <w:tcPr>
            <w:tcW w:w="0" w:type="auto"/>
          </w:tcPr>
          <w:p w14:paraId="14B5EFD5" w14:textId="77777777" w:rsidR="001353E8" w:rsidRDefault="00000000">
            <w:pPr>
              <w:pStyle w:val="Compact"/>
              <w:spacing w:after="0"/>
            </w:pPr>
            <m:oMathPara>
              <m:oMath>
                <m:sSub>
                  <m:sSubPr>
                    <m:ctrlPr>
                      <w:rPr>
                        <w:rFonts w:ascii="Cambria Math" w:hAnsi="Cambria Math"/>
                      </w:rPr>
                    </m:ctrlPr>
                  </m:sSubPr>
                  <m:e>
                    <m:r>
                      <w:rPr>
                        <w:rFonts w:ascii="Cambria Math" w:hAnsi="Cambria Math"/>
                      </w:rPr>
                      <m:t>A</m:t>
                    </m:r>
                  </m:e>
                  <m:sub>
                    <m:r>
                      <w:rPr>
                        <w:rFonts w:ascii="Cambria Math" w:hAnsi="Cambria Math"/>
                      </w:rPr>
                      <m:t>ref</m:t>
                    </m:r>
                  </m:sub>
                </m:sSub>
              </m:oMath>
            </m:oMathPara>
          </w:p>
        </w:tc>
        <w:tc>
          <w:tcPr>
            <w:tcW w:w="0" w:type="auto"/>
          </w:tcPr>
          <w:p w14:paraId="22BE8A22" w14:textId="77777777" w:rsidR="001353E8" w:rsidRDefault="00074D20">
            <w:pPr>
              <w:pStyle w:val="Compact"/>
              <w:spacing w:after="0"/>
            </w:pPr>
            <w:r>
              <w:t>0.0056745</w:t>
            </w:r>
          </w:p>
        </w:tc>
        <w:tc>
          <w:tcPr>
            <w:tcW w:w="0" w:type="auto"/>
          </w:tcPr>
          <w:p w14:paraId="02C60655" w14:textId="77777777" w:rsidR="001353E8" w:rsidRDefault="00074D20">
            <w:pPr>
              <w:pStyle w:val="Compact"/>
              <w:spacing w:after="0"/>
            </w:pPr>
            <w:r>
              <w:t>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1353E8" w14:paraId="0C3C0C59" w14:textId="77777777">
        <w:trPr>
          <w:jc w:val="center"/>
        </w:trPr>
        <w:tc>
          <w:tcPr>
            <w:tcW w:w="0" w:type="auto"/>
          </w:tcPr>
          <w:p w14:paraId="14EF0E94" w14:textId="77777777" w:rsidR="001353E8" w:rsidRDefault="00074D20">
            <w:pPr>
              <w:pStyle w:val="Compact"/>
              <w:spacing w:after="0"/>
            </w:pPr>
            <w:r>
              <w:t>Reference length</w:t>
            </w:r>
          </w:p>
        </w:tc>
        <w:tc>
          <w:tcPr>
            <w:tcW w:w="0" w:type="auto"/>
          </w:tcPr>
          <w:p w14:paraId="320F0A0B" w14:textId="77777777" w:rsidR="001353E8" w:rsidRDefault="00000000">
            <w:pPr>
              <w:pStyle w:val="Compact"/>
              <w:spacing w:after="0"/>
            </w:pPr>
            <m:oMathPara>
              <m:oMath>
                <m:sSub>
                  <m:sSubPr>
                    <m:ctrlPr>
                      <w:rPr>
                        <w:rFonts w:ascii="Cambria Math" w:hAnsi="Cambria Math"/>
                      </w:rPr>
                    </m:ctrlPr>
                  </m:sSubPr>
                  <m:e>
                    <m:r>
                      <w:rPr>
                        <w:rFonts w:ascii="Cambria Math" w:hAnsi="Cambria Math"/>
                      </w:rPr>
                      <m:t>L</m:t>
                    </m:r>
                  </m:e>
                  <m:sub>
                    <m:r>
                      <w:rPr>
                        <w:rFonts w:ascii="Cambria Math" w:hAnsi="Cambria Math"/>
                      </w:rPr>
                      <m:t>ref</m:t>
                    </m:r>
                  </m:sub>
                </m:sSub>
              </m:oMath>
            </m:oMathPara>
          </w:p>
        </w:tc>
        <w:tc>
          <w:tcPr>
            <w:tcW w:w="0" w:type="auto"/>
          </w:tcPr>
          <w:p w14:paraId="060128C0" w14:textId="77777777" w:rsidR="001353E8" w:rsidRDefault="00074D20">
            <w:pPr>
              <w:pStyle w:val="Compact"/>
              <w:spacing w:after="0"/>
            </w:pPr>
            <w:r>
              <w:t>0.625</w:t>
            </w:r>
          </w:p>
        </w:tc>
        <w:tc>
          <w:tcPr>
            <w:tcW w:w="0" w:type="auto"/>
          </w:tcPr>
          <w:p w14:paraId="75850C76" w14:textId="77777777" w:rsidR="001353E8" w:rsidRDefault="00074D20">
            <w:pPr>
              <w:pStyle w:val="Compact"/>
              <w:spacing w:after="0"/>
            </w:pPr>
            <w:r>
              <w:t>m</w:t>
            </w:r>
          </w:p>
        </w:tc>
      </w:tr>
      <w:tr w:rsidR="001353E8" w14:paraId="0CA6B1DD" w14:textId="77777777">
        <w:trPr>
          <w:jc w:val="center"/>
        </w:trPr>
        <w:tc>
          <w:tcPr>
            <w:tcW w:w="0" w:type="auto"/>
          </w:tcPr>
          <w:p w14:paraId="76B26102" w14:textId="77777777" w:rsidR="001353E8" w:rsidRDefault="00074D20">
            <w:pPr>
              <w:pStyle w:val="Compact"/>
              <w:spacing w:after="0"/>
            </w:pPr>
            <w:r>
              <w:t>Dry mass</w:t>
            </w:r>
          </w:p>
        </w:tc>
        <w:tc>
          <w:tcPr>
            <w:tcW w:w="0" w:type="auto"/>
          </w:tcPr>
          <w:p w14:paraId="34409026" w14:textId="77777777" w:rsidR="001353E8" w:rsidRDefault="00000000">
            <w:pPr>
              <w:pStyle w:val="Compact"/>
              <w:spacing w:after="0"/>
            </w:pPr>
            <m:oMathPara>
              <m:oMath>
                <m:sSub>
                  <m:sSubPr>
                    <m:ctrlPr>
                      <w:rPr>
                        <w:rFonts w:ascii="Cambria Math" w:hAnsi="Cambria Math"/>
                      </w:rPr>
                    </m:ctrlPr>
                  </m:sSubPr>
                  <m:e>
                    <m:r>
                      <w:rPr>
                        <w:rFonts w:ascii="Cambria Math" w:hAnsi="Cambria Math"/>
                      </w:rPr>
                      <m:t>m</m:t>
                    </m:r>
                  </m:e>
                  <m:sub>
                    <m:r>
                      <w:rPr>
                        <w:rFonts w:ascii="Cambria Math" w:hAnsi="Cambria Math"/>
                      </w:rPr>
                      <m:t>dry</m:t>
                    </m:r>
                  </m:sub>
                </m:sSub>
              </m:oMath>
            </m:oMathPara>
          </w:p>
        </w:tc>
        <w:tc>
          <w:tcPr>
            <w:tcW w:w="0" w:type="auto"/>
          </w:tcPr>
          <w:p w14:paraId="2BE6D68D" w14:textId="77777777" w:rsidR="001353E8" w:rsidRDefault="00074D20">
            <w:pPr>
              <w:pStyle w:val="Compact"/>
              <w:spacing w:after="0"/>
            </w:pPr>
            <w:r>
              <w:t>2.55</w:t>
            </w:r>
          </w:p>
        </w:tc>
        <w:tc>
          <w:tcPr>
            <w:tcW w:w="0" w:type="auto"/>
          </w:tcPr>
          <w:p w14:paraId="51C1A368" w14:textId="77777777" w:rsidR="001353E8" w:rsidRDefault="00074D20">
            <w:pPr>
              <w:pStyle w:val="Compact"/>
              <w:spacing w:after="0"/>
            </w:pPr>
            <w:r>
              <w:t>kg</w:t>
            </w:r>
          </w:p>
        </w:tc>
      </w:tr>
      <w:tr w:rsidR="001353E8" w14:paraId="6F449835" w14:textId="77777777">
        <w:trPr>
          <w:jc w:val="center"/>
        </w:trPr>
        <w:tc>
          <w:tcPr>
            <w:tcW w:w="0" w:type="auto"/>
          </w:tcPr>
          <w:p w14:paraId="72022008" w14:textId="77777777" w:rsidR="001353E8" w:rsidRDefault="00074D20">
            <w:pPr>
              <w:pStyle w:val="Compact"/>
              <w:spacing w:after="0"/>
            </w:pPr>
            <w:r>
              <w:t>Wet mass</w:t>
            </w:r>
          </w:p>
        </w:tc>
        <w:tc>
          <w:tcPr>
            <w:tcW w:w="0" w:type="auto"/>
          </w:tcPr>
          <w:p w14:paraId="5693CE50" w14:textId="77777777" w:rsidR="001353E8" w:rsidRDefault="00000000">
            <w:pPr>
              <w:pStyle w:val="Compact"/>
              <w:spacing w:after="0"/>
            </w:pPr>
            <m:oMathPara>
              <m:oMath>
                <m:sSub>
                  <m:sSubPr>
                    <m:ctrlPr>
                      <w:rPr>
                        <w:rFonts w:ascii="Cambria Math" w:hAnsi="Cambria Math"/>
                      </w:rPr>
                    </m:ctrlPr>
                  </m:sSubPr>
                  <m:e>
                    <m:r>
                      <w:rPr>
                        <w:rFonts w:ascii="Cambria Math" w:hAnsi="Cambria Math"/>
                      </w:rPr>
                      <m:t>m</m:t>
                    </m:r>
                  </m:e>
                  <m:sub>
                    <m:r>
                      <w:rPr>
                        <w:rFonts w:ascii="Cambria Math" w:hAnsi="Cambria Math"/>
                      </w:rPr>
                      <m:t>wet</m:t>
                    </m:r>
                  </m:sub>
                </m:sSub>
              </m:oMath>
            </m:oMathPara>
          </w:p>
        </w:tc>
        <w:tc>
          <w:tcPr>
            <w:tcW w:w="0" w:type="auto"/>
          </w:tcPr>
          <w:p w14:paraId="7F5EB331" w14:textId="77777777" w:rsidR="001353E8" w:rsidRDefault="00074D20">
            <w:pPr>
              <w:pStyle w:val="Compact"/>
              <w:spacing w:after="0"/>
            </w:pPr>
            <w:r>
              <w:t>2.76</w:t>
            </w:r>
          </w:p>
        </w:tc>
        <w:tc>
          <w:tcPr>
            <w:tcW w:w="0" w:type="auto"/>
          </w:tcPr>
          <w:p w14:paraId="6F0D60B9" w14:textId="77777777" w:rsidR="001353E8" w:rsidRDefault="00074D20">
            <w:pPr>
              <w:pStyle w:val="Compact"/>
              <w:spacing w:after="0"/>
            </w:pPr>
            <w:r>
              <w:t>kg</w:t>
            </w:r>
          </w:p>
        </w:tc>
      </w:tr>
      <w:tr w:rsidR="001353E8" w14:paraId="3273D006" w14:textId="77777777">
        <w:trPr>
          <w:jc w:val="center"/>
        </w:trPr>
        <w:tc>
          <w:tcPr>
            <w:tcW w:w="0" w:type="auto"/>
          </w:tcPr>
          <w:p w14:paraId="359024F6" w14:textId="77777777" w:rsidR="001353E8" w:rsidRDefault="00074D20">
            <w:pPr>
              <w:pStyle w:val="Compact"/>
              <w:spacing w:after="0"/>
            </w:pPr>
            <w:r>
              <w:t>Inner-water equivalent mass</w:t>
            </w:r>
          </w:p>
        </w:tc>
        <w:tc>
          <w:tcPr>
            <w:tcW w:w="0" w:type="auto"/>
          </w:tcPr>
          <w:p w14:paraId="75E6C702" w14:textId="77777777" w:rsidR="001353E8" w:rsidRDefault="00000000">
            <w:pPr>
              <w:pStyle w:val="Compact"/>
              <w:spacing w:after="0"/>
            </w:pPr>
            <m:oMathPara>
              <m:oMath>
                <m:sSub>
                  <m:sSubPr>
                    <m:ctrlPr>
                      <w:rPr>
                        <w:rFonts w:ascii="Cambria Math" w:hAnsi="Cambria Math"/>
                      </w:rPr>
                    </m:ctrlPr>
                  </m:sSubPr>
                  <m:e>
                    <m:r>
                      <w:rPr>
                        <w:rFonts w:ascii="Cambria Math" w:hAnsi="Cambria Math"/>
                      </w:rPr>
                      <m:t>m</m:t>
                    </m:r>
                  </m:e>
                  <m:sub>
                    <m:r>
                      <w:rPr>
                        <w:rFonts w:ascii="Cambria Math" w:hAnsi="Cambria Math"/>
                      </w:rPr>
                      <m:t>water</m:t>
                    </m:r>
                    <m:r>
                      <m:rPr>
                        <m:sty m:val="p"/>
                      </m:rPr>
                      <w:rPr>
                        <w:rFonts w:ascii="Cambria Math" w:hAnsi="Cambria Math"/>
                      </w:rPr>
                      <m:t>,</m:t>
                    </m:r>
                    <m:r>
                      <w:rPr>
                        <w:rFonts w:ascii="Cambria Math" w:hAnsi="Cambria Math"/>
                      </w:rPr>
                      <m:t>inner</m:t>
                    </m:r>
                  </m:sub>
                </m:sSub>
              </m:oMath>
            </m:oMathPara>
          </w:p>
        </w:tc>
        <w:tc>
          <w:tcPr>
            <w:tcW w:w="0" w:type="auto"/>
          </w:tcPr>
          <w:p w14:paraId="316D892B" w14:textId="77777777" w:rsidR="001353E8" w:rsidRDefault="00074D20">
            <w:pPr>
              <w:pStyle w:val="Compact"/>
              <w:spacing w:after="0"/>
            </w:pPr>
            <w:r>
              <w:t>0.21</w:t>
            </w:r>
          </w:p>
        </w:tc>
        <w:tc>
          <w:tcPr>
            <w:tcW w:w="0" w:type="auto"/>
          </w:tcPr>
          <w:p w14:paraId="523410C2" w14:textId="77777777" w:rsidR="001353E8" w:rsidRDefault="00074D20">
            <w:pPr>
              <w:pStyle w:val="Compact"/>
              <w:spacing w:after="0"/>
            </w:pPr>
            <w:r>
              <w:t>kg</w:t>
            </w:r>
          </w:p>
        </w:tc>
      </w:tr>
      <w:tr w:rsidR="001353E8" w14:paraId="01E98464" w14:textId="77777777">
        <w:trPr>
          <w:jc w:val="center"/>
        </w:trPr>
        <w:tc>
          <w:tcPr>
            <w:tcW w:w="0" w:type="auto"/>
          </w:tcPr>
          <w:p w14:paraId="20003F16" w14:textId="77777777" w:rsidR="001353E8" w:rsidRDefault="00074D20">
            <w:pPr>
              <w:pStyle w:val="Compact"/>
              <w:spacing w:after="0"/>
            </w:pPr>
            <w:r>
              <w:t>Pitch inertia</w:t>
            </w:r>
          </w:p>
        </w:tc>
        <w:tc>
          <w:tcPr>
            <w:tcW w:w="0" w:type="auto"/>
          </w:tcPr>
          <w:p w14:paraId="4480FEB7" w14:textId="77777777" w:rsidR="001353E8" w:rsidRDefault="00000000">
            <w:pPr>
              <w:pStyle w:val="Compact"/>
              <w:spacing w:after="0"/>
            </w:pPr>
            <m:oMathPara>
              <m:oMath>
                <m:sSub>
                  <m:sSubPr>
                    <m:ctrlPr>
                      <w:rPr>
                        <w:rFonts w:ascii="Cambria Math" w:hAnsi="Cambria Math"/>
                      </w:rPr>
                    </m:ctrlPr>
                  </m:sSubPr>
                  <m:e>
                    <m:r>
                      <w:rPr>
                        <w:rFonts w:ascii="Cambria Math" w:hAnsi="Cambria Math"/>
                      </w:rPr>
                      <m:t>I</m:t>
                    </m:r>
                  </m:e>
                  <m:sub>
                    <m:r>
                      <w:rPr>
                        <w:rFonts w:ascii="Cambria Math" w:hAnsi="Cambria Math"/>
                      </w:rPr>
                      <m:t>yy</m:t>
                    </m:r>
                  </m:sub>
                </m:sSub>
              </m:oMath>
            </m:oMathPara>
          </w:p>
        </w:tc>
        <w:tc>
          <w:tcPr>
            <w:tcW w:w="0" w:type="auto"/>
          </w:tcPr>
          <w:p w14:paraId="23B89683" w14:textId="77777777" w:rsidR="001353E8" w:rsidRDefault="00074D20">
            <w:pPr>
              <w:pStyle w:val="Compact"/>
              <w:spacing w:after="0"/>
            </w:pPr>
            <w:r>
              <w:t>0.05741</w:t>
            </w:r>
          </w:p>
        </w:tc>
        <w:tc>
          <w:tcPr>
            <w:tcW w:w="0" w:type="auto"/>
          </w:tcPr>
          <w:p w14:paraId="7B72E5DF" w14:textId="77777777" w:rsidR="001353E8" w:rsidRDefault="00074D20">
            <w:pPr>
              <w:pStyle w:val="Compact"/>
              <w:spacing w:after="0"/>
            </w:pPr>
            <w:r>
              <w:t>kg</w:t>
            </w:r>
            <m:oMath>
              <m:r>
                <m:rPr>
                  <m:sty m:val="p"/>
                </m:rPr>
                <w:rPr>
                  <w:rFonts w:ascii="Cambria Math" w:hAnsi="Cambria Math"/>
                </w:rPr>
                <m:t>⋅</m:t>
              </m:r>
            </m:oMath>
            <w:r>
              <w:t>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1353E8" w14:paraId="1A0FF93E" w14:textId="77777777">
        <w:trPr>
          <w:jc w:val="center"/>
        </w:trPr>
        <w:tc>
          <w:tcPr>
            <w:tcW w:w="0" w:type="auto"/>
          </w:tcPr>
          <w:p w14:paraId="7688A4DA" w14:textId="77777777" w:rsidR="001353E8" w:rsidRDefault="00074D20">
            <w:pPr>
              <w:pStyle w:val="Compact"/>
              <w:spacing w:after="0"/>
            </w:pPr>
            <w:r>
              <w:t>Inner-water equivalent pitch inertia</w:t>
            </w:r>
          </w:p>
        </w:tc>
        <w:tc>
          <w:tcPr>
            <w:tcW w:w="0" w:type="auto"/>
          </w:tcPr>
          <w:p w14:paraId="732925B2" w14:textId="77777777" w:rsidR="001353E8" w:rsidRDefault="00000000">
            <w:pPr>
              <w:pStyle w:val="Compact"/>
              <w:spacing w:after="0"/>
            </w:pPr>
            <m:oMathPara>
              <m:oMath>
                <m:sSub>
                  <m:sSubPr>
                    <m:ctrlPr>
                      <w:rPr>
                        <w:rFonts w:ascii="Cambria Math" w:hAnsi="Cambria Math"/>
                      </w:rPr>
                    </m:ctrlPr>
                  </m:sSubPr>
                  <m:e>
                    <m:r>
                      <w:rPr>
                        <w:rFonts w:ascii="Cambria Math" w:hAnsi="Cambria Math"/>
                      </w:rPr>
                      <m:t>I</m:t>
                    </m:r>
                  </m:e>
                  <m:sub>
                    <m:r>
                      <w:rPr>
                        <w:rFonts w:ascii="Cambria Math" w:hAnsi="Cambria Math"/>
                      </w:rPr>
                      <m:t>water</m:t>
                    </m:r>
                    <m:r>
                      <m:rPr>
                        <m:sty m:val="p"/>
                      </m:rPr>
                      <w:rPr>
                        <w:rFonts w:ascii="Cambria Math" w:hAnsi="Cambria Math"/>
                      </w:rPr>
                      <m:t>,</m:t>
                    </m:r>
                    <m:r>
                      <w:rPr>
                        <w:rFonts w:ascii="Cambria Math" w:hAnsi="Cambria Math"/>
                      </w:rPr>
                      <m:t>inner</m:t>
                    </m:r>
                  </m:sub>
                </m:sSub>
              </m:oMath>
            </m:oMathPara>
          </w:p>
        </w:tc>
        <w:tc>
          <w:tcPr>
            <w:tcW w:w="0" w:type="auto"/>
          </w:tcPr>
          <w:p w14:paraId="0C98212B" w14:textId="77777777" w:rsidR="001353E8" w:rsidRDefault="00074D20">
            <w:pPr>
              <w:pStyle w:val="Compact"/>
              <w:spacing w:after="0"/>
            </w:pPr>
            <w:r>
              <w:t>0.01119</w:t>
            </w:r>
          </w:p>
        </w:tc>
        <w:tc>
          <w:tcPr>
            <w:tcW w:w="0" w:type="auto"/>
          </w:tcPr>
          <w:p w14:paraId="433D19B4" w14:textId="77777777" w:rsidR="001353E8" w:rsidRDefault="00074D20">
            <w:pPr>
              <w:pStyle w:val="Compact"/>
              <w:spacing w:after="0"/>
            </w:pPr>
            <w:r>
              <w:t>kg</w:t>
            </w:r>
            <m:oMath>
              <m:r>
                <m:rPr>
                  <m:sty m:val="p"/>
                </m:rPr>
                <w:rPr>
                  <w:rFonts w:ascii="Cambria Math" w:hAnsi="Cambria Math"/>
                </w:rPr>
                <m:t>⋅</m:t>
              </m:r>
            </m:oMath>
            <w:r>
              <w:t>m</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1353E8" w14:paraId="32689B64" w14:textId="77777777">
        <w:trPr>
          <w:jc w:val="center"/>
        </w:trPr>
        <w:tc>
          <w:tcPr>
            <w:tcW w:w="0" w:type="auto"/>
          </w:tcPr>
          <w:p w14:paraId="71D973BF" w14:textId="77777777" w:rsidR="001353E8" w:rsidRDefault="00074D20">
            <w:pPr>
              <w:pStyle w:val="Compact"/>
              <w:spacing w:after="0"/>
            </w:pPr>
            <w:r>
              <w:t>Buoyancy equivalent mass</w:t>
            </w:r>
          </w:p>
        </w:tc>
        <w:tc>
          <w:tcPr>
            <w:tcW w:w="0" w:type="auto"/>
          </w:tcPr>
          <w:p w14:paraId="3E3A5761" w14:textId="77777777" w:rsidR="001353E8" w:rsidRDefault="00000000">
            <w:pPr>
              <w:pStyle w:val="Compact"/>
              <w:spacing w:after="0"/>
            </w:pPr>
            <m:oMathPara>
              <m:oMath>
                <m:sSub>
                  <m:sSubPr>
                    <m:ctrlPr>
                      <w:rPr>
                        <w:rFonts w:ascii="Cambria Math" w:hAnsi="Cambria Math"/>
                      </w:rPr>
                    </m:ctrlPr>
                  </m:sSubPr>
                  <m:e>
                    <m:r>
                      <w:rPr>
                        <w:rFonts w:ascii="Cambria Math" w:hAnsi="Cambria Math"/>
                      </w:rPr>
                      <m:t>B</m:t>
                    </m:r>
                  </m:e>
                  <m:sub>
                    <m:r>
                      <w:rPr>
                        <w:rFonts w:ascii="Cambria Math" w:hAnsi="Cambria Math"/>
                      </w:rPr>
                      <m:t>mass</m:t>
                    </m:r>
                  </m:sub>
                </m:sSub>
              </m:oMath>
            </m:oMathPara>
          </w:p>
        </w:tc>
        <w:tc>
          <w:tcPr>
            <w:tcW w:w="0" w:type="auto"/>
          </w:tcPr>
          <w:p w14:paraId="5F36FAC7" w14:textId="77777777" w:rsidR="001353E8" w:rsidRDefault="00074D20">
            <w:pPr>
              <w:pStyle w:val="Compact"/>
              <w:spacing w:after="0"/>
            </w:pPr>
            <w:r>
              <w:t>2.55</w:t>
            </w:r>
          </w:p>
        </w:tc>
        <w:tc>
          <w:tcPr>
            <w:tcW w:w="0" w:type="auto"/>
          </w:tcPr>
          <w:p w14:paraId="5B3F9CA0" w14:textId="77777777" w:rsidR="001353E8" w:rsidRDefault="00074D20">
            <w:pPr>
              <w:pStyle w:val="Compact"/>
              <w:spacing w:after="0"/>
            </w:pPr>
            <w:r>
              <w:t>kg</w:t>
            </w:r>
          </w:p>
        </w:tc>
      </w:tr>
      <w:tr w:rsidR="001353E8" w14:paraId="676FE252" w14:textId="77777777">
        <w:trPr>
          <w:jc w:val="center"/>
        </w:trPr>
        <w:tc>
          <w:tcPr>
            <w:tcW w:w="0" w:type="auto"/>
          </w:tcPr>
          <w:p w14:paraId="721E0911" w14:textId="77777777" w:rsidR="001353E8" w:rsidRDefault="00074D20">
            <w:pPr>
              <w:pStyle w:val="Compact"/>
              <w:spacing w:after="0"/>
            </w:pPr>
            <w:r>
              <w:t>Buoyancy offset (body frame)</w:t>
            </w:r>
          </w:p>
        </w:tc>
        <w:tc>
          <w:tcPr>
            <w:tcW w:w="0" w:type="auto"/>
          </w:tcPr>
          <w:p w14:paraId="054EC4CB" w14:textId="77777777" w:rsidR="001353E8" w:rsidRDefault="00000000">
            <w:pPr>
              <w:pStyle w:val="Compact"/>
              <w:spacing w:after="0"/>
            </w:pPr>
            <m:oMathPara>
              <m:oMath>
                <m:sSub>
                  <m:sSubPr>
                    <m:ctrlPr>
                      <w:rPr>
                        <w:rFonts w:ascii="Cambria Math" w:hAnsi="Cambria Math"/>
                      </w:rPr>
                    </m:ctrlPr>
                  </m:sSubPr>
                  <m:e>
                    <m:r>
                      <w:rPr>
                        <w:rFonts w:ascii="Cambria Math" w:hAnsi="Cambria Math"/>
                      </w:rPr>
                      <m:t>x</m:t>
                    </m:r>
                  </m:e>
                  <m:sub>
                    <m:r>
                      <w:rPr>
                        <w:rFonts w:ascii="Cambria Math" w:hAnsi="Cambria Math"/>
                      </w:rPr>
                      <m:t>b</m:t>
                    </m:r>
                  </m:sub>
                </m:sSub>
              </m:oMath>
            </m:oMathPara>
          </w:p>
        </w:tc>
        <w:tc>
          <w:tcPr>
            <w:tcW w:w="0" w:type="auto"/>
          </w:tcPr>
          <w:p w14:paraId="39E05DB6" w14:textId="77777777" w:rsidR="001353E8" w:rsidRDefault="00074D20">
            <w:pPr>
              <w:pStyle w:val="Compact"/>
              <w:spacing w:after="0"/>
            </w:pPr>
            <w:r>
              <w:t>0.02535</w:t>
            </w:r>
          </w:p>
        </w:tc>
        <w:tc>
          <w:tcPr>
            <w:tcW w:w="0" w:type="auto"/>
          </w:tcPr>
          <w:p w14:paraId="6F77F145" w14:textId="77777777" w:rsidR="001353E8" w:rsidRDefault="00074D20">
            <w:pPr>
              <w:pStyle w:val="Compact"/>
              <w:spacing w:after="0"/>
            </w:pPr>
            <w:r>
              <w:t>m</w:t>
            </w:r>
          </w:p>
        </w:tc>
      </w:tr>
      <w:tr w:rsidR="001353E8" w14:paraId="23B900B0" w14:textId="77777777">
        <w:trPr>
          <w:jc w:val="center"/>
        </w:trPr>
        <w:tc>
          <w:tcPr>
            <w:tcW w:w="0" w:type="auto"/>
          </w:tcPr>
          <w:p w14:paraId="4A4A402D" w14:textId="77777777" w:rsidR="001353E8" w:rsidRDefault="00074D20">
            <w:pPr>
              <w:pStyle w:val="Compact"/>
              <w:spacing w:after="0"/>
            </w:pPr>
            <w:r>
              <w:t>Buoyancy offset (body frame)</w:t>
            </w:r>
          </w:p>
        </w:tc>
        <w:tc>
          <w:tcPr>
            <w:tcW w:w="0" w:type="auto"/>
          </w:tcPr>
          <w:p w14:paraId="1D8CD6C4" w14:textId="77777777" w:rsidR="001353E8" w:rsidRDefault="00000000">
            <w:pPr>
              <w:pStyle w:val="Compact"/>
              <w:spacing w:after="0"/>
            </w:pPr>
            <m:oMathPara>
              <m:oMath>
                <m:sSub>
                  <m:sSubPr>
                    <m:ctrlPr>
                      <w:rPr>
                        <w:rFonts w:ascii="Cambria Math" w:hAnsi="Cambria Math"/>
                      </w:rPr>
                    </m:ctrlPr>
                  </m:sSubPr>
                  <m:e>
                    <m:r>
                      <w:rPr>
                        <w:rFonts w:ascii="Cambria Math" w:hAnsi="Cambria Math"/>
                      </w:rPr>
                      <m:t>z</m:t>
                    </m:r>
                  </m:e>
                  <m:sub>
                    <m:r>
                      <w:rPr>
                        <w:rFonts w:ascii="Cambria Math" w:hAnsi="Cambria Math"/>
                      </w:rPr>
                      <m:t>b</m:t>
                    </m:r>
                  </m:sub>
                </m:sSub>
              </m:oMath>
            </m:oMathPara>
          </w:p>
        </w:tc>
        <w:tc>
          <w:tcPr>
            <w:tcW w:w="0" w:type="auto"/>
          </w:tcPr>
          <w:p w14:paraId="3F17DD91" w14:textId="77777777" w:rsidR="001353E8" w:rsidRDefault="00074D20">
            <w:pPr>
              <w:pStyle w:val="Compact"/>
              <w:spacing w:after="0"/>
            </w:pPr>
            <w:r>
              <w:t>0.0</w:t>
            </w:r>
          </w:p>
        </w:tc>
        <w:tc>
          <w:tcPr>
            <w:tcW w:w="0" w:type="auto"/>
          </w:tcPr>
          <w:p w14:paraId="119BDEA4" w14:textId="77777777" w:rsidR="001353E8" w:rsidRDefault="00074D20">
            <w:pPr>
              <w:pStyle w:val="Compact"/>
              <w:spacing w:after="0"/>
            </w:pPr>
            <w:r>
              <w:t>m</w:t>
            </w:r>
          </w:p>
        </w:tc>
      </w:tr>
    </w:tbl>
    <w:bookmarkEnd w:id="12"/>
    <w:p w14:paraId="0B5C21E1" w14:textId="77777777" w:rsidR="001353E8" w:rsidRDefault="00074D20">
      <w:pPr>
        <w:pStyle w:val="a0"/>
        <w:spacing w:after="60"/>
        <w:jc w:val="both"/>
      </w:pPr>
      <w:r>
        <w:t xml:space="preserve">For model closure and later sensitivity analysis, buoyancy is represented through an equivalent buoyancy mass </w:t>
      </w:r>
      <m:oMath>
        <m:sSub>
          <m:sSubPr>
            <m:ctrlPr>
              <w:rPr>
                <w:rFonts w:ascii="Cambria Math" w:hAnsi="Cambria Math"/>
              </w:rPr>
            </m:ctrlPr>
          </m:sSubPr>
          <m:e>
            <m:r>
              <w:rPr>
                <w:rFonts w:ascii="Cambria Math" w:hAnsi="Cambria Math"/>
              </w:rPr>
              <m:t>B</m:t>
            </m:r>
          </m:e>
          <m:sub>
            <m:r>
              <w:rPr>
                <w:rFonts w:ascii="Cambria Math" w:hAnsi="Cambria Math"/>
              </w:rPr>
              <m:t>mass</m:t>
            </m:r>
          </m:sub>
        </m:sSub>
      </m:oMath>
      <w:r>
        <w:t xml:space="preserve"> and a nominal body-frame offset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r>
        <w:t>. The restoring moment generated by the buoyancy offset provides the dominant passive mechanism for posture recovery during the transition, while damping and inner-water coupling shape the transient response.</w:t>
      </w:r>
    </w:p>
    <w:p w14:paraId="688C6238" w14:textId="77777777" w:rsidR="001353E8" w:rsidRDefault="00074D20">
      <w:pPr>
        <w:pStyle w:val="2"/>
      </w:pPr>
      <w:bookmarkStart w:id="13" w:name="Xbb58a94572324f972b82aee5bb90589dd60a1ff"/>
      <w:bookmarkEnd w:id="11"/>
      <w:r>
        <w:rPr>
          <w:rStyle w:val="SectionNumber"/>
        </w:rPr>
        <w:t>2.4</w:t>
      </w:r>
      <w:r>
        <w:tab/>
        <w:t>Deployment Procedure and Analyzed Phase Definition</w:t>
      </w:r>
    </w:p>
    <w:p w14:paraId="6CA0E1FF" w14:textId="77777777" w:rsidR="001353E8" w:rsidRDefault="00074D20">
      <w:pPr>
        <w:pStyle w:val="FirstParagraph"/>
        <w:spacing w:after="60"/>
        <w:jc w:val="both"/>
      </w:pPr>
      <w:r>
        <w:t xml:space="preserve">This paper targets a single mission-critical phase: horizontal release followed by passive transition toward vertical stabilization. The stabilized working posture lies near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under the sign convention used in this study. The analysis focuses on the transient evolution from the release state to the stabilized posture and excludes downstream tasks such as depth regulation or long-horizon trajectory management.</w:t>
      </w:r>
    </w:p>
    <w:p w14:paraId="730AE3CD" w14:textId="77777777" w:rsidR="001353E8" w:rsidRDefault="00074D20">
      <w:pPr>
        <w:pStyle w:val="a0"/>
        <w:spacing w:after="60"/>
        <w:jc w:val="both"/>
      </w:pPr>
      <w:r>
        <w:t>The phase definition is aligned with the deployment procedure in Fig. </w:t>
      </w:r>
      <w:hyperlink w:anchor="fig:mission-architecture">
        <w:r>
          <w:rPr>
            <w:rStyle w:val="af"/>
          </w:rPr>
          <w:t>1</w:t>
        </w:r>
      </w:hyperlink>
      <w:r>
        <w:t xml:space="preserve"> and provides the boundary conditions for the experimental program (Section 3), the reduced-order model (Section 4), and the validation and design analyses (Sections 6–7).</w:t>
      </w:r>
    </w:p>
    <w:p w14:paraId="03D22C88" w14:textId="77777777" w:rsidR="001353E8" w:rsidRDefault="00074D20">
      <w:pPr>
        <w:pStyle w:val="2"/>
      </w:pPr>
      <w:bookmarkStart w:id="14" w:name="Xcd442caaad0e8d1edd45da1b8f2a4531bb815ea"/>
      <w:bookmarkEnd w:id="13"/>
      <w:r>
        <w:rPr>
          <w:rStyle w:val="SectionNumber"/>
        </w:rPr>
        <w:lastRenderedPageBreak/>
        <w:t>2.5</w:t>
      </w:r>
      <w:r>
        <w:tab/>
        <w:t>Coordinate Conventions and State Interface</w:t>
      </w:r>
    </w:p>
    <w:p w14:paraId="31031707" w14:textId="77777777" w:rsidR="001353E8" w:rsidRDefault="00074D20">
      <w:pPr>
        <w:pStyle w:val="FirstParagraph"/>
        <w:spacing w:after="60"/>
        <w:jc w:val="both"/>
      </w:pPr>
      <w:r>
        <w:t xml:space="preserve">A fixed body-axis convention is used throughout the repository and manuscript to avoid sign inconsistencies across CFD post-processing, parameter identification, and time-domain simulation. The body axes are defined as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forward and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downward. Positive pitch is nose-up, and pitch rate is </w:t>
      </w:r>
      <m:oMath>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θ</m:t>
            </m:r>
          </m:e>
        </m:acc>
      </m:oMath>
      <w:r>
        <w:t xml:space="preserve"> about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oMath>
      <w:r>
        <w:t xml:space="preserve">. The state interfaces are </w:t>
      </w:r>
      <m:oMath>
        <m:r>
          <w:rPr>
            <w:rFonts w:ascii="Cambria Math" w:hAnsi="Cambria Math"/>
          </w:rPr>
          <m:t>ν</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and </w:t>
      </w:r>
      <m:oMath>
        <m:r>
          <w:rPr>
            <w:rFonts w:ascii="Cambria Math" w:hAnsi="Cambria Math"/>
          </w:rPr>
          <m:t>η</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and the angle of attack for hydrodynamic lookup is defined by </w:t>
      </w:r>
      <m:oMath>
        <m:r>
          <w:rPr>
            <w:rFonts w:ascii="Cambria Math" w:hAnsi="Cambria Math"/>
          </w:rPr>
          <m:t>α</m:t>
        </m:r>
        <m:r>
          <m:rPr>
            <m:sty m:val="p"/>
          </m:rPr>
          <w:rPr>
            <w:rFonts w:ascii="Cambria Math" w:hAnsi="Cambria Math"/>
          </w:rPr>
          <m:t>=atan2(</m:t>
        </m:r>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oMath>
      <w:r>
        <w:t>. These conventions are frozen in the implementation and should be treated as part of the model contract.</w:t>
      </w:r>
    </w:p>
    <w:p w14:paraId="5E97352B" w14:textId="77777777" w:rsidR="001353E8" w:rsidRDefault="00074D20">
      <w:pPr>
        <w:pStyle w:val="a0"/>
        <w:spacing w:after="60"/>
        <w:jc w:val="both"/>
      </w:pPr>
      <w:r>
        <w:t>Body-axis definition, sign convention, and state interface (u, w, q, θ).</w:t>
      </w:r>
    </w:p>
    <w:p w14:paraId="69DF935A" w14:textId="77777777" w:rsidR="001353E8" w:rsidRDefault="00074D20">
      <w:pPr>
        <w:pStyle w:val="2"/>
      </w:pPr>
      <w:bookmarkStart w:id="15" w:name="system-boundary-and-assumptions"/>
      <w:bookmarkEnd w:id="14"/>
      <w:r>
        <w:rPr>
          <w:rStyle w:val="SectionNumber"/>
        </w:rPr>
        <w:t>2.6</w:t>
      </w:r>
      <w:r>
        <w:tab/>
        <w:t>System Boundary and Assumptions</w:t>
      </w:r>
    </w:p>
    <w:p w14:paraId="4124D0A4" w14:textId="77777777" w:rsidR="001353E8" w:rsidRDefault="00074D20">
      <w:pPr>
        <w:pStyle w:val="FirstParagraph"/>
        <w:spacing w:after="60"/>
        <w:jc w:val="both"/>
      </w:pPr>
      <w:r>
        <w:t>Three assumptions delimit the claims made in the remainder of the paper. First, mission context is retained at the level required to motivate the platform and the transition-phase objective, but mission-sensitive details are abstracted. Second, all conclusions are intentionally restricted to the current platform geometry, mass–buoyancy configuration, and actuation strategy. Third, CFD is used as hydrodynamic closure and mechanism-support evidence, not as a standalone novelty claim independent of the platform–model–validation workflow.</w:t>
      </w:r>
    </w:p>
    <w:p w14:paraId="3C650177" w14:textId="77777777" w:rsidR="001353E8" w:rsidRDefault="00074D20">
      <w:pPr>
        <w:pStyle w:val="1"/>
        <w:spacing w:before="160"/>
      </w:pPr>
      <w:bookmarkStart w:id="16" w:name="experimental-setup-and-data-governance"/>
      <w:bookmarkEnd w:id="8"/>
      <w:bookmarkEnd w:id="15"/>
      <w:r>
        <w:rPr>
          <w:rStyle w:val="SectionNumber"/>
        </w:rPr>
        <w:t>3</w:t>
      </w:r>
      <w:r>
        <w:tab/>
        <w:t>Experimental Setup and Data Governance</w:t>
      </w:r>
    </w:p>
    <w:p w14:paraId="09F5FC90" w14:textId="77777777" w:rsidR="001353E8" w:rsidRDefault="00074D20">
      <w:pPr>
        <w:pStyle w:val="2"/>
      </w:pPr>
      <w:bookmarkStart w:id="17" w:name="evidence-objective-and-overview"/>
      <w:r>
        <w:rPr>
          <w:rStyle w:val="SectionNumber"/>
        </w:rPr>
        <w:t>3.1</w:t>
      </w:r>
      <w:r>
        <w:tab/>
        <w:t>Evidence Objective and Overview</w:t>
      </w:r>
    </w:p>
    <w:p w14:paraId="3CE6DAFB" w14:textId="77777777" w:rsidR="001353E8" w:rsidRDefault="00074D20">
      <w:pPr>
        <w:pStyle w:val="FirstParagraph"/>
        <w:spacing w:after="60"/>
        <w:jc w:val="both"/>
      </w:pPr>
      <w:r>
        <w:t>Free-decay experiments provide the primary evidence for parameter identification and model validation in this study. The experimental design is aligned with the mission phase of interest: each segment represents a single excitation followed by an unforced decay during the horizontal-launch to vertical-stabilization transition. The goal of this section is to define the experimental setup and the data governance rules that make the subsequent identification (Section 5) and validation (Section 6) reproducible and interpretable.</w:t>
      </w:r>
    </w:p>
    <w:p w14:paraId="7F6BB1A3" w14:textId="77777777" w:rsidR="001353E8" w:rsidRDefault="00074D20">
      <w:pPr>
        <w:pStyle w:val="2"/>
      </w:pPr>
      <w:bookmarkStart w:id="18" w:name="free-decay-protocol-and-run-definition"/>
      <w:bookmarkEnd w:id="17"/>
      <w:r>
        <w:rPr>
          <w:rStyle w:val="SectionNumber"/>
        </w:rPr>
        <w:t>3.2</w:t>
      </w:r>
      <w:r>
        <w:tab/>
        <w:t>Free-Decay Protocol and Run Definition</w:t>
      </w:r>
    </w:p>
    <w:p w14:paraId="618AADFA" w14:textId="77777777" w:rsidR="001353E8" w:rsidRDefault="00074D20">
      <w:pPr>
        <w:pStyle w:val="FirstParagraph"/>
        <w:spacing w:after="60"/>
        <w:jc w:val="both"/>
      </w:pPr>
      <w:r>
        <w:t>Each run follows a protocolized sequence consisting of initial stabilization, recording start, a single manual excitation, free decay, and final stabilization. One raw file is required to contain only one excitation–decay event. This one-event-per-file rule is essential for deterministic preprocessing and segmentation and directly supports downstream condition-level split governance.</w:t>
      </w:r>
    </w:p>
    <w:p w14:paraId="20414217" w14:textId="77777777" w:rsidR="001353E8" w:rsidRDefault="00074D20">
      <w:pPr>
        <w:pStyle w:val="2"/>
      </w:pPr>
      <w:bookmarkStart w:id="19" w:name="X97810e83c7806ed11adfbdbc5c9f2680c1fe138"/>
      <w:bookmarkEnd w:id="18"/>
      <w:r>
        <w:rPr>
          <w:rStyle w:val="SectionNumber"/>
        </w:rPr>
        <w:t>3.3</w:t>
      </w:r>
      <w:r>
        <w:tab/>
        <w:t>Data Schema, Preprocessing, and Deterministic Segmentation</w:t>
      </w:r>
    </w:p>
    <w:p w14:paraId="02911FE9" w14:textId="77777777" w:rsidR="001353E8" w:rsidRDefault="00074D20">
      <w:pPr>
        <w:pStyle w:val="FirstParagraph"/>
        <w:spacing w:after="60"/>
        <w:jc w:val="both"/>
      </w:pPr>
      <w:r>
        <w:t>Raw files are stored under the pipeline data contract and must satisfy a fixed column schema with monotonic timestamps. Preprocessing is designed to be deterministic so that repeated execution yields the same segment boundaries and derived signals, which is required to make model calibration and validation comparable across revisions. The resulting segments constitute the calibrated and validated evidence objects used throughout the remainder of the paper.</w:t>
      </w:r>
    </w:p>
    <w:p w14:paraId="1481DFED" w14:textId="77777777" w:rsidR="001353E8" w:rsidRDefault="00074D20">
      <w:pPr>
        <w:pStyle w:val="2"/>
      </w:pPr>
      <w:bookmarkStart w:id="20" w:name="X595ace093e135f295b2a3c59c3e314704461216"/>
      <w:bookmarkEnd w:id="19"/>
      <w:r>
        <w:rPr>
          <w:rStyle w:val="SectionNumber"/>
        </w:rPr>
        <w:t>3.4</w:t>
      </w:r>
      <w:r>
        <w:tab/>
        <w:t>Condition Matrix and Anti-Leakage Split Strategy</w:t>
      </w:r>
    </w:p>
    <w:p w14:paraId="55783601" w14:textId="77777777" w:rsidR="001353E8" w:rsidRDefault="00074D20">
      <w:pPr>
        <w:pStyle w:val="FirstParagraph"/>
        <w:spacing w:after="60"/>
        <w:jc w:val="both"/>
      </w:pPr>
      <w:r>
        <w:t xml:space="preserve">The planned experimental program targets a condition matrix spanning initial pitch angle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and pitch rate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levels with repeated trials. In the current repository stage, the baseline dataset contains three free-decay segments, and the manuscript structure is written to scale directly to the expanded matrix.</w:t>
      </w:r>
    </w:p>
    <w:p w14:paraId="7FBCA9F6" w14:textId="77777777" w:rsidR="001353E8" w:rsidRDefault="00074D20">
      <w:pPr>
        <w:pStyle w:val="a0"/>
        <w:spacing w:after="60"/>
        <w:jc w:val="both"/>
      </w:pPr>
      <w:r>
        <w:t>A key data-governance decision is that splits are defined by operating-condition blocks rather than random samples. This avoids leakage between calibration and validation when segments from the same condition would otherwise share strong waveform similarity. The manifest-driven split topology is summarized in Fig. </w:t>
      </w:r>
      <w:hyperlink w:anchor="fig:condition-matrix">
        <w:r>
          <w:rPr>
            <w:rStyle w:val="af"/>
          </w:rPr>
          <w:t>3</w:t>
        </w:r>
      </w:hyperlink>
      <w:r>
        <w:t>.</w:t>
      </w:r>
    </w:p>
    <w:p w14:paraId="03D14E43" w14:textId="77777777" w:rsidR="001353E8" w:rsidRDefault="00074D20">
      <w:pPr>
        <w:pStyle w:val="a0"/>
        <w:spacing w:after="60"/>
        <w:jc w:val="both"/>
      </w:pPr>
      <w:r>
        <w:t>Experimental condition matrix, repeat policy, and anti-leakage split strategy.</w:t>
      </w:r>
    </w:p>
    <w:p w14:paraId="0FB4189D" w14:textId="77777777" w:rsidR="001353E8" w:rsidRDefault="00074D20">
      <w:pPr>
        <w:pStyle w:val="2"/>
      </w:pPr>
      <w:bookmarkStart w:id="21" w:name="summary-of-evidence-contracts"/>
      <w:bookmarkEnd w:id="20"/>
      <w:r>
        <w:rPr>
          <w:rStyle w:val="SectionNumber"/>
        </w:rPr>
        <w:t>3.5</w:t>
      </w:r>
      <w:r>
        <w:tab/>
        <w:t>Summary of Evidence Contracts</w:t>
      </w:r>
    </w:p>
    <w:p w14:paraId="0B210253" w14:textId="77777777" w:rsidR="001353E8" w:rsidRDefault="00074D20">
      <w:pPr>
        <w:pStyle w:val="FirstParagraph"/>
        <w:spacing w:after="60"/>
        <w:jc w:val="both"/>
      </w:pPr>
      <w:r>
        <w:t>Sections 5–7 rely on three contracts established in this section: (</w:t>
      </w:r>
      <w:proofErr w:type="spellStart"/>
      <w:r>
        <w:t>i</w:t>
      </w:r>
      <w:proofErr w:type="spellEnd"/>
      <w:r>
        <w:t>) each run represents exactly one excitation–decay event, (ii) preprocessing and segmentation are deterministic and protocolized, and (iii) calibration/validation splits are condition-aware to prevent leakage. These contracts define the evidence boundary for identification, validation, and design guidance.</w:t>
      </w:r>
    </w:p>
    <w:p w14:paraId="0C62E1FA" w14:textId="77777777" w:rsidR="001353E8" w:rsidRDefault="00074D20">
      <w:pPr>
        <w:pStyle w:val="1"/>
        <w:spacing w:before="160"/>
      </w:pPr>
      <w:bookmarkStart w:id="22" w:name="dynamic-model-and-hydrodynamic-closure"/>
      <w:bookmarkEnd w:id="16"/>
      <w:bookmarkEnd w:id="21"/>
      <w:r>
        <w:rPr>
          <w:rStyle w:val="SectionNumber"/>
        </w:rPr>
        <w:t>4</w:t>
      </w:r>
      <w:r>
        <w:tab/>
        <w:t>Dynamic Model and Hydrodynamic Closure</w:t>
      </w:r>
    </w:p>
    <w:p w14:paraId="4883F3A9" w14:textId="77777777" w:rsidR="001353E8" w:rsidRDefault="00074D20">
      <w:pPr>
        <w:pStyle w:val="2"/>
      </w:pPr>
      <w:bookmarkStart w:id="23" w:name="X8a02cfe770cda09f1c08af6bad3ff002bc9629c"/>
      <w:r>
        <w:rPr>
          <w:rStyle w:val="SectionNumber"/>
        </w:rPr>
        <w:t>4.1</w:t>
      </w:r>
      <w:r>
        <w:tab/>
        <w:t>Modeling Scope and Architecture of the Reduced-Order Description</w:t>
      </w:r>
    </w:p>
    <w:p w14:paraId="09276AF2" w14:textId="77777777" w:rsidR="001353E8" w:rsidRDefault="00074D20">
      <w:pPr>
        <w:pStyle w:val="FirstParagraph"/>
        <w:spacing w:after="60"/>
        <w:jc w:val="both"/>
      </w:pPr>
      <w:r>
        <w:t xml:space="preserve">This section develops the dynamic model used to describe the horizontal-launch to vertical-stabilization transition defined in Section 2. The objective is not to reproduce every fluid–structure interaction detail directly, but to construct a reduced-order model that remains physically interpretable, computationally efficient, and compatible with the free-decay evidence governed in Section 3. To achieve this, the model combines three elements: a planar 3-DOF rigid-body/hydrostatic core, CFD-derived static hydrodynamic mappings for force and moment </w:t>
      </w:r>
      <w:proofErr w:type="gramStart"/>
      <w:r>
        <w:t>closure, and</w:t>
      </w:r>
      <w:proofErr w:type="gramEnd"/>
      <w:r>
        <w:t xml:space="preserve"> experimentally identified dynamic terms that cannot be inferred reliably from static CFD alone.</w:t>
      </w:r>
    </w:p>
    <w:p w14:paraId="483E8381" w14:textId="77777777" w:rsidR="001353E8" w:rsidRDefault="00074D20">
      <w:pPr>
        <w:pStyle w:val="a0"/>
        <w:spacing w:after="60"/>
        <w:jc w:val="both"/>
      </w:pPr>
      <w:r>
        <w:t xml:space="preserve">A key design principle is explicit equation governance. CFD-derived static coefficients are used to replace the corresponding static hydrodynamic force and moment mappings, while rotational damping remains an identification-oriented term and is not double counted through ad hoc additions. This governance rule is essential for preserving interpretability and for maintaining consistency between manuscript equations and </w:t>
      </w:r>
      <w:proofErr w:type="gramStart"/>
      <w:r>
        <w:t>the simulation</w:t>
      </w:r>
      <w:proofErr w:type="gramEnd"/>
      <w:r>
        <w:t xml:space="preserve"> implementation.</w:t>
      </w:r>
    </w:p>
    <w:p w14:paraId="2147D18B" w14:textId="77777777" w:rsidR="001353E8" w:rsidRDefault="00074D20">
      <w:pPr>
        <w:pStyle w:val="2"/>
      </w:pPr>
      <w:bookmarkStart w:id="24" w:name="X9a0f6b93639aa87d778699f5045157d982b9bf6"/>
      <w:bookmarkEnd w:id="23"/>
      <w:r>
        <w:rPr>
          <w:rStyle w:val="SectionNumber"/>
        </w:rPr>
        <w:t>4.2</w:t>
      </w:r>
      <w:r>
        <w:tab/>
        <w:t>Governing Equations for the Transition Phase</w:t>
      </w:r>
    </w:p>
    <w:p w14:paraId="5B3E87A1" w14:textId="77777777" w:rsidR="001353E8" w:rsidRDefault="00074D20">
      <w:pPr>
        <w:pStyle w:val="FirstParagraph"/>
        <w:spacing w:after="60"/>
        <w:jc w:val="both"/>
      </w:pPr>
      <w:r>
        <w:t xml:space="preserve">Using the state interfaces </w:t>
      </w:r>
      <m:oMath>
        <m:r>
          <w:rPr>
            <w:rFonts w:ascii="Cambria Math" w:hAnsi="Cambria Math"/>
          </w:rPr>
          <m:t>ν</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and </w:t>
      </w:r>
      <m:oMath>
        <m:r>
          <w:rPr>
            <w:rFonts w:ascii="Cambria Math" w:hAnsi="Cambria Math"/>
          </w:rPr>
          <m:t>η</m:t>
        </m:r>
        <m:r>
          <m:rPr>
            <m:sty m:val="p"/>
          </m:rPr>
          <w:rPr>
            <w:rFonts w:ascii="Cambria Math" w:hAnsi="Cambria Math"/>
          </w:rPr>
          <m:t>=[</m:t>
        </m:r>
        <m:r>
          <w:rPr>
            <w:rFonts w:ascii="Cambria Math" w:hAnsi="Cambria Math"/>
          </w:rPr>
          <m:t>θ</m:t>
        </m:r>
        <m:r>
          <m:rPr>
            <m:sty m:val="p"/>
          </m:rPr>
          <w:rPr>
            <w:rFonts w:ascii="Cambria Math" w:hAnsi="Cambria Math"/>
          </w:rPr>
          <m:t>]</m:t>
        </m:r>
      </m:oMath>
      <w:r>
        <w:t>, the simulation state is written as</w:t>
      </w:r>
    </w:p>
    <w:p w14:paraId="08E605EE" w14:textId="77777777" w:rsidR="001353E8" w:rsidRDefault="00074D20">
      <w:pPr>
        <w:pStyle w:val="a0"/>
        <w:spacing w:after="60"/>
        <w:jc w:val="both"/>
      </w:pPr>
      <m:oMathPara>
        <m:oMathParaPr>
          <m:jc m:val="center"/>
        </m:oMathParaPr>
        <m:oMath>
          <m:r>
            <m:rPr>
              <m:sty m:val="b"/>
            </m:rP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 θ</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14:paraId="7B7E3826" w14:textId="77777777" w:rsidR="001353E8" w:rsidRDefault="00074D20">
      <w:pPr>
        <w:pStyle w:val="FirstParagraph"/>
        <w:spacing w:after="60"/>
        <w:jc w:val="both"/>
      </w:pPr>
      <w:r>
        <w:t>with kinematic closure</w:t>
      </w:r>
    </w:p>
    <w:p w14:paraId="343D0EF4" w14:textId="77777777" w:rsidR="001353E8" w:rsidRDefault="00000000">
      <w:pPr>
        <w:pStyle w:val="a0"/>
        <w:spacing w:after="60"/>
        <w:jc w:val="both"/>
      </w:pPr>
      <m:oMathPara>
        <m:oMathParaPr>
          <m:jc m:val="center"/>
        </m:oMathParaPr>
        <m:oMath>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q</m:t>
          </m:r>
          <m:r>
            <m:rPr>
              <m:sty m:val="p"/>
            </m:rPr>
            <w:rPr>
              <w:rFonts w:ascii="Cambria Math" w:hAnsi="Cambria Math"/>
            </w:rPr>
            <m:t>.</m:t>
          </m:r>
        </m:oMath>
      </m:oMathPara>
    </w:p>
    <w:p w14:paraId="257377F1" w14:textId="77777777" w:rsidR="001353E8" w:rsidRDefault="00074D20">
      <w:pPr>
        <w:pStyle w:val="FirstParagraph"/>
        <w:spacing w:after="60"/>
        <w:jc w:val="both"/>
      </w:pPr>
      <w:r>
        <w:t xml:space="preserve">For the transition phase of interest, the governing dynamics are expressed in a planar Fossen-style form with effective inertias </w:t>
      </w:r>
      <m:oMath>
        <m:sSub>
          <m:sSubPr>
            <m:ctrlPr>
              <w:rPr>
                <w:rFonts w:ascii="Cambria Math" w:hAnsi="Cambria Math"/>
              </w:rPr>
            </m:ctrlPr>
          </m:sSubPr>
          <m:e>
            <m:r>
              <w:rPr>
                <w:rFonts w:ascii="Cambria Math" w:hAnsi="Cambria Math"/>
              </w:rPr>
              <m:t>m</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z</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y</m:t>
            </m:r>
          </m:sub>
        </m:sSub>
      </m:oMath>
      <w:r>
        <w:t>:</w:t>
      </w:r>
    </w:p>
    <w:p w14:paraId="59CD0F19" w14:textId="77777777" w:rsidR="001353E8" w:rsidRDefault="00000000">
      <w:pPr>
        <w:pStyle w:val="a0"/>
        <w:spacing w:after="60"/>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x</m:t>
                  </m:r>
                </m:sub>
              </m:sSub>
              <m:acc>
                <m:accPr>
                  <m:chr m:val="̇"/>
                  <m:ctrlPr>
                    <w:rPr>
                      <w:rFonts w:ascii="Cambria Math" w:hAnsi="Cambria Math"/>
                    </w:rPr>
                  </m:ctrlPr>
                </m:accPr>
                <m:e>
                  <m:r>
                    <w:rPr>
                      <w:rFonts w:ascii="Cambria Math" w:hAnsi="Cambria Math"/>
                    </w:rPr>
                    <m:t>u</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z</m:t>
                  </m:r>
                </m:sub>
              </m:sSub>
              <m:r>
                <w:rPr>
                  <w:rFonts w:ascii="Cambria Math" w:hAnsi="Cambria Math"/>
                </w:rPr>
                <m:t>wq&amp;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cfd</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z</m:t>
                  </m:r>
                </m:sub>
              </m:sSub>
              <m:acc>
                <m:accPr>
                  <m:chr m:val="̇"/>
                  <m:ctrlPr>
                    <w:rPr>
                      <w:rFonts w:ascii="Cambria Math" w:hAnsi="Cambria Math"/>
                    </w:rPr>
                  </m:ctrlPr>
                </m:accPr>
                <m:e>
                  <m:r>
                    <w:rPr>
                      <w:rFonts w:ascii="Cambria Math" w:hAnsi="Cambria Math"/>
                    </w:rPr>
                    <m:t>w</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x</m:t>
                  </m:r>
                </m:sub>
              </m:sSub>
              <m:r>
                <w:rPr>
                  <w:rFonts w:ascii="Cambria Math" w:hAnsi="Cambria Math"/>
                </w:rPr>
                <m:t>uq&amp;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cfd</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θ</m:t>
              </m:r>
              <m:r>
                <m:rPr>
                  <m:sty m:val="p"/>
                </m:rPr>
                <w:rPr>
                  <w:rFonts w:ascii="Cambria Math" w:hAnsi="Cambria Math"/>
                </w:rPr>
                <m:t>,</m:t>
              </m:r>
            </m:e>
            <m:e>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r>
                    <w:rPr>
                      <w:rFonts w:ascii="Cambria Math" w:hAnsi="Cambria Math"/>
                    </w:rPr>
                    <m:t>q</m:t>
                  </m:r>
                </m:e>
              </m:acc>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cfd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damp</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bg</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cable</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thruster</m:t>
                  </m:r>
                </m:sub>
              </m:sSub>
              <m:r>
                <m:rPr>
                  <m:sty m:val="p"/>
                </m:rPr>
                <w:rPr>
                  <w:rFonts w:ascii="Cambria Math" w:hAnsi="Cambria Math"/>
                </w:rPr>
                <m:t>,</m:t>
              </m:r>
            </m:e>
            <m:e>
              <m:acc>
                <m:accPr>
                  <m:chr m:val="̇"/>
                  <m:ctrlPr>
                    <w:rPr>
                      <w:rFonts w:ascii="Cambria Math" w:hAnsi="Cambria Math"/>
                    </w:rPr>
                  </m:ctrlPr>
                </m:accPr>
                <m:e>
                  <m:r>
                    <w:rPr>
                      <w:rFonts w:ascii="Cambria Math" w:hAnsi="Cambria Math"/>
                    </w:rPr>
                    <m:t>θ</m:t>
                  </m:r>
                </m:e>
              </m:acc>
              <m:r>
                <w:rPr>
                  <w:rFonts w:ascii="Cambria Math" w:hAnsi="Cambria Math"/>
                </w:rPr>
                <m:t>&amp;</m:t>
              </m:r>
              <m:r>
                <m:rPr>
                  <m:sty m:val="p"/>
                </m:rPr>
                <w:rPr>
                  <w:rFonts w:ascii="Cambria Math" w:hAnsi="Cambria Math"/>
                </w:rPr>
                <m:t>=</m:t>
              </m:r>
              <m:r>
                <w:rPr>
                  <w:rFonts w:ascii="Cambria Math" w:hAnsi="Cambria Math"/>
                </w:rPr>
                <m:t>q</m:t>
              </m:r>
              <m:r>
                <m:rPr>
                  <m:sty m:val="p"/>
                </m:rPr>
                <w:rPr>
                  <w:rFonts w:ascii="Cambria Math" w:hAnsi="Cambria Math"/>
                </w:rPr>
                <m:t>.</m:t>
              </m:r>
            </m:e>
          </m:eqArr>
        </m:oMath>
      </m:oMathPara>
    </w:p>
    <w:p w14:paraId="2AC914EA" w14:textId="77777777" w:rsidR="001353E8" w:rsidRDefault="00074D20">
      <w:pPr>
        <w:pStyle w:val="FirstParagraph"/>
        <w:spacing w:after="60"/>
        <w:jc w:val="both"/>
      </w:pPr>
      <w:r>
        <w:t xml:space="preserve">Here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dry</m:t>
            </m:r>
          </m:sub>
        </m:sSub>
        <m:r>
          <w:rPr>
            <w:rFonts w:ascii="Cambria Math" w:hAnsi="Cambria Math"/>
          </w:rPr>
          <m:t>g</m:t>
        </m:r>
      </m:oMath>
      <w:r>
        <w:t xml:space="preserve"> and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mass</m:t>
            </m:r>
          </m:sub>
        </m:sSub>
        <m:r>
          <w:rPr>
            <w:rFonts w:ascii="Cambria Math" w:hAnsi="Cambria Math"/>
          </w:rPr>
          <m:t>g</m:t>
        </m:r>
      </m:oMath>
      <w:r>
        <w:t xml:space="preserve">. The terms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thruster</m:t>
            </m:r>
          </m:sub>
        </m:sSub>
      </m:oMath>
      <w:r>
        <w:t xml:space="preserve"> denote optional actuation inputs. They are set to zero during free-decay identification and validation unless a specific actuation strategy is being studied in Section 7.</w:t>
      </w:r>
    </w:p>
    <w:p w14:paraId="7F341EE2" w14:textId="77777777" w:rsidR="001353E8" w:rsidRDefault="00074D20">
      <w:pPr>
        <w:pStyle w:val="a0"/>
        <w:spacing w:after="60"/>
        <w:jc w:val="both"/>
      </w:pPr>
      <w:r>
        <w:t>The buoyancy restoring moment is expressed as</w:t>
      </w:r>
    </w:p>
    <w:p w14:paraId="0D91C80E"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bg</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sin</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cos</m:t>
              </m:r>
              <m:r>
                <w:rPr>
                  <w:rFonts w:ascii="Cambria Math" w:hAnsi="Cambria Math"/>
                </w:rPr>
                <m:t>θ</m:t>
              </m:r>
            </m:e>
          </m:d>
          <m:r>
            <m:rPr>
              <m:sty m:val="p"/>
            </m:rPr>
            <w:rPr>
              <w:rFonts w:ascii="Cambria Math" w:hAnsi="Cambria Math"/>
            </w:rPr>
            <m:t>,</m:t>
          </m:r>
        </m:oMath>
      </m:oMathPara>
    </w:p>
    <w:p w14:paraId="2CB46F9E" w14:textId="77777777" w:rsidR="001353E8" w:rsidRDefault="00074D20">
      <w:pPr>
        <w:pStyle w:val="FirstParagraph"/>
        <w:spacing w:after="60"/>
        <w:jc w:val="both"/>
      </w:pPr>
      <w:r>
        <w:t>and the rotational damping term is modeled as</w:t>
      </w:r>
    </w:p>
    <w:p w14:paraId="212AD286"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damp</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r>
                <m:rPr>
                  <m:sty m:val="p"/>
                </m:rPr>
                <w:rPr>
                  <w:rFonts w:ascii="Cambria Math" w:hAnsi="Cambria Math"/>
                </w:rPr>
                <m:t>,</m:t>
              </m:r>
              <m:r>
                <w:rPr>
                  <w:rFonts w:ascii="Cambria Math" w:hAnsi="Cambria Math"/>
                </w:rPr>
                <m:t>abs</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02DB1528" w14:textId="77777777" w:rsidR="001353E8" w:rsidRDefault="00074D20">
      <w:pPr>
        <w:pStyle w:val="FirstParagraph"/>
        <w:spacing w:after="60"/>
        <w:jc w:val="both"/>
      </w:pPr>
      <w:r>
        <w:t>When cable effects are enabled in the hardware configuration, the cable contribution is modeled as</w:t>
      </w:r>
    </w:p>
    <w:p w14:paraId="29C75508"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cable</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cable</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cable</m:t>
              </m:r>
              <m:r>
                <m:rPr>
                  <m:sty m:val="p"/>
                </m:rPr>
                <w:rPr>
                  <w:rFonts w:ascii="Cambria Math" w:hAnsi="Cambria Math"/>
                </w:rPr>
                <m:t>,</m:t>
              </m:r>
              <m:r>
                <w:rPr>
                  <w:rFonts w:ascii="Cambria Math" w:hAnsi="Cambria Math"/>
                </w:rPr>
                <m:t>q</m:t>
              </m:r>
            </m:sub>
          </m:sSub>
          <m:r>
            <w:rPr>
              <w:rFonts w:ascii="Cambria Math" w:hAnsi="Cambria Math"/>
            </w:rPr>
            <m:t>q</m:t>
          </m:r>
          <m:r>
            <m:rPr>
              <m:sty m:val="p"/>
            </m:rPr>
            <w:rPr>
              <w:rFonts w:ascii="Cambria Math" w:hAnsi="Cambria Math"/>
            </w:rPr>
            <m:t>.</m:t>
          </m:r>
        </m:oMath>
      </m:oMathPara>
    </w:p>
    <w:p w14:paraId="5F15E1E8" w14:textId="77777777" w:rsidR="001353E8" w:rsidRDefault="00074D20">
      <w:pPr>
        <w:pStyle w:val="FirstParagraph"/>
        <w:spacing w:after="60"/>
        <w:jc w:val="both"/>
      </w:pPr>
      <w:r>
        <w:t>These expressions match the runtime formulation implemented in the simulation module used for validation and parametric analysis.</w:t>
      </w:r>
    </w:p>
    <w:p w14:paraId="6588757E" w14:textId="77777777" w:rsidR="001353E8" w:rsidRDefault="00074D20">
      <w:pPr>
        <w:pStyle w:val="2"/>
      </w:pPr>
      <w:bookmarkStart w:id="25" w:name="X1455ceeece89ca810e99c3791bca17e6ec6a6fc"/>
      <w:bookmarkEnd w:id="24"/>
      <w:r>
        <w:rPr>
          <w:rStyle w:val="SectionNumber"/>
        </w:rPr>
        <w:t>4.3</w:t>
      </w:r>
      <w:r>
        <w:tab/>
        <w:t>Hydrodynamic Closure and Angle-of-Attack Mapping</w:t>
      </w:r>
    </w:p>
    <w:p w14:paraId="3F105869" w14:textId="77777777" w:rsidR="001353E8" w:rsidRDefault="00074D20">
      <w:pPr>
        <w:pStyle w:val="FirstParagraph"/>
        <w:spacing w:after="60"/>
        <w:jc w:val="both"/>
      </w:pPr>
      <w:r>
        <w:t xml:space="preserve">Static hydrodynamic loads are closed through CFD-derived coefficient mappings as functions of the attack angle </w:t>
      </w:r>
      <m:oMath>
        <m:r>
          <w:rPr>
            <w:rFonts w:ascii="Cambria Math" w:hAnsi="Cambria Math"/>
          </w:rPr>
          <m:t>α</m:t>
        </m:r>
      </m:oMath>
      <w:r>
        <w:t>. The body-frame speed and dynamic pressure are defined as</w:t>
      </w:r>
    </w:p>
    <w:p w14:paraId="711C94B9" w14:textId="77777777" w:rsidR="001353E8" w:rsidRDefault="00074D20">
      <w:pPr>
        <w:pStyle w:val="a0"/>
        <w:spacing w:after="60"/>
        <w:jc w:val="both"/>
      </w:pPr>
      <m:oMathPara>
        <m:oMathParaPr>
          <m:jc m:val="center"/>
        </m:oMathParaP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rad>
          <m:r>
            <m:rPr>
              <m:sty m:val="p"/>
            </m:rPr>
            <w:rPr>
              <w:rFonts w:ascii="Cambria Math" w:hAnsi="Cambria Math"/>
            </w:rPr>
            <m:t>,</m:t>
          </m:r>
          <m:r>
            <w:rPr>
              <w:rFonts w:ascii="Cambria Math" w:hAnsi="Cambria Math"/>
            </w:rPr>
            <m:t>  Q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oMath>
      </m:oMathPara>
    </w:p>
    <w:p w14:paraId="70828294" w14:textId="77777777" w:rsidR="001353E8" w:rsidRDefault="00074D20">
      <w:pPr>
        <w:pStyle w:val="FirstParagraph"/>
        <w:spacing w:after="60"/>
        <w:jc w:val="both"/>
      </w:pPr>
      <w:r>
        <w:t>with a numerical safeguard for low-speed states to prevent unstable coefficient evaluation. The model then uses</w:t>
      </w:r>
    </w:p>
    <w:p w14:paraId="59D84DE4"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cfd</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ref</m:t>
              </m:r>
            </m:sub>
          </m:sSub>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cfd</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ref</m:t>
              </m:r>
            </m:sub>
          </m:sSub>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cfd</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A</m:t>
              </m:r>
            </m:e>
            <m:sub>
              <m:r>
                <w:rPr>
                  <w:rFonts w:ascii="Cambria Math" w:hAnsi="Cambria Math"/>
                </w:rPr>
                <m:t>ref</m:t>
              </m:r>
            </m:sub>
          </m:sSub>
          <m:sSub>
            <m:sSubPr>
              <m:ctrlPr>
                <w:rPr>
                  <w:rFonts w:ascii="Cambria Math" w:hAnsi="Cambria Math"/>
                </w:rPr>
              </m:ctrlPr>
            </m:sSubPr>
            <m:e>
              <m:r>
                <w:rPr>
                  <w:rFonts w:ascii="Cambria Math" w:hAnsi="Cambria Math"/>
                </w:rPr>
                <m:t>L</m:t>
              </m:r>
            </m:e>
            <m:sub>
              <m:r>
                <w:rPr>
                  <w:rFonts w:ascii="Cambria Math" w:hAnsi="Cambria Math"/>
                </w:rPr>
                <m:t>ref</m:t>
              </m:r>
            </m:sub>
          </m:sSub>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m:t>
          </m:r>
        </m:oMath>
      </m:oMathPara>
    </w:p>
    <w:p w14:paraId="5A3113D8" w14:textId="77777777" w:rsidR="001353E8" w:rsidRDefault="00074D20">
      <w:pPr>
        <w:pStyle w:val="FirstParagraph"/>
        <w:spacing w:after="60"/>
        <w:jc w:val="both"/>
      </w:pPr>
      <w:r>
        <w:t>The attack angle is computed from the frozen sign convention,</w:t>
      </w:r>
    </w:p>
    <w:p w14:paraId="27D33484" w14:textId="77777777" w:rsidR="001353E8" w:rsidRDefault="00074D20">
      <w:pPr>
        <w:pStyle w:val="a0"/>
        <w:spacing w:after="60"/>
        <w:jc w:val="both"/>
      </w:pPr>
      <m:oMathPara>
        <m:oMathParaPr>
          <m:jc m:val="center"/>
        </m:oMathParaPr>
        <m:oMath>
          <m:r>
            <w:rPr>
              <w:rFonts w:ascii="Cambria Math" w:hAnsi="Cambria Math"/>
            </w:rPr>
            <m:t>α</m:t>
          </m:r>
          <m:r>
            <m:rPr>
              <m:sty m:val="p"/>
            </m:rPr>
            <w:rPr>
              <w:rFonts w:ascii="Cambria Math" w:hAnsi="Cambria Math"/>
            </w:rPr>
            <m:t>=atan2(</m:t>
          </m:r>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oMath>
      </m:oMathPara>
    </w:p>
    <w:p w14:paraId="6C9266C5" w14:textId="77777777" w:rsidR="001353E8" w:rsidRDefault="00074D20">
      <w:pPr>
        <w:pStyle w:val="FirstParagraph"/>
        <w:spacing w:after="60"/>
        <w:jc w:val="both"/>
      </w:pPr>
      <w:r>
        <w:t xml:space="preserve">and is mapped to the available CFD lookup range at runtime. The coefficient convention is consistent across the manuscript and implementation: </w:t>
      </w: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acts along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Z</m:t>
            </m:r>
          </m:sub>
        </m:sSub>
      </m:oMath>
      <w:r>
        <w:t xml:space="preserve"> acts along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acts about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oMath>
      <w:r>
        <w:t xml:space="preserve">, with positive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corresponding to nose-up moment.</w:t>
      </w:r>
    </w:p>
    <w:p w14:paraId="477D83F5" w14:textId="77777777" w:rsidR="001353E8" w:rsidRDefault="00074D20">
      <w:pPr>
        <w:pStyle w:val="a0"/>
        <w:spacing w:after="60"/>
        <w:jc w:val="both"/>
      </w:pPr>
      <w:r>
        <w:t xml:space="preserve">The CFD role in this paper is intentionally limited to static hydrodynamic closure and mechanism evidence. </w:t>
      </w:r>
      <w:proofErr w:type="gramStart"/>
      <w:r>
        <w:t>In particular, when</w:t>
      </w:r>
      <w:proofErr w:type="gramEnd"/>
      <w:r>
        <w:t xml:space="preserve"> the static pitch-moment mapping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m:t>
        </m:r>
      </m:oMath>
      <w:r>
        <w:t xml:space="preserve"> already reflects Munk-like static effects, no additional </w:t>
      </w:r>
      <w:r>
        <w:t>explicit Munk-moment term is added to the reduced-order pitch equation.</w:t>
      </w:r>
    </w:p>
    <w:p w14:paraId="353C3987" w14:textId="77777777" w:rsidR="001353E8" w:rsidRDefault="00074D20">
      <w:pPr>
        <w:pStyle w:val="2"/>
      </w:pPr>
      <w:bookmarkStart w:id="26" w:name="X4dfc347f8de74d4876fc506bc74b8cb0bb6426f"/>
      <w:bookmarkEnd w:id="25"/>
      <w:r>
        <w:rPr>
          <w:rStyle w:val="SectionNumber"/>
        </w:rPr>
        <w:t>4.4</w:t>
      </w:r>
      <w:r>
        <w:tab/>
        <w:t>Anisotropic Permeability-Corrected Added Mass and Effective Inertias</w:t>
      </w:r>
    </w:p>
    <w:p w14:paraId="6277BC9E" w14:textId="77777777" w:rsidR="001353E8" w:rsidRDefault="00074D20">
      <w:pPr>
        <w:pStyle w:val="FirstParagraph"/>
        <w:spacing w:after="60"/>
        <w:jc w:val="both"/>
      </w:pPr>
      <w:r>
        <w:t>A central modeling feature of this study is the anisotropic permeability correction used to represent directional coupling between rigid-body motion and inner-water inertia. Instead of treating inner-water effects as either fully decoupled or fully rigidly attached, the model introduces three channel-specific coupling parameters,</w:t>
      </w:r>
    </w:p>
    <w:p w14:paraId="268BEBAA"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θ</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0DCB2AC" w14:textId="77777777" w:rsidR="001353E8" w:rsidRDefault="00074D20">
      <w:pPr>
        <w:pStyle w:val="FirstParagraph"/>
        <w:spacing w:after="60"/>
        <w:jc w:val="both"/>
      </w:pPr>
      <w:r>
        <w:t>which describe the fraction of inner-water inertia effectively coupled to surge, heave, and pitch motion, respectively. Values near zero indicate weak coupling (high effective internal permeability), whereas values near one indicate near-rigid coupling.</w:t>
      </w:r>
    </w:p>
    <w:p w14:paraId="0DBF4921" w14:textId="77777777" w:rsidR="001353E8" w:rsidRDefault="00074D20">
      <w:pPr>
        <w:pStyle w:val="a0"/>
        <w:spacing w:after="60"/>
        <w:jc w:val="both"/>
      </w:pPr>
      <w:r>
        <w:t>Using the project sign convention for added-mass derivatives, the total added terms are written as</w:t>
      </w:r>
    </w:p>
    <w:p w14:paraId="7E6525E4" w14:textId="77777777" w:rsidR="001353E8" w:rsidRDefault="00000000">
      <w:pPr>
        <w:pStyle w:val="a0"/>
        <w:spacing w:after="60"/>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X</m:t>
                  </m:r>
                </m:e>
                <m:sub>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total</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X</m:t>
                  </m:r>
                </m:e>
                <m:sub>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outer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m</m:t>
                  </m:r>
                </m:e>
                <m:sub>
                  <m:r>
                    <w:rPr>
                      <w:rFonts w:ascii="Cambria Math" w:hAnsi="Cambria Math"/>
                    </w:rPr>
                    <m:t>water</m:t>
                  </m:r>
                  <m:r>
                    <m:rPr>
                      <m:sty m:val="p"/>
                    </m:rPr>
                    <w:rPr>
                      <w:rFonts w:ascii="Cambria Math" w:hAnsi="Cambria Math"/>
                    </w:rPr>
                    <m:t>,</m:t>
                  </m:r>
                  <m:r>
                    <w:rPr>
                      <w:rFonts w:ascii="Cambria Math" w:hAnsi="Cambria Math"/>
                    </w:rPr>
                    <m:t>inner</m:t>
                  </m:r>
                </m:sub>
              </m:sSub>
              <m:r>
                <m:rPr>
                  <m:sty m:val="p"/>
                </m:rPr>
                <w:rPr>
                  <w:rFonts w:ascii="Cambria Math" w:hAnsi="Cambria Math"/>
                </w:rPr>
                <m:t>,</m:t>
              </m:r>
            </m:e>
            <m:e>
              <m:sSub>
                <m:sSubPr>
                  <m:ctrlPr>
                    <w:rPr>
                      <w:rFonts w:ascii="Cambria Math" w:hAnsi="Cambria Math"/>
                    </w:rPr>
                  </m:ctrlPr>
                </m:sSubPr>
                <m:e>
                  <m:r>
                    <w:rPr>
                      <w:rFonts w:ascii="Cambria Math" w:hAnsi="Cambria Math"/>
                    </w:rPr>
                    <m:t>Z</m:t>
                  </m:r>
                </m:e>
                <m:sub>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total</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Z</m:t>
                  </m:r>
                </m:e>
                <m:sub>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outer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z</m:t>
                  </m:r>
                </m:sub>
              </m:sSub>
              <m:sSub>
                <m:sSubPr>
                  <m:ctrlPr>
                    <w:rPr>
                      <w:rFonts w:ascii="Cambria Math" w:hAnsi="Cambria Math"/>
                    </w:rPr>
                  </m:ctrlPr>
                </m:sSubPr>
                <m:e>
                  <m:r>
                    <w:rPr>
                      <w:rFonts w:ascii="Cambria Math" w:hAnsi="Cambria Math"/>
                    </w:rPr>
                    <m:t>m</m:t>
                  </m:r>
                </m:e>
                <m:sub>
                  <m:r>
                    <w:rPr>
                      <w:rFonts w:ascii="Cambria Math" w:hAnsi="Cambria Math"/>
                    </w:rPr>
                    <m:t>water</m:t>
                  </m:r>
                  <m:r>
                    <m:rPr>
                      <m:sty m:val="p"/>
                    </m:rPr>
                    <w:rPr>
                      <w:rFonts w:ascii="Cambria Math" w:hAnsi="Cambria Math"/>
                    </w:rPr>
                    <m:t>,</m:t>
                  </m:r>
                  <m:r>
                    <w:rPr>
                      <w:rFonts w:ascii="Cambria Math" w:hAnsi="Cambria Math"/>
                    </w:rPr>
                    <m:t>inner</m:t>
                  </m:r>
                </m:sub>
              </m:sSub>
              <m:r>
                <m:rPr>
                  <m:sty m:val="p"/>
                </m:rPr>
                <w:rPr>
                  <w:rFonts w:ascii="Cambria Math" w:hAnsi="Cambria Math"/>
                </w:rPr>
                <m:t>,</m:t>
              </m:r>
            </m:e>
            <m:e>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total</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outer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θ</m:t>
                  </m:r>
                </m:sub>
              </m:sSub>
              <m:sSub>
                <m:sSubPr>
                  <m:ctrlPr>
                    <w:rPr>
                      <w:rFonts w:ascii="Cambria Math" w:hAnsi="Cambria Math"/>
                    </w:rPr>
                  </m:ctrlPr>
                </m:sSubPr>
                <m:e>
                  <m:r>
                    <w:rPr>
                      <w:rFonts w:ascii="Cambria Math" w:hAnsi="Cambria Math"/>
                    </w:rPr>
                    <m:t>I</m:t>
                  </m:r>
                </m:e>
                <m:sub>
                  <m:r>
                    <w:rPr>
                      <w:rFonts w:ascii="Cambria Math" w:hAnsi="Cambria Math"/>
                    </w:rPr>
                    <m:t>water</m:t>
                  </m:r>
                  <m:r>
                    <m:rPr>
                      <m:sty m:val="p"/>
                    </m:rPr>
                    <w:rPr>
                      <w:rFonts w:ascii="Cambria Math" w:hAnsi="Cambria Math"/>
                    </w:rPr>
                    <m:t>,</m:t>
                  </m:r>
                  <m:r>
                    <w:rPr>
                      <w:rFonts w:ascii="Cambria Math" w:hAnsi="Cambria Math"/>
                    </w:rPr>
                    <m:t>inner</m:t>
                  </m:r>
                </m:sub>
              </m:sSub>
              <m:r>
                <m:rPr>
                  <m:sty m:val="p"/>
                </m:rPr>
                <w:rPr>
                  <w:rFonts w:ascii="Cambria Math" w:hAnsi="Cambria Math"/>
                </w:rPr>
                <m:t>.</m:t>
              </m:r>
            </m:e>
          </m:eqArr>
        </m:oMath>
      </m:oMathPara>
    </w:p>
    <w:p w14:paraId="096B90CB" w14:textId="77777777" w:rsidR="001353E8" w:rsidRDefault="00074D20">
      <w:pPr>
        <w:pStyle w:val="FirstParagraph"/>
        <w:spacing w:after="60"/>
        <w:jc w:val="both"/>
      </w:pPr>
      <w:r>
        <w:t>The effective inertias used in the ODE denominators are then</w:t>
      </w:r>
    </w:p>
    <w:p w14:paraId="7E9E840C" w14:textId="77777777" w:rsidR="001353E8" w:rsidRDefault="00000000">
      <w:pPr>
        <w:pStyle w:val="a0"/>
        <w:spacing w:after="6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dry</m:t>
              </m:r>
            </m:sub>
          </m:sSub>
          <m:r>
            <m:rPr>
              <m:sty m:val="p"/>
            </m:rPr>
            <w:rPr>
              <w:rFonts w:ascii="Cambria Math" w:hAnsi="Cambria Math"/>
            </w:rPr>
            <m:t>-</m:t>
          </m:r>
          <m:sSub>
            <m:sSubPr>
              <m:ctrlPr>
                <w:rPr>
                  <w:rFonts w:ascii="Cambria Math" w:hAnsi="Cambria Math"/>
                </w:rPr>
              </m:ctrlPr>
            </m:sSubPr>
            <m:e>
              <m:r>
                <w:rPr>
                  <w:rFonts w:ascii="Cambria Math" w:hAnsi="Cambria Math"/>
                </w:rPr>
                <m:t>X</m:t>
              </m:r>
            </m:e>
            <m:sub>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dry</m:t>
              </m:r>
            </m:sub>
          </m:sSub>
          <m:r>
            <m:rPr>
              <m:sty m:val="p"/>
            </m:rPr>
            <w:rPr>
              <w:rFonts w:ascii="Cambria Math" w:hAnsi="Cambria Math"/>
            </w:rPr>
            <m:t>-</m:t>
          </m:r>
          <m:sSub>
            <m:sSubPr>
              <m:ctrlPr>
                <w:rPr>
                  <w:rFonts w:ascii="Cambria Math" w:hAnsi="Cambria Math"/>
                </w:rPr>
              </m:ctrlPr>
            </m:sSubPr>
            <m:e>
              <m:r>
                <w:rPr>
                  <w:rFonts w:ascii="Cambria Math" w:hAnsi="Cambria Math"/>
                </w:rPr>
                <m:t>Z</m:t>
              </m:r>
            </m:e>
            <m:sub>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yy</m:t>
              </m:r>
            </m:sub>
          </m:sSub>
          <m:r>
            <m:rPr>
              <m:sty m:val="p"/>
            </m:rPr>
            <w:rPr>
              <w:rFonts w:ascii="Cambria Math" w:hAnsi="Cambria Math"/>
            </w:rPr>
            <m:t>-</m:t>
          </m:r>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total</m:t>
              </m:r>
            </m:sub>
          </m:sSub>
          <m:r>
            <m:rPr>
              <m:sty m:val="p"/>
            </m:rPr>
            <w:rPr>
              <w:rFonts w:ascii="Cambria Math" w:hAnsi="Cambria Math"/>
            </w:rPr>
            <m:t>.</m:t>
          </m:r>
        </m:oMath>
      </m:oMathPara>
    </w:p>
    <w:p w14:paraId="223CCB6E" w14:textId="77777777" w:rsidR="001353E8" w:rsidRDefault="00074D20">
      <w:pPr>
        <w:pStyle w:val="FirstParagraph"/>
        <w:spacing w:after="60"/>
        <w:jc w:val="both"/>
      </w:pPr>
      <w:r>
        <w:t xml:space="preserve">An important modeling choice, implemented consistently in the codebase, is that the translational denominators use </w:t>
      </w:r>
      <m:oMath>
        <m:sSub>
          <m:sSubPr>
            <m:ctrlPr>
              <w:rPr>
                <w:rFonts w:ascii="Cambria Math" w:hAnsi="Cambria Math"/>
              </w:rPr>
            </m:ctrlPr>
          </m:sSubPr>
          <m:e>
            <m:r>
              <w:rPr>
                <w:rFonts w:ascii="Cambria Math" w:hAnsi="Cambria Math"/>
              </w:rPr>
              <m:t>m</m:t>
            </m:r>
          </m:e>
          <m:sub>
            <m:r>
              <w:rPr>
                <w:rFonts w:ascii="Cambria Math" w:hAnsi="Cambria Math"/>
              </w:rPr>
              <m:t>dry</m:t>
            </m:r>
          </m:sub>
        </m:sSub>
      </m:oMath>
      <w:r>
        <w:t xml:space="preserve"> rather than </w:t>
      </w:r>
      <m:oMath>
        <m:sSub>
          <m:sSubPr>
            <m:ctrlPr>
              <w:rPr>
                <w:rFonts w:ascii="Cambria Math" w:hAnsi="Cambria Math"/>
              </w:rPr>
            </m:ctrlPr>
          </m:sSubPr>
          <m:e>
            <m:r>
              <w:rPr>
                <w:rFonts w:ascii="Cambria Math" w:hAnsi="Cambria Math"/>
              </w:rPr>
              <m:t>m</m:t>
            </m:r>
          </m:e>
          <m:sub>
            <m:r>
              <w:rPr>
                <w:rFonts w:ascii="Cambria Math" w:hAnsi="Cambria Math"/>
              </w:rPr>
              <m:t>wet</m:t>
            </m:r>
          </m:sub>
        </m:sSub>
      </m:oMath>
      <w:r>
        <w:t>. This convention is retained throughout the manuscript to avoid hidden discrepancies between equations, configuration files, and numerical simulations.</w:t>
      </w:r>
    </w:p>
    <w:p w14:paraId="1154F33C" w14:textId="77777777" w:rsidR="001353E8" w:rsidRDefault="00074D20">
      <w:pPr>
        <w:pStyle w:val="2"/>
      </w:pPr>
      <w:bookmarkStart w:id="27" w:name="X4b6ab5822a8f4a464d7e8ef75c4d23aab1c816c"/>
      <w:bookmarkEnd w:id="26"/>
      <w:r>
        <w:rPr>
          <w:rStyle w:val="SectionNumber"/>
        </w:rPr>
        <w:t>4.5</w:t>
      </w:r>
      <w:r>
        <w:tab/>
        <w:t>CFD-Supported Coefficient Acquisition and Mechanism Interpretation</w:t>
      </w:r>
    </w:p>
    <w:p w14:paraId="03040816" w14:textId="77777777" w:rsidR="001353E8" w:rsidRDefault="00074D20">
      <w:pPr>
        <w:pStyle w:val="FirstParagraph"/>
        <w:spacing w:after="60"/>
        <w:jc w:val="both"/>
      </w:pPr>
      <w:r>
        <w:t>The hydrodynamic coefficient mappings used above are obtained from CFD and treated as model-evidence inputs. Because the reduced-order simulation depends strongly on these mappings over a wide attitude range, the CFD reporting in this paper is organized to support both credibility and interpretability. The first requirement is numerical credibility through mesh-independence and residual-convergence summaries. The second is mechanism interpretability through coefficient trends, pressure-center migration, and representative field visualizations at selected attack angles.</w:t>
      </w:r>
    </w:p>
    <w:p w14:paraId="4CB6EBD0" w14:textId="77777777" w:rsidR="001353E8" w:rsidRDefault="00074D20">
      <w:pPr>
        <w:pStyle w:val="a0"/>
        <w:spacing w:after="60"/>
        <w:jc w:val="both"/>
      </w:pPr>
      <w:r>
        <w:t xml:space="preserve">The resulting CFD evidence package is therefore structured in four layers: numerical verification, coefficient mappings, pressure-center migration, and representative flow/pressure fields. This </w:t>
      </w:r>
      <w:proofErr w:type="gramStart"/>
      <w:r>
        <w:t>ordering</w:t>
      </w:r>
      <w:proofErr w:type="gramEnd"/>
      <w:r>
        <w:t xml:space="preserve"> is deliberate. It allows the reader to assess numerical trustworthiness before interpreting the physics encoded in the coefficient curves and moment trends used by the reduced-order model.</w:t>
      </w:r>
    </w:p>
    <w:p w14:paraId="208170C5" w14:textId="77777777" w:rsidR="001353E8" w:rsidRDefault="00074D20">
      <w:pPr>
        <w:pStyle w:val="2"/>
      </w:pPr>
      <w:bookmarkStart w:id="28" w:name="X363c32d351627c8e804f2b27707a5e397ebca1f"/>
      <w:bookmarkEnd w:id="27"/>
      <w:r>
        <w:rPr>
          <w:rStyle w:val="SectionNumber"/>
        </w:rPr>
        <w:lastRenderedPageBreak/>
        <w:t>4.6</w:t>
      </w:r>
      <w:r>
        <w:tab/>
        <w:t>Transition to Identification and Validation</w:t>
      </w:r>
    </w:p>
    <w:p w14:paraId="20CFF6C2" w14:textId="77777777" w:rsidR="001353E8" w:rsidRDefault="00074D20">
      <w:pPr>
        <w:pStyle w:val="FirstParagraph"/>
        <w:spacing w:after="60"/>
        <w:jc w:val="both"/>
      </w:pPr>
      <w:r>
        <w:t xml:space="preserve">Section 4 defines the closed equation structure and the governed hydrodynamic closure logic. Parameter identification and uncertainty-oriented diagnostics are presented in Section 5. The resulting calibrated model package is then transferred without </w:t>
      </w:r>
      <w:proofErr w:type="gramStart"/>
      <w:r>
        <w:t>retuning</w:t>
      </w:r>
      <w:proofErr w:type="gramEnd"/>
      <w:r>
        <w:t xml:space="preserve"> to validation (Section 6) and to the bounded design guidance analyses (Section 7).</w:t>
      </w:r>
    </w:p>
    <w:p w14:paraId="653A2500" w14:textId="77777777" w:rsidR="001353E8" w:rsidRDefault="00074D20">
      <w:pPr>
        <w:pStyle w:val="1"/>
        <w:spacing w:before="160"/>
      </w:pPr>
      <w:bookmarkStart w:id="29" w:name="Xb99e8cf677145ac74be5497e50f2a07cd818dc7"/>
      <w:bookmarkEnd w:id="22"/>
      <w:bookmarkEnd w:id="28"/>
      <w:r>
        <w:rPr>
          <w:rStyle w:val="SectionNumber"/>
        </w:rPr>
        <w:t>5</w:t>
      </w:r>
      <w:r>
        <w:tab/>
        <w:t>Parameter Identification and Reproducibility Diagnostics</w:t>
      </w:r>
    </w:p>
    <w:p w14:paraId="02AA5782" w14:textId="77777777" w:rsidR="001353E8" w:rsidRDefault="00074D20">
      <w:pPr>
        <w:pStyle w:val="2"/>
      </w:pPr>
      <w:bookmarkStart w:id="30" w:name="X327342041815a59f44e6a424202e3e83480484e"/>
      <w:r>
        <w:rPr>
          <w:rStyle w:val="SectionNumber"/>
        </w:rPr>
        <w:t>5.1</w:t>
      </w:r>
      <w:r>
        <w:tab/>
        <w:t>Identification Objective and Evidence Contracts</w:t>
      </w:r>
    </w:p>
    <w:p w14:paraId="5BEBB5EB" w14:textId="77777777" w:rsidR="001353E8" w:rsidRDefault="00074D20">
      <w:pPr>
        <w:pStyle w:val="FirstParagraph"/>
        <w:spacing w:after="60"/>
        <w:jc w:val="both"/>
      </w:pPr>
      <w:r>
        <w:t>After the model structure and hydrodynamic closure are fixed (Section 4), dynamic parameters are determined from the free-decay evidence governed in Section 3. The identification objective is to obtain a parameter set that is (</w:t>
      </w:r>
      <w:proofErr w:type="spellStart"/>
      <w:r>
        <w:t>i</w:t>
      </w:r>
      <w:proofErr w:type="spellEnd"/>
      <w:r>
        <w:t xml:space="preserve">) physically interpretable, (ii) stable under the protocolized preprocessing/segmentation pipeline, and (iii) transferable without </w:t>
      </w:r>
      <w:proofErr w:type="gramStart"/>
      <w:r>
        <w:t>retuning</w:t>
      </w:r>
      <w:proofErr w:type="gramEnd"/>
      <w:r>
        <w:t xml:space="preserve"> to out-of-sample validation and design analysis.</w:t>
      </w:r>
    </w:p>
    <w:p w14:paraId="7CAEF234" w14:textId="77777777" w:rsidR="001353E8" w:rsidRDefault="00074D20">
      <w:pPr>
        <w:pStyle w:val="a0"/>
        <w:spacing w:after="60"/>
        <w:jc w:val="both"/>
      </w:pPr>
      <w:r>
        <w:t>All identification runs are filtered through a condition-aware split contract. Calibration segments are selected via a manifest-driven split topology so that training and validation/test evidence are separated at the operating-condition level, preventing leakage between highly similar waveform families.</w:t>
      </w:r>
    </w:p>
    <w:p w14:paraId="5E8EB311" w14:textId="77777777" w:rsidR="001353E8" w:rsidRDefault="00074D20">
      <w:pPr>
        <w:pStyle w:val="2"/>
      </w:pPr>
      <w:bookmarkStart w:id="31" w:name="two-stage-identification-structure"/>
      <w:bookmarkEnd w:id="30"/>
      <w:r>
        <w:rPr>
          <w:rStyle w:val="SectionNumber"/>
        </w:rPr>
        <w:t>5.2</w:t>
      </w:r>
      <w:r>
        <w:tab/>
        <w:t>Two-Stage Identification Structure</w:t>
      </w:r>
    </w:p>
    <w:p w14:paraId="23788EE2" w14:textId="77777777" w:rsidR="001353E8" w:rsidRDefault="00074D20">
      <w:pPr>
        <w:pStyle w:val="FirstParagraph"/>
        <w:spacing w:after="60"/>
        <w:jc w:val="both"/>
      </w:pPr>
      <w:r>
        <w:t>The identification pipeline uses a two-stage structure designed for practical identifiability.</w:t>
      </w:r>
    </w:p>
    <w:p w14:paraId="630E49AB" w14:textId="77777777" w:rsidR="001353E8" w:rsidRDefault="00074D20">
      <w:pPr>
        <w:pStyle w:val="a0"/>
        <w:spacing w:after="60"/>
        <w:jc w:val="both"/>
      </w:pPr>
      <w:r>
        <w:t>First, rotational damping coefficients are estimated using a cycle-energy method with non-negative least squares. This stage provides a physically informed initialization for the subsequent optimization and reduces sensitivity to poor starting points.</w:t>
      </w:r>
    </w:p>
    <w:p w14:paraId="362D0F98" w14:textId="77777777" w:rsidR="001353E8" w:rsidRDefault="00074D20">
      <w:pPr>
        <w:pStyle w:val="a0"/>
        <w:spacing w:after="60"/>
        <w:jc w:val="both"/>
      </w:pPr>
      <w:r>
        <w:t xml:space="preserve">Second, an ODE-based residual minimization stage identifies the remaining parameters under explicit bounds. In the current implementation, the optimization is carried out on a pitch-dominant reduced model for </w:t>
      </w:r>
      <m:oMath>
        <m:r>
          <w:rPr>
            <w:rFonts w:ascii="Cambria Math" w:hAnsi="Cambria Math"/>
          </w:rPr>
          <m:t>θ</m:t>
        </m:r>
      </m:oMath>
      <w:r>
        <w:t xml:space="preserve"> and </w:t>
      </w:r>
      <m:oMath>
        <m:r>
          <w:rPr>
            <w:rFonts w:ascii="Cambria Math" w:hAnsi="Cambria Math"/>
          </w:rPr>
          <m:t>q</m:t>
        </m:r>
      </m:oMath>
      <w:r>
        <w:t>, while the full 3-DOF model defined in Section 4 is reserved for simulation-based validation and design analysis. This separation improves practical identifiability while preserving a consistent downstream validation model.</w:t>
      </w:r>
    </w:p>
    <w:p w14:paraId="79BC1853" w14:textId="77777777" w:rsidR="001353E8" w:rsidRDefault="00074D20">
      <w:pPr>
        <w:pStyle w:val="2"/>
      </w:pPr>
      <w:bookmarkStart w:id="32" w:name="X38ba30ba167b21330f3d3638436e9184f99ed65"/>
      <w:bookmarkEnd w:id="31"/>
      <w:r>
        <w:rPr>
          <w:rStyle w:val="SectionNumber"/>
        </w:rPr>
        <w:t>5.3</w:t>
      </w:r>
      <w:r>
        <w:tab/>
        <w:t>Optimization Formulation and Parameter Set</w:t>
      </w:r>
    </w:p>
    <w:p w14:paraId="3FFE2DC0" w14:textId="77777777" w:rsidR="001353E8" w:rsidRDefault="00074D20">
      <w:pPr>
        <w:pStyle w:val="FirstParagraph"/>
        <w:spacing w:after="60"/>
        <w:jc w:val="both"/>
      </w:pPr>
      <w:r>
        <w:t xml:space="preserve">For a set of calibration segments, the Stage-2 optimization minimizes a stacked residual vector over simulated and measured pitch angle and pitch rate histories subject to parameter bounds. The calibrated parameter set includes the pitch-channel permeability parameter </w:t>
      </w:r>
      <m:oMath>
        <m:sSub>
          <m:sSubPr>
            <m:ctrlPr>
              <w:rPr>
                <w:rFonts w:ascii="Cambria Math" w:hAnsi="Cambria Math"/>
              </w:rPr>
            </m:ctrlPr>
          </m:sSubPr>
          <m:e>
            <m:r>
              <w:rPr>
                <w:rFonts w:ascii="Cambria Math" w:hAnsi="Cambria Math"/>
              </w:rPr>
              <m:t>μ</m:t>
            </m:r>
          </m:e>
          <m:sub>
            <m:r>
              <w:rPr>
                <w:rFonts w:ascii="Cambria Math" w:hAnsi="Cambria Math"/>
              </w:rPr>
              <m:t>θ</m:t>
            </m:r>
          </m:sub>
        </m:sSub>
      </m:oMath>
      <w:r>
        <w:t xml:space="preserve">, linear rotational damping </w:t>
      </w:r>
      <m:oMath>
        <m:sSub>
          <m:sSubPr>
            <m:ctrlPr>
              <w:rPr>
                <w:rFonts w:ascii="Cambria Math" w:hAnsi="Cambria Math"/>
              </w:rPr>
            </m:ctrlPr>
          </m:sSubPr>
          <m:e>
            <m:r>
              <w:rPr>
                <w:rFonts w:ascii="Cambria Math" w:hAnsi="Cambria Math"/>
              </w:rPr>
              <m:t>d</m:t>
            </m:r>
          </m:e>
          <m:sub>
            <m:r>
              <w:rPr>
                <w:rFonts w:ascii="Cambria Math" w:hAnsi="Cambria Math"/>
              </w:rPr>
              <m:t>q</m:t>
            </m:r>
          </m:sub>
        </m:sSub>
      </m:oMath>
      <w:r>
        <w:t xml:space="preserve">, a quadratic damping coefficient (implemented as </w:t>
      </w:r>
      <w:proofErr w:type="spellStart"/>
      <w:r>
        <w:rPr>
          <w:rStyle w:val="VerbatimChar"/>
        </w:rPr>
        <w:t>d_qq</w:t>
      </w:r>
      <w:proofErr w:type="spellEnd"/>
      <w:r>
        <w:t xml:space="preserve"> in the fitter and corresponding to </w:t>
      </w:r>
      <m:oMath>
        <m:sSub>
          <m:sSubPr>
            <m:ctrlPr>
              <w:rPr>
                <w:rFonts w:ascii="Cambria Math" w:hAnsi="Cambria Math"/>
              </w:rPr>
            </m:ctrlPr>
          </m:sSubPr>
          <m:e>
            <m:r>
              <w:rPr>
                <w:rFonts w:ascii="Cambria Math" w:hAnsi="Cambria Math"/>
              </w:rPr>
              <m:t>d</m:t>
            </m:r>
          </m:e>
          <m:sub>
            <m:r>
              <w:rPr>
                <w:rFonts w:ascii="Cambria Math" w:hAnsi="Cambria Math"/>
              </w:rPr>
              <m:t>q</m:t>
            </m:r>
            <m:r>
              <m:rPr>
                <m:sty m:val="p"/>
              </m:rPr>
              <w:rPr>
                <w:rFonts w:ascii="Cambria Math" w:hAnsi="Cambria Math"/>
              </w:rPr>
              <m:t>,</m:t>
            </m:r>
            <m:r>
              <w:rPr>
                <w:rFonts w:ascii="Cambria Math" w:hAnsi="Cambria Math"/>
              </w:rPr>
              <m:t>abs</m:t>
            </m:r>
          </m:sub>
        </m:sSub>
      </m:oMath>
      <w:r>
        <w:t xml:space="preserve"> in the manuscript notation), and the cable stiffness term </w:t>
      </w:r>
      <m:oMath>
        <m:sSub>
          <m:sSubPr>
            <m:ctrlPr>
              <w:rPr>
                <w:rFonts w:ascii="Cambria Math" w:hAnsi="Cambria Math"/>
              </w:rPr>
            </m:ctrlPr>
          </m:sSubPr>
          <m:e>
            <m:r>
              <w:rPr>
                <w:rFonts w:ascii="Cambria Math" w:hAnsi="Cambria Math"/>
              </w:rPr>
              <m:t>K</m:t>
            </m:r>
          </m:e>
          <m:sub>
            <m:r>
              <w:rPr>
                <w:rFonts w:ascii="Cambria Math" w:hAnsi="Cambria Math"/>
              </w:rPr>
              <m:t>cable</m:t>
            </m:r>
          </m:sub>
        </m:sSub>
      </m:oMath>
      <w:r>
        <w:t xml:space="preserve"> when cable effects are enabled.</w:t>
      </w:r>
    </w:p>
    <w:p w14:paraId="152DF37F" w14:textId="77777777" w:rsidR="001353E8" w:rsidRDefault="00074D20">
      <w:pPr>
        <w:pStyle w:val="2"/>
      </w:pPr>
      <w:bookmarkStart w:id="33" w:name="Xb982e9a5302ff6ad4ae4b2254d4abe2bb68769c"/>
      <w:bookmarkEnd w:id="32"/>
      <w:r>
        <w:rPr>
          <w:rStyle w:val="SectionNumber"/>
        </w:rPr>
        <w:t>5.4</w:t>
      </w:r>
      <w:r>
        <w:tab/>
        <w:t>Reproducibility Artifacts, Diagnostics, and Uncertainty Hooks</w:t>
      </w:r>
    </w:p>
    <w:p w14:paraId="1EE31353" w14:textId="77777777" w:rsidR="001353E8" w:rsidRDefault="00074D20">
      <w:pPr>
        <w:pStyle w:val="FirstParagraph"/>
        <w:spacing w:after="60"/>
        <w:jc w:val="both"/>
      </w:pPr>
      <w:r>
        <w:t xml:space="preserve">To support reproducibility and diagnosis, each identification </w:t>
      </w:r>
      <w:proofErr w:type="gramStart"/>
      <w:r>
        <w:t>run</w:t>
      </w:r>
      <w:proofErr w:type="gramEnd"/>
      <w:r>
        <w:t xml:space="preserve"> records protocol snapshots, the git commit hash, and the Python environment snapshot alongside fitted parameters and selected segment lists. Multi-start optimization and bootstrap resampling are supported by the protocol, even when disabled in a baseline run. In the current protocol snapshot included with this repository stage, </w:t>
      </w:r>
      <w:proofErr w:type="spellStart"/>
      <w:r>
        <w:rPr>
          <w:rStyle w:val="VerbatimChar"/>
        </w:rPr>
        <w:t>multi_start_n</w:t>
      </w:r>
      <w:proofErr w:type="spellEnd"/>
      <w:r>
        <w:rPr>
          <w:rStyle w:val="VerbatimChar"/>
        </w:rPr>
        <w:t>=1</w:t>
      </w:r>
      <w:r>
        <w:t xml:space="preserve"> and </w:t>
      </w:r>
      <w:proofErr w:type="spellStart"/>
      <w:r>
        <w:rPr>
          <w:rStyle w:val="VerbatimChar"/>
        </w:rPr>
        <w:t>n_boot</w:t>
      </w:r>
      <w:proofErr w:type="spellEnd"/>
      <w:r>
        <w:rPr>
          <w:rStyle w:val="VerbatimChar"/>
        </w:rPr>
        <w:t>=0</w:t>
      </w:r>
      <w:r>
        <w:t>, so the baseline execution behaves as a single-start fit without bootstrap-based uncertainty expansion.</w:t>
      </w:r>
    </w:p>
    <w:p w14:paraId="086915DF" w14:textId="77777777" w:rsidR="001353E8" w:rsidRDefault="00074D20">
      <w:pPr>
        <w:pStyle w:val="2"/>
      </w:pPr>
      <w:bookmarkStart w:id="34" w:name="Xee310da4d564dde4f26122f220c4d41d45cb5b9"/>
      <w:bookmarkEnd w:id="33"/>
      <w:r>
        <w:rPr>
          <w:rStyle w:val="SectionNumber"/>
        </w:rPr>
        <w:t>5.5</w:t>
      </w:r>
      <w:r>
        <w:tab/>
        <w:t>Closed Model Package for Validation and Design Analysis</w:t>
      </w:r>
    </w:p>
    <w:p w14:paraId="4278C0C3" w14:textId="77777777" w:rsidR="001353E8" w:rsidRDefault="00074D20">
      <w:pPr>
        <w:pStyle w:val="FirstParagraph"/>
        <w:spacing w:after="60"/>
        <w:jc w:val="both"/>
      </w:pPr>
      <w:r>
        <w:t xml:space="preserve">At the end of Section 5, the study produces a closed model package consisting of fixed platform and hydrostatic parameters, CFD-derived static hydrodynamic mappings, and experimentally calibrated dynamic parameters. This package is transferred to validation (Section 6) without </w:t>
      </w:r>
      <w:proofErr w:type="gramStart"/>
      <w:r>
        <w:t>retuning</w:t>
      </w:r>
      <w:proofErr w:type="gramEnd"/>
      <w:r>
        <w:t xml:space="preserve"> and is subsequently used in design analysis (Section 7). The no-retuning rule between calibration and validation is essential to the claim that the framework provides engineering evidence rather than post hoc curve fitting.</w:t>
      </w:r>
    </w:p>
    <w:p w14:paraId="2D87CDE3" w14:textId="77777777" w:rsidR="001353E8" w:rsidRDefault="00074D20">
      <w:pPr>
        <w:pStyle w:val="1"/>
        <w:spacing w:before="160"/>
      </w:pPr>
      <w:bookmarkStart w:id="35" w:name="X8de1dafba9f284d9141e4f4e79b1c0590d41183"/>
      <w:bookmarkEnd w:id="29"/>
      <w:bookmarkEnd w:id="34"/>
      <w:r>
        <w:rPr>
          <w:rStyle w:val="SectionNumber"/>
        </w:rPr>
        <w:t>6</w:t>
      </w:r>
      <w:r>
        <w:tab/>
        <w:t>Model Validation Against Free-Decay Experiments</w:t>
      </w:r>
    </w:p>
    <w:p w14:paraId="4DF23729" w14:textId="77777777" w:rsidR="001353E8" w:rsidRDefault="00074D20">
      <w:pPr>
        <w:pStyle w:val="2"/>
      </w:pPr>
      <w:bookmarkStart w:id="36" w:name="validation-objective-and-evidence-logic"/>
      <w:r>
        <w:rPr>
          <w:rStyle w:val="SectionNumber"/>
        </w:rPr>
        <w:t>6.1</w:t>
      </w:r>
      <w:r>
        <w:tab/>
        <w:t>Validation Objective and Evidence Logic</w:t>
      </w:r>
    </w:p>
    <w:p w14:paraId="603AF47D" w14:textId="77777777" w:rsidR="001353E8" w:rsidRDefault="00074D20">
      <w:pPr>
        <w:pStyle w:val="FirstParagraph"/>
        <w:spacing w:after="60"/>
        <w:jc w:val="both"/>
      </w:pPr>
      <w:r>
        <w:t>The purpose of this section is to test whether the closed model package obtained in Sections 4–5 can reproduce free-decay transition behavior without retuning, and to characterize where the model is reliable for deployment-oriented reasoning. The validation target is therefore not limited to visual trajectory overlap. Instead, the section evaluates time-domain agreement, characteristic transition timing, terminal-state behavior, and discrepancy modes under condition-level split control.</w:t>
      </w:r>
    </w:p>
    <w:p w14:paraId="50C23C05" w14:textId="77777777" w:rsidR="001353E8" w:rsidRDefault="00074D20">
      <w:pPr>
        <w:pStyle w:val="a0"/>
        <w:spacing w:after="60"/>
        <w:jc w:val="both"/>
      </w:pPr>
      <w:r>
        <w:t>A key point is that the validation protocol is designed to measure generalization across operating conditions rather than interpolation within a single waveform family. For this reason, data partitions are defined at the condition level, and optional leave-one-</w:t>
      </w:r>
      <m:oMath>
        <m:sSub>
          <m:sSubPr>
            <m:ctrlPr>
              <w:rPr>
                <w:rFonts w:ascii="Cambria Math" w:hAnsi="Cambria Math"/>
              </w:rPr>
            </m:ctrlPr>
          </m:sSubPr>
          <m:e>
            <m:r>
              <w:rPr>
                <w:rFonts w:ascii="Cambria Math" w:hAnsi="Cambria Math"/>
              </w:rPr>
              <m:t>θ</m:t>
            </m:r>
          </m:e>
          <m:sub>
            <m:r>
              <w:rPr>
                <w:rFonts w:ascii="Cambria Math" w:hAnsi="Cambria Math"/>
              </w:rPr>
              <m:t>0</m:t>
            </m:r>
          </m:sub>
        </m:sSub>
      </m:oMath>
      <w:r>
        <w:t>-level-out settings are supported by the manifest and pipeline configuration. This structure is intended to prevent leakage between calibration and validation when segments share similar excitation patterns.</w:t>
      </w:r>
    </w:p>
    <w:p w14:paraId="46857923" w14:textId="77777777" w:rsidR="001353E8" w:rsidRDefault="00074D20">
      <w:pPr>
        <w:pStyle w:val="a0"/>
        <w:spacing w:after="60"/>
        <w:jc w:val="both"/>
      </w:pPr>
      <w:r>
        <w:t xml:space="preserve">The current repository stage contains a baseline set of free-decay segments, and the validation structure presented here is written to scale directly to the planned expanded condition matrix. The same reporting logic is used in both cases so that new data </w:t>
      </w:r>
      <w:proofErr w:type="gramStart"/>
      <w:r>
        <w:t>extend</w:t>
      </w:r>
      <w:proofErr w:type="gramEnd"/>
      <w:r>
        <w:t xml:space="preserve"> the evidence base without requiring a change in evaluation criteria.</w:t>
      </w:r>
    </w:p>
    <w:p w14:paraId="09850E15" w14:textId="77777777" w:rsidR="001353E8" w:rsidRDefault="00074D20">
      <w:pPr>
        <w:pStyle w:val="2"/>
      </w:pPr>
      <w:bookmarkStart w:id="37" w:name="Xa378f2f10114d76497a68f97bbcf32b2f3f1d7a"/>
      <w:bookmarkEnd w:id="36"/>
      <w:r>
        <w:rPr>
          <w:rStyle w:val="SectionNumber"/>
        </w:rPr>
        <w:t>6.2</w:t>
      </w:r>
      <w:r>
        <w:tab/>
        <w:t>Simulation-to-Experiment Comparison Protocol</w:t>
      </w:r>
    </w:p>
    <w:p w14:paraId="5079F15A" w14:textId="77777777" w:rsidR="001353E8" w:rsidRDefault="00074D20">
      <w:pPr>
        <w:pStyle w:val="FirstParagraph"/>
        <w:spacing w:after="60"/>
        <w:jc w:val="both"/>
      </w:pPr>
      <w:r>
        <w:t xml:space="preserve">Each validation segment is simulated using the full 3-DOF model developed in Section 4 with the calibrated parameter package from Section 5 fixed. In the current evaluation script, the initial pitch angle and pitch rate are taken from the </w:t>
      </w:r>
      <w:r>
        <w:lastRenderedPageBreak/>
        <w:t xml:space="preserve">first sample of the experimental segment, while the translational velocities are initialized as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r>
          <w:rPr>
            <w:rFonts w:ascii="Cambria Math" w:hAnsi="Cambria Math"/>
          </w:rPr>
          <m:t>0</m:t>
        </m:r>
      </m:oMath>
      <w:r>
        <w:t xml:space="preserve"> for the free-decay replay. Simulated trajectories are then interpolated to the experimental timestamps before metric computation, which ensures that all reported discrepancies are measured on a common time grid and are not artifacts of different solver output intervals.</w:t>
      </w:r>
    </w:p>
    <w:p w14:paraId="712CEC99" w14:textId="77777777" w:rsidR="001353E8" w:rsidRDefault="00074D20">
      <w:pPr>
        <w:pStyle w:val="a0"/>
        <w:spacing w:after="60"/>
        <w:jc w:val="both"/>
      </w:pPr>
      <w:r>
        <w:t xml:space="preserve">This section reports both in-sample and out-of-sample results, but they play different roles. In-sample results verify that the identified parameter set is consistent with the calibration data under the full-model simulation interface, whereas out-of-sample results provide the primary evidence for predictive usefulness. Throughout the section, in-sample evidence is shown first and out-of-sample evidence second to preserve </w:t>
      </w:r>
      <w:proofErr w:type="gramStart"/>
      <w:r>
        <w:t>a transparent</w:t>
      </w:r>
      <w:proofErr w:type="gramEnd"/>
      <w:r>
        <w:t xml:space="preserve"> progression from calibration consistency to generalization performance.</w:t>
      </w:r>
    </w:p>
    <w:p w14:paraId="637DA0CB" w14:textId="77777777" w:rsidR="001353E8" w:rsidRDefault="00074D20">
      <w:pPr>
        <w:pStyle w:val="2"/>
      </w:pPr>
      <w:bookmarkStart w:id="38" w:name="X6a2df49111ad289d2cb6b1548a730643dbcef81"/>
      <w:bookmarkEnd w:id="37"/>
      <w:r>
        <w:rPr>
          <w:rStyle w:val="SectionNumber"/>
        </w:rPr>
        <w:t>6.3</w:t>
      </w:r>
      <w:r>
        <w:tab/>
        <w:t>In-Sample Behavior and Calibration Consistency Check</w:t>
      </w:r>
    </w:p>
    <w:p w14:paraId="658E6549" w14:textId="77777777" w:rsidR="001353E8" w:rsidRDefault="00074D20">
      <w:pPr>
        <w:pStyle w:val="FirstParagraph"/>
        <w:spacing w:after="60"/>
        <w:jc w:val="both"/>
      </w:pPr>
      <w:r>
        <w:t>In-sample validation is used as a consistency check rather than a final performance claim. The central question is whether the parameter set identified from the free-decay pipeline produces physically plausible reconstructed trajectories under the full simulation model and fixed hydrodynamic mappings. Agreement in this stage supports the internal consistency of the modeling and identification stack, including sign conventions, hydrodynamic closure, and parameter transfer from the identification routine to the full simulator.</w:t>
      </w:r>
    </w:p>
    <w:p w14:paraId="22D07DAF" w14:textId="77777777" w:rsidR="001353E8" w:rsidRDefault="00074D20">
      <w:pPr>
        <w:pStyle w:val="a0"/>
        <w:spacing w:after="60"/>
        <w:jc w:val="both"/>
      </w:pPr>
      <w:r>
        <w:t xml:space="preserve">Trajectory comparisons should be interpreted jointly in terms of shape, phase, and terminal behavior. In particular, apparent visual agreement in </w:t>
      </w: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can mask systematic errors in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and conversely, short-lived phase drift can appear larger than its practical impact if the amplitude and terminal-state behavior remain well captured. For this reason, the in-sample figures are presented together with error traces and metric summaries rather than as stand-alone overlays.</w:t>
      </w:r>
    </w:p>
    <w:p w14:paraId="33726616" w14:textId="77777777" w:rsidR="001353E8" w:rsidRDefault="00074D20">
      <w:pPr>
        <w:pStyle w:val="2"/>
      </w:pPr>
      <w:bookmarkStart w:id="39" w:name="Xba359d6e1248389abfdd332c99e3998301d6aae"/>
      <w:bookmarkEnd w:id="38"/>
      <w:r>
        <w:rPr>
          <w:rStyle w:val="SectionNumber"/>
        </w:rPr>
        <w:t>6.4</w:t>
      </w:r>
      <w:r>
        <w:tab/>
        <w:t>Out-of-Sample Validation and Condition-Wise Performance</w:t>
      </w:r>
    </w:p>
    <w:p w14:paraId="46C326B8" w14:textId="77777777" w:rsidR="001353E8" w:rsidRDefault="00074D20">
      <w:pPr>
        <w:pStyle w:val="FirstParagraph"/>
        <w:spacing w:after="60"/>
        <w:jc w:val="both"/>
      </w:pPr>
      <w:r>
        <w:t xml:space="preserve">Out-of-sample validation is the primary test of whether the model captures the transition mechanics in a way that is useful beyond the calibration subset. Representative trajectories for </w:t>
      </w: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are reported with synchronized time axes and consistent panel ordering so that phase drift, overshoot mismatch, and terminal-state deviation can be compared across conditions. When angular-rate measurements are unavailable or unreliable for a segment, the metric aggregation is adjusted rather than forcing incomplete comparisons.</w:t>
      </w:r>
    </w:p>
    <w:p w14:paraId="47B13AAF" w14:textId="77777777" w:rsidR="001353E8" w:rsidRDefault="00074D20">
      <w:pPr>
        <w:pStyle w:val="a0"/>
        <w:spacing w:after="60"/>
        <w:jc w:val="both"/>
      </w:pPr>
      <w:r>
        <w:t xml:space="preserve">The evaluation pipeline computes absolute and signed error metrics including </w:t>
      </w:r>
      <m:oMath>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θ</m:t>
            </m:r>
          </m:sub>
        </m:sSub>
      </m:oMath>
      <w:r>
        <w:t xml:space="preserve">, </w:t>
      </w:r>
      <m:oMath>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θ</m:t>
            </m:r>
          </m:sub>
        </m:sSub>
      </m:oMath>
      <w:r>
        <w:t xml:space="preserve">, </w:t>
      </w:r>
      <m:oMath>
        <m:r>
          <w:rPr>
            <w:rFonts w:ascii="Cambria Math" w:hAnsi="Cambria Math"/>
          </w:rPr>
          <m:t>MaxAb</m:t>
        </m:r>
        <m:sSub>
          <m:sSubPr>
            <m:ctrlPr>
              <w:rPr>
                <w:rFonts w:ascii="Cambria Math" w:hAnsi="Cambria Math"/>
              </w:rPr>
            </m:ctrlPr>
          </m:sSubPr>
          <m:e>
            <m:r>
              <w:rPr>
                <w:rFonts w:ascii="Cambria Math" w:hAnsi="Cambria Math"/>
              </w:rPr>
              <m:t>s</m:t>
            </m:r>
          </m:e>
          <m:sub>
            <m:r>
              <w:rPr>
                <w:rFonts w:ascii="Cambria Math" w:hAnsi="Cambria Math"/>
              </w:rPr>
              <m:t>θ</m:t>
            </m:r>
          </m:sub>
        </m:sSub>
      </m:oMath>
      <w:r>
        <w:t xml:space="preserve">, </w:t>
      </w:r>
      <m:oMath>
        <m:r>
          <w:rPr>
            <w:rFonts w:ascii="Cambria Math" w:hAnsi="Cambria Math"/>
          </w:rPr>
          <m:t>TAA</m:t>
        </m:r>
        <m:sSub>
          <m:sSubPr>
            <m:ctrlPr>
              <w:rPr>
                <w:rFonts w:ascii="Cambria Math" w:hAnsi="Cambria Math"/>
              </w:rPr>
            </m:ctrlPr>
          </m:sSubPr>
          <m:e>
            <m:r>
              <w:rPr>
                <w:rFonts w:ascii="Cambria Math" w:hAnsi="Cambria Math"/>
              </w:rPr>
              <m:t>E</m:t>
            </m:r>
          </m:e>
          <m:sub>
            <m:r>
              <w:rPr>
                <w:rFonts w:ascii="Cambria Math" w:hAnsi="Cambria Math"/>
              </w:rPr>
              <m:t>θ</m:t>
            </m:r>
          </m:sub>
        </m:sSub>
      </m:oMath>
      <w:r>
        <w:t xml:space="preserve">, </w:t>
      </w:r>
      <m:oMath>
        <m:r>
          <w:rPr>
            <w:rFonts w:ascii="Cambria Math" w:hAnsi="Cambria Math"/>
          </w:rPr>
          <m:t>TAS</m:t>
        </m:r>
        <m:sSub>
          <m:sSubPr>
            <m:ctrlPr>
              <w:rPr>
                <w:rFonts w:ascii="Cambria Math" w:hAnsi="Cambria Math"/>
              </w:rPr>
            </m:ctrlPr>
          </m:sSubPr>
          <m:e>
            <m:r>
              <w:rPr>
                <w:rFonts w:ascii="Cambria Math" w:hAnsi="Cambria Math"/>
              </w:rPr>
              <m:t>E</m:t>
            </m:r>
          </m:e>
          <m:sub>
            <m:r>
              <w:rPr>
                <w:rFonts w:ascii="Cambria Math" w:hAnsi="Cambria Math"/>
              </w:rPr>
              <m:t>θ</m:t>
            </m:r>
          </m:sub>
        </m:sSub>
      </m:oMath>
      <w:r>
        <w:t xml:space="preserve">, settling-time mismatch (reported as </w:t>
      </w:r>
      <m:oMath>
        <m:r>
          <w:rPr>
            <w:rFonts w:ascii="Cambria Math" w:hAnsi="Cambria Math"/>
          </w:rPr>
          <m:t>dt90</m:t>
        </m:r>
      </m:oMath>
      <w:r>
        <w:t xml:space="preserve"> and fallback </w:t>
      </w:r>
      <m:oMath>
        <m:r>
          <w:rPr>
            <w:rFonts w:ascii="Cambria Math" w:hAnsi="Cambria Math"/>
          </w:rPr>
          <m:t>dt80</m:t>
        </m:r>
      </m:oMath>
      <w:r>
        <w:t xml:space="preserve">), overshoot error, and steady-window statistics. When </w:t>
      </w:r>
      <m:oMath>
        <m:r>
          <w:rPr>
            <w:rFonts w:ascii="Cambria Math" w:hAnsi="Cambria Math"/>
          </w:rPr>
          <m:t>q</m:t>
        </m:r>
      </m:oMath>
      <w:r>
        <w:t xml:space="preserve"> is available, </w:t>
      </w:r>
      <m:oMath>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and </w:t>
      </w:r>
      <m:oMath>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are also reported. These metrics are designed to separate trajectory-shape error, timing error, and terminal-state error so that model limitations can be localized rather than collapsed into a single scalar score.</w:t>
      </w:r>
    </w:p>
    <w:p w14:paraId="75251D3E" w14:textId="77777777" w:rsidR="001353E8" w:rsidRDefault="00074D20">
      <w:pPr>
        <w:pStyle w:val="2"/>
      </w:pPr>
      <w:bookmarkStart w:id="40" w:name="Xbbb8b88e68274cb9b736cd13e382c66ea752207"/>
      <w:bookmarkEnd w:id="39"/>
      <w:r>
        <w:rPr>
          <w:rStyle w:val="SectionNumber"/>
        </w:rPr>
        <w:t>6.5</w:t>
      </w:r>
      <w:r>
        <w:tab/>
      </w:r>
      <w:proofErr w:type="spellStart"/>
      <w:r>
        <w:t>GapScore</w:t>
      </w:r>
      <w:proofErr w:type="spellEnd"/>
      <w:r>
        <w:t xml:space="preserve"> Aggregation and Discrepancy-Mode Decomposition</w:t>
      </w:r>
    </w:p>
    <w:p w14:paraId="2BDFD347" w14:textId="77777777" w:rsidR="001353E8" w:rsidRDefault="00074D20">
      <w:pPr>
        <w:pStyle w:val="FirstParagraph"/>
        <w:spacing w:after="60"/>
        <w:jc w:val="both"/>
      </w:pPr>
      <w:r>
        <w:t>To complement the absolute metrics, the evaluation pipeline computes a condition-normalized composite score (</w:t>
      </w:r>
      <w:proofErr w:type="spellStart"/>
      <w:r>
        <w:t>GapScore</w:t>
      </w:r>
      <w:proofErr w:type="spellEnd"/>
      <w:r>
        <w:t xml:space="preserve">) that combines angle error, timing error, overshoot mismatch, and pitch-rate error when available. Let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span</m:t>
            </m:r>
          </m:sub>
        </m:sSub>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oMath>
      <w:r>
        <w:t xml:space="preserve"> denote the condition-specific transition amplitude. The normalized terms are constructed from the reported metrics so that comparisons across conditions do not become dominated by large-amplitude cases. In the current implementation, the composite score is evaluated as</w:t>
      </w:r>
    </w:p>
    <w:p w14:paraId="44B91918" w14:textId="77777777" w:rsidR="001353E8" w:rsidRDefault="00074D20">
      <w:pPr>
        <w:pStyle w:val="a0"/>
        <w:spacing w:after="60"/>
        <w:jc w:val="both"/>
      </w:pPr>
      <m:oMathPara>
        <m:oMathParaPr>
          <m:jc m:val="center"/>
        </m:oMathParaPr>
        <m:oMath>
          <m:r>
            <w:rPr>
              <w:rFonts w:ascii="Cambria Math" w:hAnsi="Cambria Math"/>
            </w:rPr>
            <m:t>GapScore</m:t>
          </m:r>
          <m:r>
            <m:rPr>
              <m:sty m:val="p"/>
            </m:rPr>
            <w:rPr>
              <w:rFonts w:ascii="Cambria Math" w:hAnsi="Cambria Math"/>
            </w:rPr>
            <m:t>=</m:t>
          </m:r>
          <m:r>
            <w:rPr>
              <w:rFonts w:ascii="Cambria Math" w:hAnsi="Cambria Math"/>
            </w:rPr>
            <m:t>0.35</m:t>
          </m:r>
          <m:sSub>
            <m:sSubPr>
              <m:ctrlPr>
                <w:rPr>
                  <w:rFonts w:ascii="Cambria Math" w:hAnsi="Cambria Math"/>
                </w:rPr>
              </m:ctrlPr>
            </m:sSubPr>
            <m:e>
              <m:r>
                <w:rPr>
                  <w:rFonts w:ascii="Cambria Math" w:hAnsi="Cambria Math"/>
                </w:rPr>
                <m:t>N</m:t>
              </m:r>
            </m:e>
            <m:sub>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θ</m:t>
                  </m:r>
                </m:sub>
              </m:sSub>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N</m:t>
              </m:r>
            </m:e>
            <m:sub>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θ</m:t>
                  </m:r>
                </m:sub>
              </m:sSub>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N</m:t>
              </m:r>
            </m:e>
            <m:sub>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q</m:t>
                  </m:r>
                </m:sub>
              </m:sSub>
            </m:sub>
          </m:sSub>
          <m:r>
            <m:rPr>
              <m:sty m:val="p"/>
            </m:rPr>
            <w:rPr>
              <w:rFonts w:ascii="Cambria Math" w:hAnsi="Cambria Math"/>
            </w:rPr>
            <m:t>+</m:t>
          </m:r>
          <m:r>
            <w:rPr>
              <w:rFonts w:ascii="Cambria Math" w:hAnsi="Cambria Math"/>
            </w:rPr>
            <m:t>0.15</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0.10</m:t>
          </m:r>
          <m:sSub>
            <m:sSubPr>
              <m:ctrlPr>
                <w:rPr>
                  <w:rFonts w:ascii="Cambria Math" w:hAnsi="Cambria Math"/>
                </w:rPr>
              </m:ctrlPr>
            </m:sSubPr>
            <m:e>
              <m:r>
                <w:rPr>
                  <w:rFonts w:ascii="Cambria Math" w:hAnsi="Cambria Math"/>
                </w:rPr>
                <m:t>N</m:t>
              </m:r>
            </m:e>
            <m:sub>
              <m:r>
                <w:rPr>
                  <w:rFonts w:ascii="Cambria Math" w:hAnsi="Cambria Math"/>
                </w:rPr>
                <m:t>over</m:t>
              </m:r>
            </m:sub>
          </m:sSub>
          <m:r>
            <m:rPr>
              <m:sty m:val="p"/>
            </m:rPr>
            <w:rPr>
              <w:rFonts w:ascii="Cambria Math" w:hAnsi="Cambria Math"/>
            </w:rPr>
            <m:t>,</m:t>
          </m:r>
        </m:oMath>
      </m:oMathPara>
    </w:p>
    <w:p w14:paraId="0C048071" w14:textId="77777777" w:rsidR="001353E8" w:rsidRDefault="00074D20">
      <w:pPr>
        <w:pStyle w:val="FirstParagraph"/>
        <w:spacing w:after="60"/>
        <w:jc w:val="both"/>
      </w:pPr>
      <w:r>
        <w:t xml:space="preserve">with the </w:t>
      </w:r>
      <m:oMath>
        <m:r>
          <w:rPr>
            <w:rFonts w:ascii="Cambria Math" w:hAnsi="Cambria Math"/>
          </w:rPr>
          <m:t>q</m:t>
        </m:r>
      </m:oMath>
      <w:r>
        <w:t xml:space="preserve">-error term omitted and the remaining weights renormalized when </w:t>
      </w:r>
      <m:oMath>
        <m:r>
          <w:rPr>
            <w:rFonts w:ascii="Cambria Math" w:hAnsi="Cambria Math"/>
          </w:rPr>
          <m:t>q</m:t>
        </m:r>
      </m:oMath>
      <w:r>
        <w:t xml:space="preserve"> measurements are unavailable. The resulting composite score is then used as a ranking aid, not as a substitute for the underlying metrics.</w:t>
      </w:r>
    </w:p>
    <w:p w14:paraId="23C036E9" w14:textId="77777777" w:rsidR="001353E8" w:rsidRDefault="00074D20">
      <w:pPr>
        <w:pStyle w:val="a0"/>
        <w:spacing w:after="60"/>
        <w:jc w:val="both"/>
      </w:pPr>
      <w:r>
        <w:t>A second layer of analysis decomposes discrepancies into phase mismatch, amplitude mismatch, and terminal-state bias. This decomposition is important for engineering interpretation because different discrepancy modes imply different corrective actions. For example, dominant phase mismatch may suggest deficiencies in effective inertia or damping balance, whereas terminal-state bias may indicate hydrostatic or cable-restoring mismatch. The discrepancy analysis therefore provides the bridge between validation metrics and the uncertainty-aware design guidance developed in Section 7.</w:t>
      </w:r>
    </w:p>
    <w:p w14:paraId="2007438A" w14:textId="77777777" w:rsidR="001353E8" w:rsidRDefault="00074D20">
      <w:pPr>
        <w:pStyle w:val="2"/>
      </w:pPr>
      <w:bookmarkStart w:id="41" w:name="validity-boundary-for-design-use"/>
      <w:bookmarkEnd w:id="40"/>
      <w:r>
        <w:rPr>
          <w:rStyle w:val="SectionNumber"/>
        </w:rPr>
        <w:t>6.6</w:t>
      </w:r>
      <w:r>
        <w:tab/>
        <w:t>Validity Boundary for Design Use</w:t>
      </w:r>
    </w:p>
    <w:p w14:paraId="51B6D621" w14:textId="77777777" w:rsidR="001353E8" w:rsidRDefault="00074D20">
      <w:pPr>
        <w:pStyle w:val="FirstParagraph"/>
        <w:spacing w:after="60"/>
        <w:jc w:val="both"/>
      </w:pPr>
      <w:r>
        <w:t>The main outcome of this section is not simply a statement of model accuracy, but a bounded validity region for engineering use. If the model reproduces trajectory shape, transition timing, and terminal behavior within acceptable limits over the evaluated condition set, it can be used in Section 7 as a design-analysis surrogate under clearly stated confidence boundaries. Where systematic discrepancy modes persist, those patterns are carried forward explicitly as uncertainty qualifiers rather than ignored.</w:t>
      </w:r>
    </w:p>
    <w:p w14:paraId="6E419763" w14:textId="77777777" w:rsidR="001353E8" w:rsidRDefault="00074D20">
      <w:pPr>
        <w:pStyle w:val="a0"/>
        <w:spacing w:after="60"/>
        <w:jc w:val="both"/>
      </w:pPr>
      <w:r>
        <w:t>This evidence-to-guidance transfer is central to the paper’s contribution: the model is used for design reasoning only after its failure modes and applicability boundaries have been characterized on experimental data.</w:t>
      </w:r>
    </w:p>
    <w:p w14:paraId="6559A447" w14:textId="77777777" w:rsidR="001353E8" w:rsidRDefault="00074D20">
      <w:pPr>
        <w:pStyle w:val="1"/>
        <w:spacing w:before="160"/>
      </w:pPr>
      <w:bookmarkStart w:id="42" w:name="parametric-analysis-and-design-guidance"/>
      <w:bookmarkEnd w:id="35"/>
      <w:bookmarkEnd w:id="41"/>
      <w:r>
        <w:rPr>
          <w:rStyle w:val="SectionNumber"/>
        </w:rPr>
        <w:t>7</w:t>
      </w:r>
      <w:r>
        <w:tab/>
        <w:t>Parametric Analysis and Design Guidance</w:t>
      </w:r>
    </w:p>
    <w:p w14:paraId="3B00269D" w14:textId="77777777" w:rsidR="001353E8" w:rsidRDefault="00074D20">
      <w:pPr>
        <w:pStyle w:val="2"/>
      </w:pPr>
      <w:bookmarkStart w:id="43" w:name="purpose-and-analysis-philosophy"/>
      <w:r>
        <w:rPr>
          <w:rStyle w:val="SectionNumber"/>
        </w:rPr>
        <w:t>7.1</w:t>
      </w:r>
      <w:r>
        <w:tab/>
        <w:t>Purpose and Analysis Philosophy</w:t>
      </w:r>
    </w:p>
    <w:p w14:paraId="0FD62151" w14:textId="77777777" w:rsidR="001353E8" w:rsidRDefault="00074D20">
      <w:pPr>
        <w:pStyle w:val="FirstParagraph"/>
        <w:spacing w:after="60"/>
        <w:jc w:val="both"/>
      </w:pPr>
      <w:r>
        <w:t xml:space="preserve">This section uses the validated model package to support deployment-oriented engineering decisions under bounded confidence. The goal is not to claim a </w:t>
      </w:r>
      <w:proofErr w:type="gramStart"/>
      <w:r>
        <w:t>globally</w:t>
      </w:r>
      <w:proofErr w:type="gramEnd"/>
      <w:r>
        <w:t xml:space="preserve"> optimal control or configuration law, but to translate the experimentally assessed model into practical guidance for the current platform architecture. All recommendations in this section are therefore conditional on the validity boundary established in Section 6 and on the configuration and evidence assumptions defined in Sections 2–3.</w:t>
      </w:r>
    </w:p>
    <w:p w14:paraId="24C8D075" w14:textId="77777777" w:rsidR="001353E8" w:rsidRDefault="00074D20">
      <w:pPr>
        <w:pStyle w:val="a0"/>
        <w:spacing w:after="60"/>
        <w:jc w:val="both"/>
      </w:pPr>
      <w:r>
        <w:lastRenderedPageBreak/>
        <w:t xml:space="preserve">The analysis is organized around three questions that matter for deployment practice. First, for which initial conditions is transition completion likely or unlikely under the current configuration? Second, how do actuation timing decisions </w:t>
      </w:r>
      <w:proofErr w:type="gramStart"/>
      <w:r>
        <w:t>trade off</w:t>
      </w:r>
      <w:proofErr w:type="gramEnd"/>
      <w:r>
        <w:t xml:space="preserve"> transition speed, overshoot, and safety-relevant behavior? Third, how sensitive are these conclusions to plausible uncertainty in hydrostatic and damping-related parameters? The subsection structure below follows this progression </w:t>
      </w:r>
      <w:proofErr w:type="gramStart"/>
      <w:r>
        <w:t>from feasibility,</w:t>
      </w:r>
      <w:proofErr w:type="gramEnd"/>
      <w:r>
        <w:t xml:space="preserve"> to performance trade-off, to robustness.</w:t>
      </w:r>
    </w:p>
    <w:p w14:paraId="46F1DC8A" w14:textId="77777777" w:rsidR="001353E8" w:rsidRDefault="00074D20">
      <w:pPr>
        <w:pStyle w:val="2"/>
      </w:pPr>
      <w:bookmarkStart w:id="44" w:name="initial-condition-feasibility-envelope"/>
      <w:bookmarkEnd w:id="43"/>
      <w:r>
        <w:rPr>
          <w:rStyle w:val="SectionNumber"/>
        </w:rPr>
        <w:t>7.2</w:t>
      </w:r>
      <w:r>
        <w:tab/>
        <w:t>Initial-Condition Feasibility Envelope</w:t>
      </w:r>
    </w:p>
    <w:p w14:paraId="47A67146" w14:textId="77777777" w:rsidR="001353E8" w:rsidRDefault="00074D20">
      <w:pPr>
        <w:pStyle w:val="FirstParagraph"/>
        <w:spacing w:after="60"/>
        <w:jc w:val="both"/>
      </w:pPr>
      <w:r>
        <w:t>The initial-condition envelope analysis maps model-predicted transition outcomes over the deployment-relevant space of initial pitch angle and pitch-rate states. Rather than reporting only individual trajectories, the analysis summarizes regions associated with successful transition completion, delayed convergence, stall-like behavior, and undesirable dynamic responses. This representation is useful because deployment planning decisions are typically made in terms of admissible release conditions, not isolated time histories.</w:t>
      </w:r>
    </w:p>
    <w:p w14:paraId="57546DC9" w14:textId="77777777" w:rsidR="001353E8" w:rsidRDefault="00074D20">
      <w:pPr>
        <w:pStyle w:val="a0"/>
        <w:spacing w:after="60"/>
        <w:jc w:val="both"/>
      </w:pPr>
      <w:r>
        <w:t>The envelope should be interpreted as a model-based operational map under the calibrated parameter set and the validation-derived confidence boundary. Regions near decision boundaries are expected to be more sensitive to parameter uncertainty and should be treated conservatively in engineering use.</w:t>
      </w:r>
    </w:p>
    <w:p w14:paraId="5D048C50" w14:textId="77777777" w:rsidR="001353E8" w:rsidRDefault="00074D20">
      <w:pPr>
        <w:pStyle w:val="2"/>
      </w:pPr>
      <w:bookmarkStart w:id="45" w:name="actuation-timing-and-strategy-trade-offs"/>
      <w:bookmarkEnd w:id="44"/>
      <w:r>
        <w:rPr>
          <w:rStyle w:val="SectionNumber"/>
        </w:rPr>
        <w:t>7.3</w:t>
      </w:r>
      <w:r>
        <w:tab/>
        <w:t>Actuation Timing and Strategy Trade-Offs</w:t>
      </w:r>
    </w:p>
    <w:p w14:paraId="1287C02B" w14:textId="77777777" w:rsidR="001353E8" w:rsidRDefault="00074D20">
      <w:pPr>
        <w:pStyle w:val="FirstParagraph"/>
        <w:spacing w:after="60"/>
        <w:jc w:val="both"/>
      </w:pPr>
      <w:r>
        <w:t>The current platform configuration allows strategy comparisons based on actuation timing, including shutdown-angle sweeps and baseline always-on behavior. The purpose of this analysis is to expose trade-offs among transition duration, overshoot, terminal rate, and safety-relevant trajectory characteristics rather than to optimize a single scalar metric in isolation. In practice, different deployment priorities may require different operating points even under the same hardware configuration.</w:t>
      </w:r>
    </w:p>
    <w:p w14:paraId="7CE3E2B2" w14:textId="77777777" w:rsidR="001353E8" w:rsidRDefault="00074D20">
      <w:pPr>
        <w:pStyle w:val="a0"/>
        <w:spacing w:after="60"/>
        <w:jc w:val="both"/>
      </w:pPr>
      <w:r>
        <w:t xml:space="preserve">A useful presentation is to define a scenario-specific objective surface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off</m:t>
            </m:r>
          </m:sub>
        </m:sSub>
        <m:r>
          <m:rPr>
            <m:sty m:val="p"/>
          </m:rPr>
          <w:rPr>
            <w:rFonts w:ascii="Cambria Math" w:hAnsi="Cambria Math"/>
          </w:rPr>
          <m:t>)</m:t>
        </m:r>
      </m:oMath>
      <w:r>
        <w:t xml:space="preserve"> and to interpret it together with explicit feasibility constraints. The objective surface should not be treated as universally transferable across missions; instead, it serves as a transparent decision aid that makes the trade-offs and assumptions visible. The preferred operating region is therefore identified as a feasible valley under the chosen weighting and safety constraints, not as a context-free optimum.</w:t>
      </w:r>
    </w:p>
    <w:p w14:paraId="4D7CC5E4" w14:textId="77777777" w:rsidR="001353E8" w:rsidRDefault="00074D20">
      <w:pPr>
        <w:pStyle w:val="2"/>
      </w:pPr>
      <w:bookmarkStart w:id="46" w:name="X477d884e33d7a523b36b32a0fc2548a35253f6e"/>
      <w:bookmarkEnd w:id="45"/>
      <w:r>
        <w:rPr>
          <w:rStyle w:val="SectionNumber"/>
        </w:rPr>
        <w:t>7.4</w:t>
      </w:r>
      <w:r>
        <w:tab/>
        <w:t>Sensitivity to Hydrostatic and Damping Uncertainty</w:t>
      </w:r>
    </w:p>
    <w:p w14:paraId="46C0A627" w14:textId="77777777" w:rsidR="001353E8" w:rsidRDefault="00074D20">
      <w:pPr>
        <w:pStyle w:val="FirstParagraph"/>
        <w:spacing w:after="60"/>
        <w:jc w:val="both"/>
      </w:pPr>
      <w:r>
        <w:t xml:space="preserve">Because </w:t>
      </w:r>
      <w:proofErr w:type="gramStart"/>
      <w:r>
        <w:t>the platform</w:t>
      </w:r>
      <w:proofErr w:type="gramEnd"/>
      <w:r>
        <w:t xml:space="preserve"> behavior depends on the balance among hydrostatic restoring effects, hydrodynamic moment closure, and damping, parametric guidance must be stress-tested against plausible uncertainty. This subsection evaluates sensitivity to variations in the buoyancy–gravity geometry (represented through the effective </w:t>
      </w:r>
      <m:oMath>
        <m:r>
          <w:rPr>
            <w:rFonts w:ascii="Cambria Math" w:hAnsi="Cambria Math"/>
          </w:rPr>
          <m:t>BG</m:t>
        </m:r>
      </m:oMath>
      <w:r>
        <w:t xml:space="preserve">-related restoring characteristics) and damping-related parameters. The objective is to identify whether the feasibility envelope and recommended operating region remain structurally </w:t>
      </w:r>
      <w:r>
        <w:t>stable under perturbations consistent with Section 6 discrepancy patterns and the available identification evidence.</w:t>
      </w:r>
    </w:p>
    <w:p w14:paraId="67B2F657" w14:textId="77777777" w:rsidR="001353E8" w:rsidRDefault="00074D20">
      <w:pPr>
        <w:pStyle w:val="a0"/>
        <w:spacing w:after="60"/>
        <w:jc w:val="both"/>
      </w:pPr>
      <w:r>
        <w:t>Sensitivity results should be interpreted in terms of envelope shift, boundary deformation, and change in ranking among candidate actuation strategies. Large topology changes in the envelope indicate that recommendations are fragile and require either additional experiments or tighter parameter control in hardware. Modest shifts suggest that the operating guidance is robust enough for practical decision support within the stated scope.</w:t>
      </w:r>
    </w:p>
    <w:p w14:paraId="57A14F15" w14:textId="77777777" w:rsidR="001353E8" w:rsidRDefault="00074D20">
      <w:pPr>
        <w:pStyle w:val="2"/>
      </w:pPr>
      <w:bookmarkStart w:id="47" w:name="X244e1603d8bd1d9ffece10eb4d75c65bf54d3d9"/>
      <w:bookmarkEnd w:id="46"/>
      <w:r>
        <w:rPr>
          <w:rStyle w:val="SectionNumber"/>
        </w:rPr>
        <w:t>7.5</w:t>
      </w:r>
      <w:r>
        <w:tab/>
        <w:t>Integrated Operating Guidance for the Current Platform</w:t>
      </w:r>
    </w:p>
    <w:p w14:paraId="6263AC8C" w14:textId="77777777" w:rsidR="001353E8" w:rsidRDefault="00074D20">
      <w:pPr>
        <w:pStyle w:val="FirstParagraph"/>
        <w:spacing w:after="60"/>
        <w:jc w:val="both"/>
      </w:pPr>
      <w:r>
        <w:t xml:space="preserve">The final step combines feasibility, strategy trade-off, and sensitivity results </w:t>
      </w:r>
      <w:proofErr w:type="gramStart"/>
      <w:r>
        <w:t>into</w:t>
      </w:r>
      <w:proofErr w:type="gramEnd"/>
      <w:r>
        <w:t xml:space="preserve"> a deployment-oriented operating guidance chart for the current platform. The recommended region is defined as the subset of conditions that satisfy feasibility criteria, avoid high-risk boundary zones, and maintain acceptable performance under the examined uncertainty range. In other words, the recommended operating region is a </w:t>
      </w:r>
      <w:proofErr w:type="gramStart"/>
      <w:r>
        <w:t>robustness</w:t>
      </w:r>
      <w:proofErr w:type="gramEnd"/>
      <w:r>
        <w:t>-filtered subset of the nominally feasible region.</w:t>
      </w:r>
    </w:p>
    <w:p w14:paraId="24DF617C" w14:textId="77777777" w:rsidR="001353E8" w:rsidRDefault="00074D20">
      <w:pPr>
        <w:pStyle w:val="a0"/>
        <w:spacing w:after="60"/>
        <w:jc w:val="both"/>
      </w:pPr>
      <w:r>
        <w:t>This integrated presentation is important because individual analyses can be misleading when read in isolation. A condition that appears attractive in the nominal objective surface may lie near a sensitivity-induced boundary shift, while a conservative region with slightly worse nominal performance may be preferable in practice. The resulting guidance chart therefore emphasizes decision transparency and robustness rather than nominal performance alone.</w:t>
      </w:r>
    </w:p>
    <w:p w14:paraId="28AB97BB" w14:textId="77777777" w:rsidR="001353E8" w:rsidRDefault="00074D20">
      <w:pPr>
        <w:pStyle w:val="2"/>
      </w:pPr>
      <w:bookmarkStart w:id="48" w:name="X0d83df5137d8e687d14acc15572178352f8de56"/>
      <w:bookmarkEnd w:id="47"/>
      <w:r>
        <w:rPr>
          <w:rStyle w:val="SectionNumber"/>
        </w:rPr>
        <w:t>7.6</w:t>
      </w:r>
      <w:r>
        <w:tab/>
        <w:t>Scope of the Guidance and Transferability Limits</w:t>
      </w:r>
    </w:p>
    <w:p w14:paraId="59E8B7ED" w14:textId="77777777" w:rsidR="001353E8" w:rsidRDefault="00074D20">
      <w:pPr>
        <w:pStyle w:val="FirstParagraph"/>
        <w:spacing w:after="60"/>
        <w:jc w:val="both"/>
      </w:pPr>
      <w:r>
        <w:t xml:space="preserve">The design guidance in this section is intended for the present mission-oriented platform configuration and the transition phase studied in this manuscript. It should not be generalized to other geometries, payload layouts, or actuation </w:t>
      </w:r>
      <w:proofErr w:type="gramStart"/>
      <w:r>
        <w:t>architectures</w:t>
      </w:r>
      <w:proofErr w:type="gramEnd"/>
      <w:r>
        <w:t xml:space="preserve"> without re-identification and re-validation. The value of the framework lies in the procedure: once a new configuration is instrumented and validated under the same evidence logic, the same analysis structure can be reused to generate configuration-specific guidance.</w:t>
      </w:r>
    </w:p>
    <w:p w14:paraId="4FE4D484" w14:textId="77777777" w:rsidR="001353E8" w:rsidRDefault="00074D20">
      <w:pPr>
        <w:pStyle w:val="1"/>
        <w:spacing w:before="160"/>
      </w:pPr>
      <w:bookmarkStart w:id="49" w:name="conclusions"/>
      <w:bookmarkEnd w:id="42"/>
      <w:bookmarkEnd w:id="48"/>
      <w:r>
        <w:rPr>
          <w:rStyle w:val="SectionNumber"/>
        </w:rPr>
        <w:t>8</w:t>
      </w:r>
      <w:r>
        <w:tab/>
        <w:t>Conclusions</w:t>
      </w:r>
    </w:p>
    <w:p w14:paraId="18B9A87E" w14:textId="77777777" w:rsidR="001353E8" w:rsidRDefault="00074D20">
      <w:pPr>
        <w:pStyle w:val="2"/>
      </w:pPr>
      <w:bookmarkStart w:id="50" w:name="summary-of-the-study-and-main-findings"/>
      <w:r>
        <w:rPr>
          <w:rStyle w:val="SectionNumber"/>
        </w:rPr>
        <w:t>8.1</w:t>
      </w:r>
      <w:r>
        <w:tab/>
        <w:t>Summary of the Study and Main Findings</w:t>
      </w:r>
    </w:p>
    <w:p w14:paraId="2581A9C4" w14:textId="77777777" w:rsidR="001353E8" w:rsidRDefault="00074D20">
      <w:pPr>
        <w:pStyle w:val="FirstParagraph"/>
        <w:spacing w:after="60"/>
        <w:jc w:val="both"/>
      </w:pPr>
      <w:r>
        <w:t>This paper presented a mission-oriented platform–model–evidence workflow for the horizontal-launch to vertical-stabilization phase of a self-suspending underwater corner-reflector deployment platform. The study treated platform realization and dynamic characterization as coupled engineering tasks and developed a reduced-order modeling framework that remains physically interpretable while being compatible with protocolized free-decay evidence. The resulting model combines a planar 3-DOF transition-phase description, anisotropic permeability-corrected inertial coupling, CFD-supported static hydrodynamic closure, and experiment-based dynamic parameter determination.</w:t>
      </w:r>
    </w:p>
    <w:p w14:paraId="7A5A7C52" w14:textId="77777777" w:rsidR="001353E8" w:rsidRDefault="00074D20">
      <w:pPr>
        <w:pStyle w:val="a0"/>
        <w:spacing w:after="60"/>
        <w:jc w:val="both"/>
      </w:pPr>
      <w:r>
        <w:lastRenderedPageBreak/>
        <w:t xml:space="preserve">The central outcome of the work is a closed evidence chain rather than a single isolated artifact. Platform design assumptions were made explicit, the reduced-order equations were governed by clear replacement and non-duplication rules, parameters were determined using a reproducible pipeline with condition-level split governance, and the calibrated model package was carried forward without </w:t>
      </w:r>
      <w:proofErr w:type="gramStart"/>
      <w:r>
        <w:t>retuning</w:t>
      </w:r>
      <w:proofErr w:type="gramEnd"/>
      <w:r>
        <w:t xml:space="preserve"> to validation and parametric design analysis. This structure supports engineering interpretation and reduces ambiguity when extending the framework to expanded datasets.</w:t>
      </w:r>
    </w:p>
    <w:p w14:paraId="7C6057DC" w14:textId="77777777" w:rsidR="001353E8" w:rsidRDefault="00074D20">
      <w:pPr>
        <w:pStyle w:val="2"/>
      </w:pPr>
      <w:bookmarkStart w:id="51" w:name="engineering-implications"/>
      <w:bookmarkEnd w:id="50"/>
      <w:r>
        <w:rPr>
          <w:rStyle w:val="SectionNumber"/>
        </w:rPr>
        <w:t>8.2</w:t>
      </w:r>
      <w:r>
        <w:tab/>
        <w:t>Engineering Implications</w:t>
      </w:r>
    </w:p>
    <w:p w14:paraId="17179FB7" w14:textId="77777777" w:rsidR="001353E8" w:rsidRDefault="00074D20">
      <w:pPr>
        <w:pStyle w:val="FirstParagraph"/>
        <w:spacing w:after="60"/>
        <w:jc w:val="both"/>
      </w:pPr>
      <w:r>
        <w:t>From an engineering perspective, the study provides a practical route for converting mission-specific deployment requirements into a validated dynamic model and then into bounded operating guidance. The framework is particularly useful when the transition phase, rather than steady cruising or closed-loop tracking, determines mission success. By explicitly connecting validation discrepancy modes to the uncertainty-aware design analysis, the paper also demonstrates how model limitations can inform decision-making instead of being treated merely as reporting caveats.</w:t>
      </w:r>
    </w:p>
    <w:p w14:paraId="0056EEA6" w14:textId="77777777" w:rsidR="001353E8" w:rsidRDefault="00074D20">
      <w:pPr>
        <w:pStyle w:val="a0"/>
        <w:spacing w:after="60"/>
        <w:jc w:val="both"/>
      </w:pPr>
      <w:r>
        <w:t xml:space="preserve">A second practical implication is </w:t>
      </w:r>
      <w:proofErr w:type="gramStart"/>
      <w:r>
        <w:t>methodological</w:t>
      </w:r>
      <w:proofErr w:type="gramEnd"/>
      <w:r>
        <w:t>. The manuscript shows how CFD and free-decay experiments can play complementary roles in a reduced-order model: CFD supplies static hydrodynamic closure and mechanism-support evidence, whereas dynamic damping and coupling parameters are constrained by experimental identification. This division of labor helps preserve interpretability and avoids over-claiming what static CFD alone can determine.</w:t>
      </w:r>
    </w:p>
    <w:p w14:paraId="220E0E81" w14:textId="77777777" w:rsidR="001353E8" w:rsidRDefault="00074D20">
      <w:pPr>
        <w:pStyle w:val="2"/>
      </w:pPr>
      <w:bookmarkStart w:id="52" w:name="limitations"/>
      <w:bookmarkEnd w:id="51"/>
      <w:r>
        <w:rPr>
          <w:rStyle w:val="SectionNumber"/>
        </w:rPr>
        <w:t>8.3</w:t>
      </w:r>
      <w:r>
        <w:tab/>
        <w:t>Limitations</w:t>
      </w:r>
    </w:p>
    <w:p w14:paraId="104F272F" w14:textId="77777777" w:rsidR="001353E8" w:rsidRDefault="00074D20">
      <w:pPr>
        <w:pStyle w:val="FirstParagraph"/>
        <w:spacing w:after="60"/>
        <w:jc w:val="both"/>
      </w:pPr>
      <w:r>
        <w:t>The conclusions of this paper are intentionally limited to the current platform geometry, mass distribution, buoyancy layout, and actuation strategy. The available experimental dataset in the present repository stage is also limited relative to the full target condition matrix, which constrains the strength of statistical generalization claims. In addition, the identification and validation framework prioritizes the transition phase and does not attempt to model broader mission behaviors such as long-duration motion, environmental disturbance rejection, or closed-loop depth control.</w:t>
      </w:r>
    </w:p>
    <w:p w14:paraId="479F0067" w14:textId="77777777" w:rsidR="001353E8" w:rsidRDefault="00074D20">
      <w:pPr>
        <w:pStyle w:val="a0"/>
        <w:spacing w:after="60"/>
        <w:jc w:val="both"/>
      </w:pPr>
      <w:r>
        <w:t>These limitations are not incidental; they are part of the claim boundary of the study. The manuscript is designed to provide a defensible engineering characterization of a mission-critical phase under explicit assumptions, rather than a universal dynamic model for all underwater deployment systems.</w:t>
      </w:r>
    </w:p>
    <w:p w14:paraId="39DF5073" w14:textId="77777777" w:rsidR="001353E8" w:rsidRDefault="00074D20">
      <w:pPr>
        <w:pStyle w:val="2"/>
      </w:pPr>
      <w:bookmarkStart w:id="53" w:name="future-work"/>
      <w:bookmarkEnd w:id="52"/>
      <w:r>
        <w:rPr>
          <w:rStyle w:val="SectionNumber"/>
        </w:rPr>
        <w:t>8.4</w:t>
      </w:r>
      <w:r>
        <w:tab/>
        <w:t>Future Work</w:t>
      </w:r>
    </w:p>
    <w:p w14:paraId="471E2E3C" w14:textId="77777777" w:rsidR="001353E8" w:rsidRDefault="00074D20">
      <w:pPr>
        <w:pStyle w:val="FirstParagraph"/>
        <w:spacing w:after="60"/>
        <w:jc w:val="both"/>
      </w:pPr>
      <w:r>
        <w:t>Future work will focus on expanding the free-decay condition matrix, improving uncertainty quantification through multi-start and bootstrap-enabled studies, and strengthening out-of-sample validation across broader operating conditions. Additional work is also needed to integrate the transition-phase model into a higher-level deployment and control framework that includes post-stabilization behaviors and closed-loop objectives.</w:t>
      </w:r>
    </w:p>
    <w:p w14:paraId="6BE08132" w14:textId="77777777" w:rsidR="001353E8" w:rsidRDefault="00074D20">
      <w:pPr>
        <w:pStyle w:val="a0"/>
        <w:spacing w:after="60"/>
        <w:jc w:val="both"/>
      </w:pPr>
      <w:r>
        <w:t>Beyond the current platform, the most transferable outcome of this study is the workflow itself: mission-informed platform definition, equation-governed reduced-order modeling, reproducible parameter determination, condition-level validation, and uncertainty-aware design guidance. Applying the same workflow to revised geometries or alternative actuation concepts is a natural next step for developing configuration-specific deployment tools with clearer evidence traceability.</w:t>
      </w:r>
    </w:p>
    <w:p w14:paraId="1EC94D5B" w14:textId="77777777" w:rsidR="001353E8" w:rsidRDefault="00074D20">
      <w:pPr>
        <w:pStyle w:val="1"/>
        <w:spacing w:before="160"/>
      </w:pPr>
      <w:bookmarkStart w:id="54" w:name="data-availability"/>
      <w:bookmarkEnd w:id="49"/>
      <w:bookmarkEnd w:id="53"/>
      <w:r>
        <w:t>Data availability</w:t>
      </w:r>
    </w:p>
    <w:p w14:paraId="2BA96F01" w14:textId="77777777" w:rsidR="001353E8" w:rsidRDefault="00074D20">
      <w:pPr>
        <w:pStyle w:val="FirstParagraph"/>
        <w:spacing w:after="60"/>
        <w:jc w:val="both"/>
      </w:pPr>
      <w:r>
        <w:t>The data that support the findings of this study are available in a public repository [DOI/URL to be inserted before submission]. If specific subsets cannot be openly shared, the corresponding restriction reason will be stated explicitly in this section.</w:t>
      </w:r>
    </w:p>
    <w:p w14:paraId="1E145620" w14:textId="77777777" w:rsidR="001353E8" w:rsidRDefault="00074D20">
      <w:pPr>
        <w:pStyle w:val="1"/>
        <w:spacing w:before="160"/>
      </w:pPr>
      <w:bookmarkStart w:id="55" w:name="credit-authorship-contribution-statement"/>
      <w:bookmarkEnd w:id="54"/>
      <w:proofErr w:type="spellStart"/>
      <w:r>
        <w:t>CRediT</w:t>
      </w:r>
      <w:proofErr w:type="spellEnd"/>
      <w:r>
        <w:t xml:space="preserve"> authorship contribution statement</w:t>
      </w:r>
    </w:p>
    <w:p w14:paraId="0D38DE86" w14:textId="77777777" w:rsidR="001353E8" w:rsidRDefault="00074D20">
      <w:pPr>
        <w:pStyle w:val="1"/>
        <w:spacing w:before="160"/>
      </w:pPr>
      <w:bookmarkStart w:id="56" w:name="funding"/>
      <w:bookmarkEnd w:id="55"/>
      <w:r>
        <w:t>Funding</w:t>
      </w:r>
    </w:p>
    <w:p w14:paraId="59BD6670" w14:textId="77777777" w:rsidR="001353E8" w:rsidRDefault="00074D20">
      <w:pPr>
        <w:pStyle w:val="FirstParagraph"/>
        <w:spacing w:after="60"/>
        <w:jc w:val="both"/>
      </w:pPr>
      <w:r>
        <w:t xml:space="preserve">This research did not receive any specific grant from funding agencies in the public, commercial, or </w:t>
      </w:r>
      <w:proofErr w:type="gramStart"/>
      <w:r>
        <w:t>not-for</w:t>
      </w:r>
      <w:proofErr w:type="gramEnd"/>
      <w:r>
        <w:t>-profit sectors.</w:t>
      </w:r>
    </w:p>
    <w:p w14:paraId="520FB386" w14:textId="77777777" w:rsidR="001353E8" w:rsidRDefault="00074D20">
      <w:pPr>
        <w:pStyle w:val="1"/>
        <w:spacing w:before="160"/>
      </w:pPr>
      <w:bookmarkStart w:id="57" w:name="X1f74eb43af444059c7518034463b6c89b1cacf4"/>
      <w:bookmarkEnd w:id="56"/>
      <w:r>
        <w:t>Declaration of generative AI and AI-assisted technologies in the manuscript preparation process</w:t>
      </w:r>
    </w:p>
    <w:p w14:paraId="3F66F78B" w14:textId="77777777" w:rsidR="001353E8" w:rsidRDefault="00074D20">
      <w:pPr>
        <w:pStyle w:val="1"/>
        <w:spacing w:before="160"/>
      </w:pPr>
      <w:bookmarkStart w:id="58" w:name="declaration-of-competing-interest"/>
      <w:bookmarkEnd w:id="57"/>
      <w:r>
        <w:t xml:space="preserve">Declaration of </w:t>
      </w:r>
      <w:proofErr w:type="gramStart"/>
      <w:r>
        <w:t>competing interest</w:t>
      </w:r>
      <w:proofErr w:type="gramEnd"/>
    </w:p>
    <w:p w14:paraId="6C335D7E" w14:textId="77777777" w:rsidR="001353E8" w:rsidRDefault="00074D20">
      <w:pPr>
        <w:pStyle w:val="FirstParagraph"/>
        <w:spacing w:after="60"/>
        <w:jc w:val="both"/>
      </w:pPr>
      <w:r>
        <w:t>The authors declare that they have no known competing financial interests or personal relationships that could have appeared to influence the work reported in this paper.</w:t>
      </w:r>
    </w:p>
    <w:p w14:paraId="0996AE5A" w14:textId="77777777" w:rsidR="001353E8" w:rsidRDefault="00074D20">
      <w:pPr>
        <w:pStyle w:val="1"/>
        <w:spacing w:before="160"/>
      </w:pPr>
      <w:bookmarkStart w:id="59" w:name="acknowledgements"/>
      <w:bookmarkEnd w:id="58"/>
      <w:r>
        <w:t>Acknowledgements</w:t>
      </w:r>
    </w:p>
    <w:p w14:paraId="74AB64AB" w14:textId="77777777" w:rsidR="001353E8" w:rsidRDefault="00074D20">
      <w:pPr>
        <w:pStyle w:val="1"/>
        <w:spacing w:before="160"/>
      </w:pPr>
      <w:bookmarkStart w:id="60" w:name="references"/>
      <w:bookmarkEnd w:id="59"/>
      <w:r>
        <w:t>References</w:t>
      </w:r>
    </w:p>
    <w:p w14:paraId="2E122C78" w14:textId="77777777" w:rsidR="007845C9" w:rsidRPr="007845C9" w:rsidRDefault="007845C9" w:rsidP="007845C9">
      <w:pPr>
        <w:pStyle w:val="a9"/>
      </w:pPr>
      <w:bookmarkStart w:id="61" w:name="ZOTERO_BREF_E7rEblB4tfvl"/>
      <w:bookmarkEnd w:id="60"/>
      <w:r w:rsidRPr="007845C9">
        <w:t xml:space="preserve">Li, Q., Cao, Y., Li, B., Ingram, D.M., </w:t>
      </w:r>
      <w:proofErr w:type="spellStart"/>
      <w:r w:rsidRPr="007845C9">
        <w:t>Kiprakis</w:t>
      </w:r>
      <w:proofErr w:type="spellEnd"/>
      <w:r w:rsidRPr="007845C9">
        <w:t>, A., 2020. Numerical Modelling and Experimental Testing of the Hydrodynamic Characteristics for an Open-Frame Remotely Operated Vehicle. Journal of Marine Science and Engineering 8, 688. https://doi.org/10.3390/jmse8090688</w:t>
      </w:r>
    </w:p>
    <w:p w14:paraId="0A40B8A3" w14:textId="77777777" w:rsidR="007845C9" w:rsidRPr="007845C9" w:rsidRDefault="007845C9" w:rsidP="007845C9">
      <w:pPr>
        <w:pStyle w:val="a9"/>
      </w:pPr>
      <w:r w:rsidRPr="007845C9">
        <w:t xml:space="preserve">Luo, Y., Chen, X., Xiao, D., Wen, W., Xie, T., 2020. An air cavity method for increasing the underwater acoustic targets strength of corner reflector. </w:t>
      </w:r>
      <w:proofErr w:type="spellStart"/>
      <w:r w:rsidRPr="007845C9">
        <w:t>Defence</w:t>
      </w:r>
      <w:proofErr w:type="spellEnd"/>
      <w:r w:rsidRPr="007845C9">
        <w:t xml:space="preserve"> Technology 16, 493–501. https://doi.org/10.1016/j.dt.2019.09.008</w:t>
      </w:r>
    </w:p>
    <w:p w14:paraId="6FF7EBCD" w14:textId="77777777" w:rsidR="007845C9" w:rsidRPr="007845C9" w:rsidRDefault="007845C9" w:rsidP="007845C9">
      <w:pPr>
        <w:pStyle w:val="a9"/>
      </w:pPr>
      <w:r w:rsidRPr="007845C9">
        <w:t>Molin, B., 2011. Hydrodynamic modeling of perforated structures. Applied Ocean Research 33, 1–11. https://doi.org/10.1016/j.apor.2010.11.003</w:t>
      </w:r>
    </w:p>
    <w:p w14:paraId="151E0638" w14:textId="77777777" w:rsidR="007845C9" w:rsidRPr="007845C9" w:rsidRDefault="007845C9" w:rsidP="007845C9">
      <w:pPr>
        <w:pStyle w:val="a9"/>
      </w:pPr>
      <w:r w:rsidRPr="007845C9">
        <w:t>Ross, A., Fossen, T.I., Johansen, T.A., 2004. Identification of underwater vehicle hydrodynamic coefficients using free decay tests. IFAC Proceedings Volumes, IFAC Conference on Computer Applications in Marine Systems - CAMS 2004, Ancona, Italy, 7-9 July 2004 37, 363–368. https://doi.org/10.1016/S1474-6670(17)31759-7</w:t>
      </w:r>
    </w:p>
    <w:p w14:paraId="3BE157CE" w14:textId="77777777" w:rsidR="007845C9" w:rsidRPr="007845C9" w:rsidRDefault="007845C9" w:rsidP="007845C9">
      <w:pPr>
        <w:pStyle w:val="a9"/>
      </w:pPr>
      <w:r w:rsidRPr="007845C9">
        <w:t>Wang, Z., Gu, H., Lang, J., Xing, L., 2024. Safety Analysis of Initial Separation Phase for AUV Deployment of Mission Payloads. Journal of Marine Science and Engineering 12. https://doi.org/10.3390/jmse12040608</w:t>
      </w:r>
    </w:p>
    <w:p w14:paraId="4EF23BEC" w14:textId="77777777" w:rsidR="007845C9" w:rsidRPr="007845C9" w:rsidRDefault="007845C9" w:rsidP="007845C9">
      <w:pPr>
        <w:pStyle w:val="a9"/>
      </w:pPr>
      <w:r w:rsidRPr="007845C9">
        <w:t>Xiao, D., Zhang, J., Chu, Z., Luo, Y., 2025. Research on the Acoustic Scattering Characteristics of Underwater Corner Reflector Linear Arrays. Sensors 25. https://doi.org/10.3390/s25072129</w:t>
      </w:r>
    </w:p>
    <w:p w14:paraId="3DF1AE84" w14:textId="77777777" w:rsidR="007845C9" w:rsidRPr="007845C9" w:rsidRDefault="007845C9" w:rsidP="007845C9">
      <w:pPr>
        <w:pStyle w:val="a9"/>
      </w:pPr>
      <w:r w:rsidRPr="007845C9">
        <w:lastRenderedPageBreak/>
        <w:t>Zhou, F., Fan, J., Wang, B., Zhou, Y., Huang, J., 2022. Acoustic barcode based on the acoustic scattering characteristics of underwater targets. Applied Acoustics 189, 108607. https://doi.org/10.1016/j.apacoust.2021.108607</w:t>
      </w:r>
    </w:p>
    <w:p w14:paraId="7BC0D95D" w14:textId="77777777" w:rsidR="007845C9" w:rsidRPr="007845C9" w:rsidRDefault="007845C9" w:rsidP="007845C9">
      <w:pPr>
        <w:pStyle w:val="a9"/>
      </w:pPr>
      <w:r w:rsidRPr="007845C9">
        <w:t>Zhou, F., Wang, Z., Liu, Z., Xiong, J., Peng, Z., Fan, J., 2025. Flexible inflatable structures in underwater acoustics: Scattering experiments. Applied Acoustics 239, 110825. https://doi.org/10.1016/j.apacoust.2025.110825</w:t>
      </w:r>
    </w:p>
    <w:bookmarkEnd w:id="61"/>
    <w:p w14:paraId="71A13D8F" w14:textId="410FD585" w:rsidR="00191B39" w:rsidRPr="00191B39" w:rsidRDefault="00191B39" w:rsidP="00191B39">
      <w:pPr>
        <w:pStyle w:val="a9"/>
        <w:spacing w:after="40"/>
        <w:jc w:val="both"/>
        <w:rPr>
          <w:rFonts w:eastAsiaTheme="minorEastAsia"/>
          <w:lang w:eastAsia="zh-CN"/>
        </w:rPr>
      </w:pPr>
    </w:p>
    <w:sectPr w:rsidR="00191B39" w:rsidRPr="00191B39">
      <w:footnotePr>
        <w:numRestart w:val="eachSect"/>
      </w:footnotePr>
      <w:pgSz w:w="11906" w:h="16838"/>
      <w:pgMar w:top="1020" w:right="850" w:bottom="1134" w:left="850" w:header="720" w:footer="720"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8C28" w14:textId="77777777" w:rsidR="0084747A" w:rsidRDefault="0084747A" w:rsidP="003337DE">
      <w:pPr>
        <w:spacing w:after="0"/>
      </w:pPr>
      <w:r>
        <w:separator/>
      </w:r>
    </w:p>
  </w:endnote>
  <w:endnote w:type="continuationSeparator" w:id="0">
    <w:p w14:paraId="51A29367" w14:textId="77777777" w:rsidR="0084747A" w:rsidRDefault="0084747A" w:rsidP="003337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8EB0D" w14:textId="77777777" w:rsidR="0084747A" w:rsidRDefault="0084747A" w:rsidP="003337DE">
      <w:pPr>
        <w:spacing w:after="0"/>
      </w:pPr>
      <w:r>
        <w:separator/>
      </w:r>
    </w:p>
  </w:footnote>
  <w:footnote w:type="continuationSeparator" w:id="0">
    <w:p w14:paraId="2B1F338B" w14:textId="77777777" w:rsidR="0084747A" w:rsidRDefault="0084747A" w:rsidP="003337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A0E7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B667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4E39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DF4836"/>
    <w:multiLevelType w:val="multilevel"/>
    <w:tmpl w:val="2042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15A03"/>
    <w:multiLevelType w:val="multilevel"/>
    <w:tmpl w:val="D5E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8350C"/>
    <w:multiLevelType w:val="hybridMultilevel"/>
    <w:tmpl w:val="3F6EC55C"/>
    <w:lvl w:ilvl="0" w:tplc="E968BFC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1677874">
    <w:abstractNumId w:val="0"/>
  </w:num>
  <w:num w:numId="2" w16cid:durableId="1798908397">
    <w:abstractNumId w:val="1"/>
  </w:num>
  <w:num w:numId="3" w16cid:durableId="1226913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5728356">
    <w:abstractNumId w:val="5"/>
  </w:num>
  <w:num w:numId="5" w16cid:durableId="2023241491">
    <w:abstractNumId w:val="4"/>
  </w:num>
  <w:num w:numId="6" w16cid:durableId="1863516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53E8"/>
    <w:rsid w:val="00074D20"/>
    <w:rsid w:val="001353E8"/>
    <w:rsid w:val="001479BD"/>
    <w:rsid w:val="00191B39"/>
    <w:rsid w:val="001C7B14"/>
    <w:rsid w:val="00223FF9"/>
    <w:rsid w:val="002A1A58"/>
    <w:rsid w:val="003337DE"/>
    <w:rsid w:val="003428C9"/>
    <w:rsid w:val="003E6FE9"/>
    <w:rsid w:val="00424747"/>
    <w:rsid w:val="00463C9C"/>
    <w:rsid w:val="004F0F80"/>
    <w:rsid w:val="00524641"/>
    <w:rsid w:val="007845C9"/>
    <w:rsid w:val="00787141"/>
    <w:rsid w:val="00844C54"/>
    <w:rsid w:val="0084747A"/>
    <w:rsid w:val="00862F51"/>
    <w:rsid w:val="00883F82"/>
    <w:rsid w:val="008D05D8"/>
    <w:rsid w:val="00A63DEF"/>
    <w:rsid w:val="00AB37B5"/>
    <w:rsid w:val="00AE04F7"/>
    <w:rsid w:val="00B15661"/>
    <w:rsid w:val="00B23213"/>
    <w:rsid w:val="00BD5590"/>
    <w:rsid w:val="00C20BD8"/>
    <w:rsid w:val="00C85596"/>
    <w:rsid w:val="00C90DFD"/>
    <w:rsid w:val="00D26507"/>
    <w:rsid w:val="00D73ED2"/>
    <w:rsid w:val="00D95973"/>
    <w:rsid w:val="00E3421C"/>
    <w:rsid w:val="00E373E9"/>
    <w:rsid w:val="00E82B65"/>
    <w:rsid w:val="00F83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1025"/>
  <w15:docId w15:val="{7D6BA899-22A9-426E-BE14-840D5F270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sz w:val="20"/>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b/>
      <w:color w:val="0F4761" w:themeColor="accent1" w:themeShade="BF"/>
      <w:sz w:val="19"/>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rPr>
      <w:sz w:val="17"/>
    </w:r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b/>
      <w:sz w:val="28"/>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ascii="Times New Roman" w:hAnsi="Times New Roman"/>
      <w:b w:val="0"/>
      <w:i/>
      <w:spacing w:val="15"/>
      <w:sz w:val="19"/>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rFonts w:ascii="Times New Roman" w:eastAsia="Times New Roman" w:hAnsi="Times New Roman" w:cs="Times New Roman"/>
      <w:b w:val="0"/>
      <w:sz w:val="21"/>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 w:val="19"/>
      <w:szCs w:val="20"/>
    </w:rPr>
  </w:style>
  <w:style w:type="paragraph" w:styleId="a9">
    <w:name w:val="Bibliography"/>
    <w:basedOn w:val="a"/>
    <w:qFormat/>
    <w:rPr>
      <w:sz w:val="17"/>
    </w:rPr>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sz w:val="17"/>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337DE"/>
    <w:pPr>
      <w:tabs>
        <w:tab w:val="center" w:pos="4153"/>
        <w:tab w:val="right" w:pos="8306"/>
      </w:tabs>
      <w:snapToGrid w:val="0"/>
      <w:jc w:val="center"/>
    </w:pPr>
    <w:rPr>
      <w:sz w:val="18"/>
      <w:szCs w:val="18"/>
    </w:rPr>
  </w:style>
  <w:style w:type="character" w:customStyle="1" w:styleId="af1">
    <w:name w:val="页眉 字符"/>
    <w:basedOn w:val="a1"/>
    <w:link w:val="af0"/>
    <w:rsid w:val="003337DE"/>
    <w:rPr>
      <w:rFonts w:ascii="Times New Roman" w:eastAsia="Times New Roman" w:hAnsi="Times New Roman" w:cs="Times New Roman"/>
      <w:sz w:val="18"/>
      <w:szCs w:val="18"/>
    </w:rPr>
  </w:style>
  <w:style w:type="paragraph" w:styleId="af2">
    <w:name w:val="footer"/>
    <w:basedOn w:val="a"/>
    <w:link w:val="af3"/>
    <w:rsid w:val="003337DE"/>
    <w:pPr>
      <w:tabs>
        <w:tab w:val="center" w:pos="4153"/>
        <w:tab w:val="right" w:pos="8306"/>
      </w:tabs>
      <w:snapToGrid w:val="0"/>
    </w:pPr>
    <w:rPr>
      <w:sz w:val="18"/>
      <w:szCs w:val="18"/>
    </w:rPr>
  </w:style>
  <w:style w:type="character" w:customStyle="1" w:styleId="af3">
    <w:name w:val="页脚 字符"/>
    <w:basedOn w:val="a1"/>
    <w:link w:val="af2"/>
    <w:rsid w:val="003337DE"/>
    <w:rPr>
      <w:rFonts w:ascii="Times New Roman" w:eastAsia="Times New Roman" w:hAnsi="Times New Roman" w:cs="Times New Roman"/>
      <w:sz w:val="18"/>
      <w:szCs w:val="18"/>
    </w:rPr>
  </w:style>
  <w:style w:type="character" w:styleId="af4">
    <w:name w:val="FollowedHyperlink"/>
    <w:basedOn w:val="a1"/>
    <w:rsid w:val="00AB37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20DEB-368B-4E51-8353-4347ECCD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10</Pages>
  <Words>7579</Words>
  <Characters>43202</Characters>
  <Application>Microsoft Office Word</Application>
  <DocSecurity>0</DocSecurity>
  <Lines>360</Lines>
  <Paragraphs>101</Paragraphs>
  <ScaleCrop>false</ScaleCrop>
  <Company/>
  <LinksUpToDate>false</LinksUpToDate>
  <CharactersWithSpaces>50680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Characterization of a Mission-Oriented Self-Suspending Underwater Platform with Anisotropic Permeability-Corrected Dynamics and Experimental Identification</dc:title>
  <dc:subject/>
  <dc:creator>First Author; Second Author</dc:creator>
  <cp:keywords/>
  <dc:description/>
  <cp:lastModifiedBy>耀 赵</cp:lastModifiedBy>
  <cp:revision>6</cp:revision>
  <dcterms:created xsi:type="dcterms:W3CDTF">2026-03-03T08:37:00Z</dcterms:created>
  <dcterms:modified xsi:type="dcterms:W3CDTF">2026-03-08T09:16:00Z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id="xhVOT0t7"/&gt;&lt;style id="http://www.zotero.org/styles/elsevier-harvard" hasBibliography="1" bibliographyStyleHasBeenSet="1"/&gt;&lt;prefs&gt;&lt;pref name="fieldType" value="Bookmark"/&gt;&lt;/prefs&gt;&lt;/data&gt;</vt:lpwstr>
  </property>
  <property fmtid="{D5CDD505-2E9C-101B-9397-08002B2CF9AE}" pid="3" name="ZOTERO_BREF_E0GbxCtq3Y5U_1">
    <vt:lpwstr>ZOTERO_ITEM CSL_CITATION {"citationID":"V63uM5oO","properties":{"formattedCitation":"(Luo et al., 2020; Zhou et al., 2022)","plainCitation":"(Luo et al., 2020; Zhou et al., 2022)","noteIndex":0},"citationItems":[{"id":320,"uris":["http://zotero.org/users/</vt:lpwstr>
  </property>
  <property fmtid="{D5CDD505-2E9C-101B-9397-08002B2CF9AE}" pid="4" name="ZOTERO_BREF_E0GbxCtq3Y5U_2">
    <vt:lpwstr>local/Frb7DBuY/items/2F38MLBE"],"itemData":{"id":320,"type":"article-journal","abstract":"In order to improve the underwater acoustic target strength of corner reflectors, according to the principle of acoustic impedance mismatch of the boundary layer, th</vt:lpwstr>
  </property>
  <property fmtid="{D5CDD505-2E9C-101B-9397-08002B2CF9AE}" pid="5" name="ZOTERO_BREF_E0GbxCtq3Y5U_3">
    <vt:lpwstr>e method of using air cavity to increase the underwater acoustic target strength of corner reflectors is proposed. The acoustic reflection coefficients of underwater air layer and single layer metal sheet are calculated and compared. The results show that</vt:lpwstr>
  </property>
  <property fmtid="{D5CDD505-2E9C-101B-9397-08002B2CF9AE}" pid="6" name="ZOTERO_BREF_E0GbxCtq3Y5U_4">
    <vt:lpwstr> the reflection coefficient of single layer metal sheet is greatly affected by frequency and incidence angle, and the reflection coefficient of air layer in water is large and little affected by frequency and incidence angle. On this basis, a new kind of </vt:lpwstr>
  </property>
  <property fmtid="{D5CDD505-2E9C-101B-9397-08002B2CF9AE}" pid="7" name="ZOTERO_BREF_E0GbxCtq3Y5U_5">
    <vt:lpwstr>airfilled cavity corner reflector is designed. The acoustic scattering characteristics of underwater airfilled cavity corner reflector are calculated cumulatively, and the results are compared with the monolayer metal sheet corner reflector. The simulatio</vt:lpwstr>
  </property>
  <property fmtid="{D5CDD505-2E9C-101B-9397-08002B2CF9AE}" pid="8" name="ZOTERO_BREF_E0GbxCtq3Y5U_6">
    <vt:lpwstr>n results show that the acoustic reflection effect of the airfilled cavity corner reflector is better. In order to verify the correctness of the method, the test was carried out in the silencing tank. The experimental results show that the simulation resu</vt:lpwstr>
  </property>
  <property fmtid="{D5CDD505-2E9C-101B-9397-08002B2CF9AE}" pid="9" name="ZOTERO_BREF_E0GbxCtq3Y5U_7">
    <vt:lpwstr>lts are in good agreement with the experimental results, and the airfilled cavity can improve on acoustic reflection performance of the underwater corner reflector.","container-title":"Defence Technology","DOI":"10.1016/j.dt.2019.09.008","ISSN":"2214-9147</vt:lpwstr>
  </property>
  <property fmtid="{D5CDD505-2E9C-101B-9397-08002B2CF9AE}" pid="10" name="ZOTERO_BREF_E0GbxCtq3Y5U_8">
    <vt:lpwstr>","issue":"2","journalAbbreviation":"Defence Technology","page":"493-501","source":"ScienceDirect","title":"An air cavity method for increasing the underwater acoustic targets strength of corner reflector","volume":"16","author":[{"family":"Luo","given":"</vt:lpwstr>
  </property>
  <property fmtid="{D5CDD505-2E9C-101B-9397-08002B2CF9AE}" pid="11" name="ZOTERO_BREF_E0GbxCtq3Y5U_9">
    <vt:lpwstr>Yi"},{"family":"Chen","given":"Xin"},{"family":"Xiao","given":"Da-wei"},{"family":"Wen","given":"Wu-di"},{"family":"Xie","given":"Tao-tao"}],"issued":{"date-parts":[["2020",4,1]]}}},{"id":329,"uris":["http://zotero.org/users/local/Frb7DBuY/items/CQVZRH9Y"</vt:lpwstr>
  </property>
  <property fmtid="{D5CDD505-2E9C-101B-9397-08002B2CF9AE}" pid="12" name="ZOTERO_BREF_E0GbxCtq3Y5U_10">
    <vt:lpwstr>],"itemData":{"id":329,"type":"article-journal","abstract":"Underwater target acoustic scattering research is an important branch in the field of underwater acoustic engineering. The application of acoustic scattering characteristics to acoustic coding ha</vt:lpwstr>
  </property>
  <property fmtid="{D5CDD505-2E9C-101B-9397-08002B2CF9AE}" pid="13" name="ZOTERO_BREF_E0GbxCtq3Y5U_11">
    <vt:lpwstr>s great prospects for underwater target identification, navigation and positioning. Based on the echo sound path difference, discontinuous ribbed structures are designed for polydirectional time-domain coding. For the frequency-domain case, geometric Brag</vt:lpwstr>
  </property>
  <property fmtid="{D5CDD505-2E9C-101B-9397-08002B2CF9AE}" pid="14" name="ZOTERO_BREF_E0GbxCtq3Y5U_12">
    <vt:lpwstr>g scattering characteristics are transformed into vertical graphical representation through azimuthal coordinate transformation to enable coding. Then, the periodically ribbed structure and the spiral groove structure are designed for frequency-domain cod</vt:lpwstr>
  </property>
  <property fmtid="{D5CDD505-2E9C-101B-9397-08002B2CF9AE}" pid="15" name="ZOTERO_BREF_E0GbxCtq3Y5U_13">
    <vt:lpwstr>ing in the middle- and high-frequency ranges, respectively. Low-frequency coding is completed by exploiting the subsonic Rayleigh wave resonance characteristics of polymer sphere combinations from frequency and azimuthal dimensions. In addition, the use o</vt:lpwstr>
  </property>
  <property fmtid="{D5CDD505-2E9C-101B-9397-08002B2CF9AE}" pid="16" name="ZOTERO_BREF_E0GbxCtq3Y5U_14">
    <vt:lpwstr>f acoustic scattering characteristics for acoustic coding can be further developed to specifically design coding methods for different structural forms and expand the application scope of underwater acoustics.","container-title":"Applied Acoustics","DOI":</vt:lpwstr>
  </property>
  <property fmtid="{D5CDD505-2E9C-101B-9397-08002B2CF9AE}" pid="17" name="ZOTERO_BREF_E0GbxCtq3Y5U_15">
    <vt:lpwstr>"10.1016/j.apacoust.2021.108607","ISSN":"0003-682X","journalAbbreviation":"Applied Acoustics","page":"108607","source":"ScienceDirect","title":"Acoustic barcode based on the acoustic scattering characteristics of underwater targets","volume":"189","author</vt:lpwstr>
  </property>
  <property fmtid="{D5CDD505-2E9C-101B-9397-08002B2CF9AE}" pid="18" name="ZOTERO_BREF_E0GbxCtq3Y5U_16">
    <vt:lpwstr>":[{"family":"Zhou","given":"Fulin"},{"family":"Fan","given":"Jun"},{"family":"Wang","given":"Bin"},{"family":"Zhou","given":"Yanling"},{"family":"Huang","given":"Jinfeng"}],"issued":{"date-parts":[["2022",2,28]]}}}],"schema":"https://github.com/citation-</vt:lpwstr>
  </property>
  <property fmtid="{D5CDD505-2E9C-101B-9397-08002B2CF9AE}" pid="19" name="ZOTERO_BREF_E0GbxCtq3Y5U_17">
    <vt:lpwstr>style-language/schema/raw/master/csl-citation.json"}</vt:lpwstr>
  </property>
  <property fmtid="{D5CDD505-2E9C-101B-9397-08002B2CF9AE}" pid="20" name="ZOTERO_BREF_azBmzOaJFHFc_1">
    <vt:lpwstr>ZOTERO_ITEM CSL_CITATION {"citationID":"y0z06duK","properties":{"formattedCitation":"(Wang et al., 2024)","plainCitation":"(Wang et al., 2024)","noteIndex":0},"citationItems":[{"id":337,"uris":["http://zotero.org/users/local/Frb7DBuY/items/62QSY63X"],"ite</vt:lpwstr>
  </property>
  <property fmtid="{D5CDD505-2E9C-101B-9397-08002B2CF9AE}" pid="21" name="ZOTERO_BREF_azBmzOaJFHFc_2">
    <vt:lpwstr>mData":{"id":337,"type":"article-journal","abstract":"This study verifies the effects of deployment parameters on the safe separation of Autonomous Underwater Vehicles (AUVs) and mission payloads. The ini...","container-title":"Journal of Marine Science a</vt:lpwstr>
  </property>
  <property fmtid="{D5CDD505-2E9C-101B-9397-08002B2CF9AE}" pid="22" name="ZOTERO_BREF_azBmzOaJFHFc_3">
    <vt:lpwstr>nd Engineering","DOI":"10.3390/jmse12040608","ISSN":"2077-1312","issue":"4","language":"en","license":"http://creativecommons.org/licenses/by/3.0/","publisher":"Multidisciplinary Digital Publishing Institute","source":"www.mdpi.com","title":"Safety Analys</vt:lpwstr>
  </property>
  <property fmtid="{D5CDD505-2E9C-101B-9397-08002B2CF9AE}" pid="23" name="ZOTERO_BREF_azBmzOaJFHFc_4">
    <vt:lpwstr>is of Initial Separation Phase for AUV Deployment of Mission Payloads","URL":"https://www.mdpi.com/2077-1312/12/4/608","volume":"12","author":[{"family":"Wang","given":"Zhengwei"},{"family":"Gu","given":"Haitao"},{"family":"Lang","given":"Jichao"},{"famil</vt:lpwstr>
  </property>
  <property fmtid="{D5CDD505-2E9C-101B-9397-08002B2CF9AE}" pid="24" name="ZOTERO_BREF_azBmzOaJFHFc_5">
    <vt:lpwstr>y":"Xing","given":"Lin"}],"accessed":{"date-parts":[["2026",3,8]]},"issued":{"date-parts":[["2024",3,31]]}}}],"schema":"https://github.com/citation-style-language/schema/raw/master/csl-citation.json"}</vt:lpwstr>
  </property>
  <property fmtid="{D5CDD505-2E9C-101B-9397-08002B2CF9AE}" pid="25" name="ZOTERO_BREF_WIWdElHOgNpm_1">
    <vt:lpwstr>ZOTERO_ITEM CSL_CITATION {"citationID":"X2eOJQGy","properties":{"formattedCitation":"(Xiao et al., 2025; Zhou et al., 2025)","plainCitation":"(Xiao et al., 2025; Zhou et al., 2025)","noteIndex":0},"citationItems":[{"id":339,"uris":["http://zotero.org/user</vt:lpwstr>
  </property>
  <property fmtid="{D5CDD505-2E9C-101B-9397-08002B2CF9AE}" pid="26" name="ZOTERO_BREF_WIWdElHOgNpm_2">
    <vt:lpwstr>s/local/Frb7DBuY/items/VBKER5EK"],"itemData":{"id":339,"type":"article-journal","abstract":"This manuscript aims to optimize the acoustic scattering characteristics of underwater corner reflector linear arrays through simulation analysis and ...","contain</vt:lpwstr>
  </property>
  <property fmtid="{D5CDD505-2E9C-101B-9397-08002B2CF9AE}" pid="27" name="ZOTERO_BREF_WIWdElHOgNpm_3">
    <vt:lpwstr>er-title":"Sensors","DOI":"10.3390/s25072129","ISSN":"1424-8220","issue":"7","language":"en","license":"http://creativecommons.org/licenses/by/3.0/","publisher":"Multidisciplinary Digital Publishing Institute","source":"www.mdpi.com","title":"Research on </vt:lpwstr>
  </property>
  <property fmtid="{D5CDD505-2E9C-101B-9397-08002B2CF9AE}" pid="28" name="ZOTERO_BREF_WIWdElHOgNpm_4">
    <vt:lpwstr>the Acoustic Scattering Characteristics of Underwater Corner Reflector Linear Arrays","URL":"https://www.mdpi.com/1424-8220/25/7/2129","volume":"25","author":[{"family":"Xiao","given":"Dawei"},{"family":"Zhang","given":"Jingzhuo"},{"family":"Chu","given":</vt:lpwstr>
  </property>
  <property fmtid="{D5CDD505-2E9C-101B-9397-08002B2CF9AE}" pid="29" name="ZOTERO_BREF_WIWdElHOgNpm_5">
    <vt:lpwstr>"Zichao"},{"family":"Luo","given":"Yi"}],"accessed":{"date-parts":[["2026",3,8]]},"issued":{"date-parts":[["2025",3,27]]}}},{"id":332,"uris":["http://zotero.org/users/local/Frb7DBuY/items/R8ZGYWGN"],"itemData":{"id":332,"type":"article-journal","abstract"</vt:lpwstr>
  </property>
  <property fmtid="{D5CDD505-2E9C-101B-9397-08002B2CF9AE}" pid="30" name="ZOTERO_BREF_WIWdElHOgNpm_6">
    <vt:lpwstr>:"Underwater artificial acoustic structures can be used to simulate the echo characteristics of complex targets, achieving the effects of underwater acoustic deception or interference. This paper extends the morphology of passive underwater acoustic struc</vt:lpwstr>
  </property>
  <property fmtid="{D5CDD505-2E9C-101B-9397-08002B2CF9AE}" pid="31" name="ZOTERO_BREF_WIWdElHOgNpm_7">
    <vt:lpwstr>tures to flexible inflatable designs and proposes a series of foldable and deployable flexible structures, replacing rigid reflective surfaces with flexible membranes. Flexible inflatable structures offer advantages such as foldability for storage, ease o</vt:lpwstr>
  </property>
  <property fmtid="{D5CDD505-2E9C-101B-9397-08002B2CF9AE}" pid="32" name="ZOTERO_BREF_WIWdElHOgNpm_8">
    <vt:lpwstr>f inflation and deployment, and lightweight energy efficiency, thereby advancing the engineering applications of artificial structures in underwater acoustic scattering modulation. An underwater constant − depth hovering inflatable device was designed and</vt:lpwstr>
  </property>
  <property fmtid="{D5CDD505-2E9C-101B-9397-08002B2CF9AE}" pid="33" name="ZOTERO_BREF_WIWdElHOgNpm_9">
    <vt:lpwstr> fabricated to enable the underwater storage of flexible structures and maintain a constant − depth hovering state in water after launch. Acoustic scattering experiments were conducted on cylindrical and plate-like tube bundles, multi-cell corner reflecto</vt:lpwstr>
  </property>
  <property fmtid="{D5CDD505-2E9C-101B-9397-08002B2CF9AE}" pid="34" name="ZOTERO_BREF_WIWdElHOgNpm_10">
    <vt:lpwstr>rs, and their topological configurations, which serve as representative flexible inflatable structures. Monostatic echoes were obtained for the flexible inflatable structures, revealing the variations in target strength with respect to frequency and spati</vt:lpwstr>
  </property>
  <property fmtid="{D5CDD505-2E9C-101B-9397-08002B2CF9AE}" pid="35" name="ZOTERO_BREF_WIWdElHOgNpm_11">
    <vt:lpwstr>al orientation, and the statistical directional characteristics. A combination of flexible inflatable corner reflectors was utilized to simulate the horizontal directional distribution of echo highlights from complex underwater targets. The results show t</vt:lpwstr>
  </property>
  <property fmtid="{D5CDD505-2E9C-101B-9397-08002B2CF9AE}" pid="36" name="ZOTERO_BREF_WIWdElHOgNpm_12">
    <vt:lpwstr>hat the acoustic scattering characteristics of flexible structures can be used to simulate the highlight structure of underwater target echoes, achieving a good simulation effect of underwater target echoes. These structures can also be used in the design</vt:lpwstr>
  </property>
  <property fmtid="{D5CDD505-2E9C-101B-9397-08002B2CF9AE}" pid="37" name="ZOTERO_BREF_WIWdElHOgNpm_13">
    <vt:lpwstr> of underwater acoustic jammers, providing support for the application of underwater acoustic simulators or jammers. More flexible inflatable structures can be explored in the future.","container-title":"Applied Acoustics","DOI":"10.1016/j.apacoust.2025.1</vt:lpwstr>
  </property>
  <property fmtid="{D5CDD505-2E9C-101B-9397-08002B2CF9AE}" pid="38" name="ZOTERO_BREF_WIWdElHOgNpm_14">
    <vt:lpwstr>10825","ISSN":"0003-682X","journalAbbreviation":"Applied Acoustics","page":"110825","source":"ScienceDirect","title":"Flexible inflatable structures in underwater acoustics: Scattering experiments","title-short":"Flexible inflatable structures in underwat</vt:lpwstr>
  </property>
  <property fmtid="{D5CDD505-2E9C-101B-9397-08002B2CF9AE}" pid="39" name="ZOTERO_BREF_WIWdElHOgNpm_15">
    <vt:lpwstr>er acoustics","volume":"239","author":[{"family":"Zhou","given":"Fulin"},{"family":"Wang","given":"Zhongkai"},{"family":"Liu","given":"Zihao"},{"family":"Xiong","given":"Jianbing"},{"family":"Peng","given":"Zilong"},{"family":"Fan","given":"Jun"}],"issued</vt:lpwstr>
  </property>
  <property fmtid="{D5CDD505-2E9C-101B-9397-08002B2CF9AE}" pid="40" name="ZOTERO_BREF_WIWdElHOgNpm_16">
    <vt:lpwstr>":{"date-parts":[["2025",11,5]]}}}],"schema":"https://github.com/citation-style-language/schema/raw/master/csl-citation.json"}</vt:lpwstr>
  </property>
  <property fmtid="{D5CDD505-2E9C-101B-9397-08002B2CF9AE}" pid="41" name="ZOTERO_BREF_7iMS26RbyPHp_1">
    <vt:lpwstr>ZOTERO_ITEM CSL_CITATION {"citationID":"vmMqxoiy","properties":{"formattedCitation":"(Li et al., 2020; Molin, 2011)","plainCitation":"(Li et al., 2020; Molin, 2011)","noteIndex":0},"citationItems":[{"id":107,"uris":["http://zotero.org/users/local/Frb7DBuY</vt:lpwstr>
  </property>
  <property fmtid="{D5CDD505-2E9C-101B-9397-08002B2CF9AE}" pid="42" name="ZOTERO_BREF_7iMS26RbyPHp_2">
    <vt:lpwstr>/items/LWKNU9EN"],"itemData":{"id":107,"type":"article-journal","abstract":"The remotely operated vehicles (ROVs) are important to provide the technology support for both the traditional offshore structures and rapidly-growing renewable energy facilities </vt:lpwstr>
  </property>
  <property fmtid="{D5CDD505-2E9C-101B-9397-08002B2CF9AE}" pid="43" name="ZOTERO_BREF_7iMS26RbyPHp_3">
    <vt:lpwstr>during their full-lifecycles, such as site survey, installation, inspection, maintenance and repair. Regarding the motion and performance of a ROV, the understanding of its hydrodynamic properties is essential when exposing to the disturbances of wave and</vt:lpwstr>
  </property>
  <property fmtid="{D5CDD505-2E9C-101B-9397-08002B2CF9AE}" pid="44" name="ZOTERO_BREF_7iMS26RbyPHp_4">
    <vt:lpwstr> current. In this study, a numerical model is proposed within the frame of an open-source platform OpenFOAM. The hydrodynamics of the adopted ROV (BlueRov2) in its four principal degrees of freedoms (DOFs) is numerically simulated by a Reynolds-Averaged N</vt:lpwstr>
  </property>
  <property fmtid="{D5CDD505-2E9C-101B-9397-08002B2CF9AE}" pid="45" name="ZOTERO_BREF_7iMS26RbyPHp_5">
    <vt:lpwstr>avier-Stokes (RANS) solver. Meanwhile, an experimental test is carried out by using a novel technique on measuring the hydrodynamic forces and moments. To validate the numerical prediction methodologies, a set of systematic simulations of the ROV subjecte</vt:lpwstr>
  </property>
  <property fmtid="{D5CDD505-2E9C-101B-9397-08002B2CF9AE}" pid="46" name="ZOTERO_BREF_7iMS26RbyPHp_6">
    <vt:lpwstr>d to the disturbances caused by various flow conditions are performed. Comparing to the model test measurement, the numerical model proved to be reliable in offering a good estimation of the hydrodynamic parameters. This also indicates that the presented </vt:lpwstr>
  </property>
  <property fmtid="{D5CDD505-2E9C-101B-9397-08002B2CF9AE}" pid="47" name="ZOTERO_BREF_7iMS26RbyPHp_7">
    <vt:lpwstr>numerical methodologies and experimental techniques can be applied to other types of open-frame ROVs in quantifying the hydrodynamic parameters, capturing the physics of the fluid-structure interaction (FSI) and feature of the turbulent vorticity which ar</vt:lpwstr>
  </property>
  <property fmtid="{D5CDD505-2E9C-101B-9397-08002B2CF9AE}" pid="48" name="ZOTERO_BREF_7iMS26RbyPHp_8">
    <vt:lpwstr>e all essential for the effective control of the ROVs under the nonlinear flow disturbances.","container-title":"Journal of Marine Science and Engineering","DOI":"10.3390/jmse8090688","ISSN":"2077-1312","issue":"9","language":"en","license":"http://creati</vt:lpwstr>
  </property>
  <property fmtid="{D5CDD505-2E9C-101B-9397-08002B2CF9AE}" pid="49" name="ZOTERO_BREF_7iMS26RbyPHp_9">
    <vt:lpwstr>vecommons.org/licenses/by/3.0/","note":"number: 9","page":"688","publisher":"Multidisciplinary Digital Publishing Institute","source":"www.mdpi.com","title":"Numerical Modelling and Experimental Testing of the Hydrodynamic Characteristics for an Open-Fram</vt:lpwstr>
  </property>
  <property fmtid="{D5CDD505-2E9C-101B-9397-08002B2CF9AE}" pid="50" name="ZOTERO_BREF_7iMS26RbyPHp_10">
    <vt:lpwstr>e Remotely Operated Vehicle","volume":"8","author":[{"family":"Li","given":"Qian"},{"family":"Cao","given":"Yu"},{"family":"Li","given":"Boyang"},{"family":"Ingram","given":"David M."},{"family":"Kiprakis","given":"Aristides"}],"issued":{"date-parts":[["2</vt:lpwstr>
  </property>
  <property fmtid="{D5CDD505-2E9C-101B-9397-08002B2CF9AE}" pid="51" name="ZOTERO_BREF_7iMS26RbyPHp_11">
    <vt:lpwstr>020",9]]}}},{"id":379,"uris":["http://zotero.org/users/local/Frb7DBuY/items/PQ4GSCDU"],"itemData":{"id":379,"type":"article-journal","abstract":"A hydrodynamic model of perforated or slotted structures is proposed. It is asymptotic in the sense that the o</vt:lpwstr>
  </property>
  <property fmtid="{D5CDD505-2E9C-101B-9397-08002B2CF9AE}" pid="52" name="ZOTERO_BREF_7iMS26RbyPHp_12">
    <vt:lpwstr>penings are supposed to be infinitely small and numerous, and the wall thickness to be nil. At variance with other work, a quadratic, not linear, law, relating the pressure differential to the traversing velocity, is assumed. As a result the hydrodynamic </vt:lpwstr>
  </property>
  <property fmtid="{D5CDD505-2E9C-101B-9397-08002B2CF9AE}" pid="53" name="ZOTERO_BREF_7iMS26RbyPHp_13">
    <vt:lpwstr>coefficients (added mass and damping) become amplitude dependent. The model is applied to bodies of various shapes including cylinders, plates and disks, in forced motion or submitted to incoming waves. Good agreement with experimental data is generally o</vt:lpwstr>
  </property>
  <property fmtid="{D5CDD505-2E9C-101B-9397-08002B2CF9AE}" pid="54" name="ZOTERO_BREF_7iMS26RbyPHp_14">
    <vt:lpwstr>bserved.","container-title":"Applied Ocean Research","DOI":"10.1016/j.apor.2010.11.003","ISSN":"0141-1187","issue":"1","journalAbbreviation":"Applied Ocean Research","page":"1-11","source":"ScienceDirect","title":"Hydrodynamic modeling of perforated struc</vt:lpwstr>
  </property>
  <property fmtid="{D5CDD505-2E9C-101B-9397-08002B2CF9AE}" pid="55" name="ZOTERO_BREF_7iMS26RbyPHp_15">
    <vt:lpwstr>tures","volume":"33","author":[{"family":"Molin","given":"B."}],"issued":{"date-parts":[["2011",2,1]]}}}],"schema":"https://github.com/citation-style-language/schema/raw/master/csl-citation.json"}</vt:lpwstr>
  </property>
  <property fmtid="{D5CDD505-2E9C-101B-9397-08002B2CF9AE}" pid="56" name="ZOTERO_BREF_lKXjG9QSewbK_1">
    <vt:lpwstr>ZOTERO_ITEM CSL_CITATION {"citationID":"WFZBBajn","properties":{"formattedCitation":"(Ross et al., 2004)","plainCitation":"(Ross et al., 2004)","noteIndex":0},"citationItems":[{"id":382,"uris":["http://zotero.org/users/local/Frb7DBuY/items/ATTHB8KR"],"ite</vt:lpwstr>
  </property>
  <property fmtid="{D5CDD505-2E9C-101B-9397-08002B2CF9AE}" pid="57" name="ZOTERO_BREF_lKXjG9QSewbK_2">
    <vt:lpwstr>mData":{"id":382,"type":"article-journal","abstract":"A new method is proposed for the experimental determination of the longitudinal and lateral hydrodynamic coefficients of a low-speed UUV. The technique presented is a development of the classical free-</vt:lpwstr>
  </property>
  <property fmtid="{D5CDD505-2E9C-101B-9397-08002B2CF9AE}" pid="58" name="ZOTERO_BREF_lKXjG9QSewbK_3">
    <vt:lpwstr>decay test. A body is excited with a mechanism of springs, and system identification techniques are carried out on measured data, with the intention of evaluating the added mass and linear damping of the body in decoupled longitudinal and lateral models. </vt:lpwstr>
  </property>
  <property fmtid="{D5CDD505-2E9C-101B-9397-08002B2CF9AE}" pid="59" name="ZOTERO_BREF_lKXjG9QSewbK_4">
    <vt:lpwstr>Simulated results are presented in order to estimate the potential accuracy of these new methods.","collection-title":"IFAC Conference on Computer Applications in Marine Systems - CAMS 2004, Ancona, Italy, 7-9 July 2004","container-title":"IFAC Proceeding</vt:lpwstr>
  </property>
  <property fmtid="{D5CDD505-2E9C-101B-9397-08002B2CF9AE}" pid="60" name="ZOTERO_BREF_lKXjG9QSewbK_5">
    <vt:lpwstr>s Volumes","DOI":"10.1016/S1474-6670(17)31759-7","ISSN":"1474-6670","issue":"10","journalAbbreviation":"IFAC Proceedings Volumes","page":"363-368","source":"ScienceDirect","title":"Identification of underwater vehicle hydrodynamic coefficients using free </vt:lpwstr>
  </property>
  <property fmtid="{D5CDD505-2E9C-101B-9397-08002B2CF9AE}" pid="61" name="ZOTERO_BREF_lKXjG9QSewbK_6">
    <vt:lpwstr>decay tests","volume":"37","author":[{"family":"Ross","given":"Andrew"},{"family":"Fossen","given":"Thor I."},{"family":"Johansen","given":"Tor Arne"}],"issued":{"date-parts":[["2004",7,1]]}}}],"schema":"https://github.com/citation-style-language/schema/r</vt:lpwstr>
  </property>
  <property fmtid="{D5CDD505-2E9C-101B-9397-08002B2CF9AE}" pid="62" name="ZOTERO_BREF_lKXjG9QSewbK_7">
    <vt:lpwstr>aw/master/csl-citation.json"}</vt:lpwstr>
  </property>
  <property fmtid="{D5CDD505-2E9C-101B-9397-08002B2CF9AE}" pid="63" name="ZOTERO_BREF_E7rEblB4tfvl_1">
    <vt:lpwstr>ZOTERO_BIBL {"uncited":[],"omitted":[],"custom":[]} CSL_BIBLIOGRAPHY</vt:lpwstr>
  </property>
</Properties>
</file>