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450" w:afterAutospacing="0" w:line="21" w:lineRule="atLeast"/>
        <w:ind w:left="-226" w:right="-226"/>
        <w:jc w:val="center"/>
      </w:pPr>
      <w:bookmarkStart w:id="0" w:name="_GoBack"/>
      <w:bookmarkEnd w:id="0"/>
      <w:r>
        <w:rPr>
          <w:rFonts w:ascii="微软雅黑" w:hAnsi="微软雅黑" w:eastAsia="微软雅黑" w:cs="微软雅黑"/>
          <w:color w:val="333333"/>
          <w:sz w:val="36"/>
          <w:szCs w:val="36"/>
          <w:bdr w:val="none" w:color="auto" w:sz="0" w:space="0"/>
          <w:shd w:val="clear" w:fill="FFFFFF"/>
        </w:rPr>
        <w:t>广东省生态环境厅关于贯彻落实生态环境部《重点</w:t>
      </w:r>
      <w:r>
        <w:rPr>
          <w:rFonts w:hint="eastAsia" w:ascii="微软雅黑" w:hAnsi="微软雅黑" w:eastAsia="微软雅黑" w:cs="微软雅黑"/>
          <w:color w:val="333333"/>
          <w:sz w:val="36"/>
          <w:szCs w:val="36"/>
          <w:bdr w:val="none" w:color="auto" w:sz="0" w:space="0"/>
          <w:shd w:val="clear" w:fill="FFFFFF"/>
        </w:rPr>
        <w:t>行业挥发性有机物综合治理方案》的通知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21" w:lineRule="atLeast"/>
        <w:ind w:left="-226" w:right="-226"/>
        <w:jc w:val="left"/>
      </w:pP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各地级以上市生态环境局：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为贯彻落实生态环境部印发的《重点行业挥发性有机物综合治理方案》（环大气〔2019〕53号），加强我省重点行业挥发性有机物（VOCs）综合治理，提升臭氧（O</w:t>
      </w:r>
      <w:r>
        <w:rPr>
          <w:rFonts w:hint="eastAsia" w:ascii="宋体" w:hAnsi="宋体" w:eastAsia="宋体" w:cs="宋体"/>
          <w:color w:val="333333"/>
          <w:sz w:val="15"/>
          <w:szCs w:val="15"/>
          <w:bdr w:val="none" w:color="auto" w:sz="0" w:space="0"/>
          <w:shd w:val="clear" w:fill="FFFFFF"/>
          <w:vertAlign w:val="baseline"/>
        </w:rPr>
        <w:t>3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）污染防治工作成效，现就有关事项通知如下：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b/>
          <w:color w:val="333333"/>
          <w:sz w:val="21"/>
          <w:szCs w:val="21"/>
          <w:bdr w:val="none" w:color="auto" w:sz="0" w:space="0"/>
          <w:shd w:val="clear" w:fill="FFFFFF"/>
        </w:rPr>
        <w:t>一、保持战略定力，建立详细VOCs排放清单。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臭氧（O</w:t>
      </w:r>
      <w:r>
        <w:rPr>
          <w:rFonts w:hint="eastAsia" w:ascii="宋体" w:hAnsi="宋体" w:eastAsia="宋体" w:cs="宋体"/>
          <w:color w:val="333333"/>
          <w:sz w:val="15"/>
          <w:szCs w:val="15"/>
          <w:bdr w:val="none" w:color="auto" w:sz="0" w:space="0"/>
          <w:shd w:val="clear" w:fill="FFFFFF"/>
          <w:vertAlign w:val="baseline"/>
        </w:rPr>
        <w:t>3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）已超越细颗粒物（PM</w:t>
      </w:r>
      <w:r>
        <w:rPr>
          <w:rFonts w:hint="eastAsia" w:ascii="宋体" w:hAnsi="宋体" w:eastAsia="宋体" w:cs="宋体"/>
          <w:color w:val="333333"/>
          <w:sz w:val="15"/>
          <w:szCs w:val="15"/>
          <w:bdr w:val="none" w:color="auto" w:sz="0" w:space="0"/>
          <w:shd w:val="clear" w:fill="FFFFFF"/>
          <w:vertAlign w:val="baseline"/>
        </w:rPr>
        <w:t>2.5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）成为影响我省空气质量优良天数比例（AQI达标率）的主要因素，VOCs作为臭氧主要前体物，物多、量大、治理难，必须持之以恒全面强化综合整治。要全面开展辖区内工业VOCs排放源排查，掌握本辖区VOCs排放源的分布、排放与治理现状，提出辖区VOCs重点控制区域、行业和企业。建立任务清单，实施台账管理，逐项分解细化落实。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b/>
          <w:color w:val="333333"/>
          <w:sz w:val="21"/>
          <w:szCs w:val="21"/>
          <w:bdr w:val="none" w:color="auto" w:sz="0" w:space="0"/>
          <w:shd w:val="clear" w:fill="FFFFFF"/>
        </w:rPr>
        <w:t>二、突出重点关键，狠抓治理措施落实。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要围绕空气质量改善和VOCs总量减排目标要求，定期监管和评估辖区涉VOCs排放企业治污设施运行情况，重点开展重点企业 VOCs“一企一策”综合治理后评估，强化企业VOCs末端治理设施运行情况监管。 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全面加强VOCs无组织排放控制，对含VOCs物料存储、转移和输送、设备与管线组件泄漏、敞开液面逸散以及工艺过程等五类排放源实施重点管控。通过将无组织排放转变为有组织控制，进一步削减VOCs。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b/>
          <w:color w:val="333333"/>
          <w:sz w:val="21"/>
          <w:szCs w:val="21"/>
          <w:bdr w:val="none" w:color="auto" w:sz="0" w:space="0"/>
          <w:shd w:val="clear" w:fill="FFFFFF"/>
        </w:rPr>
        <w:t>三、推进源头替代，加强服务指导。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鼓励出台相关政策，推进化工、印刷、工业涂装、制鞋等行业生产和使用低VOCs含量的涂料、油墨、胶粘剂、清洗剂等原辅材料。使用的原辅材料VOCs含量（质量比）低于10%的工序，可不要求采取无组织排放收集措施。加强对重点行业企业VOCs无组织排放工艺改进和过程防漏服务指导，切实解决无组织排放量大、监管难度大的问题。要加快落实《重点行业挥发性有机物综合治理方案》建设适宜高效治污设施的要求，加大对涉VOCs行业企业安装治污设施的分类服务指导力度，避免无效或低效治理。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b/>
          <w:color w:val="333333"/>
          <w:sz w:val="21"/>
          <w:szCs w:val="21"/>
          <w:bdr w:val="none" w:color="auto" w:sz="0" w:space="0"/>
          <w:shd w:val="clear" w:fill="FFFFFF"/>
        </w:rPr>
        <w:t>四、强化监督执法，压实企业主体责任。</w:t>
      </w: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要结合涉VOCs行业排污许可证发放、省固定污染源VOCs监管系统填报、“散乱污”工业企业综合整治和应急减排清单修订等工作，加强组织领导和统筹协调，充分发挥行业协会作用，落实工业园区主管部门管理责任，采用严格的执法手段监督涉VOCs企业，突出抓好治理设备违规闲置、不按要求维护和超标排放等违法行为的监督执法，加大宣传和震慑力度，促使企业切实履行环保责任。对严重失信的治理机构、企业和个人，将违法违规信息通过“信用中国”等网站向社会公布，促进相关行业规范健康发展。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　　附件：</w:t>
      </w:r>
      <w:r>
        <w:rPr>
          <w:rFonts w:ascii="宋体" w:hAnsi="宋体" w:eastAsia="宋体" w:cs="宋体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sz w:val="21"/>
          <w:szCs w:val="21"/>
          <w:bdr w:val="none" w:color="auto" w:sz="0" w:space="0"/>
          <w:shd w:val="clear" w:fill="FFFFFF"/>
        </w:rPr>
        <w:instrText xml:space="preserve"> HYPERLINK "http://gdee.gd.gov.cn/attachment/0/370/370646/2571121.doc" \t "http://gdee.gd.gov.cn/shbtwj/content/_blank" </w:instrText>
      </w:r>
      <w:r>
        <w:rPr>
          <w:rFonts w:ascii="宋体" w:hAnsi="宋体" w:eastAsia="宋体" w:cs="宋体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  <w:bdr w:val="none" w:color="auto" w:sz="0" w:space="0"/>
          <w:shd w:val="clear" w:fill="FFFFFF"/>
        </w:rPr>
        <w:t>关于印发《重点行业挥发性有机物综合治理方案》的通知（环大气〔2019〕53号）.doc</w:t>
      </w:r>
      <w:r>
        <w:rPr>
          <w:rFonts w:ascii="宋体" w:hAnsi="宋体" w:eastAsia="宋体" w:cs="宋体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left"/>
      </w:pP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righ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广东省生态环境厅</w:t>
      </w:r>
    </w:p>
    <w:p>
      <w:pPr>
        <w:pStyle w:val="2"/>
        <w:keepNext w:val="0"/>
        <w:keepLines w:val="0"/>
        <w:widowControl/>
        <w:suppressLineNumbers w:val="0"/>
        <w:spacing w:after="450" w:afterAutospacing="0" w:line="420" w:lineRule="atLeast"/>
        <w:ind w:left="-226" w:right="-226"/>
        <w:jc w:val="right"/>
      </w:pPr>
      <w:r>
        <w:rPr>
          <w:rFonts w:hint="eastAsia" w:ascii="宋体" w:hAnsi="宋体" w:eastAsia="宋体" w:cs="宋体"/>
          <w:color w:val="333333"/>
          <w:sz w:val="21"/>
          <w:szCs w:val="21"/>
          <w:bdr w:val="none" w:color="auto" w:sz="0" w:space="0"/>
          <w:shd w:val="clear" w:fill="FFFFFF"/>
        </w:rPr>
        <w:t>2019年7月17日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8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left w:val="none" w:color="auto" w:sz="0" w:space="0"/>
        <w:right w:val="none" w:color="auto" w:sz="0" w:space="0"/>
      </w:pBd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7AB7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37AB7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color w:val="FFFFFF"/>
      <w:sz w:val="21"/>
      <w:szCs w:val="21"/>
      <w:bdr w:val="none" w:color="auto" w:sz="0" w:space="0"/>
      <w:shd w:val="clear" w:fill="333333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bsharetext"/>
    <w:basedOn w:val="4"/>
    <w:uiPriority w:val="0"/>
  </w:style>
  <w:style w:type="character" w:customStyle="1" w:styleId="13">
    <w:name w:val="pointer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欧陆z</cp:lastModifiedBy>
  <dcterms:modified xsi:type="dcterms:W3CDTF">2019-09-18T02:34:07Z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