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100"/>
        <w:jc w:val="center"/>
      </w:pPr>
      <w:r>
        <w:rPr>
          <w:rFonts w:ascii="Arial" w:hAnsi="Arial"/>
          <w:b/>
          <w:color w:val="14243A"/>
          <w:sz w:val="68"/>
        </w:rPr>
        <w:t>SIRIUS</w:t>
      </w:r>
    </w:p>
    <w:p>
      <w:pPr>
        <w:spacing w:before="240"/>
        <w:jc w:val="center"/>
      </w:pPr>
      <w:r>
        <w:rPr>
          <w:rFonts w:ascii="Arial" w:hAnsi="Arial"/>
          <w:b/>
          <w:color w:val="225C9C"/>
          <w:sz w:val="48"/>
        </w:rPr>
        <w:t>ESTADO CANÓNICO DEL PROYECTO</w:t>
      </w:r>
    </w:p>
    <w:p>
      <w:pPr>
        <w:jc w:val="center"/>
      </w:pPr>
      <w:r>
        <w:rPr>
          <w:rFonts w:ascii="Arial" w:hAnsi="Arial"/>
          <w:color w:val="4A4F55"/>
          <w:sz w:val="25"/>
        </w:rPr>
        <w:t>Fuente operativa para saber qué está vigente, qué está pendiente y qué debe ignorarse</w:t>
      </w:r>
    </w:p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FFF1C9"/>
            <w:tcMar>
              <w:top w:w="130" w:type="dxa"/>
              <w:start w:w="150" w:type="dxa"/>
              <w:bottom w:w="130" w:type="dxa"/>
              <w:end w:w="150" w:type="dxa"/>
            </w:tcMar>
            <w:tcBorders>
              <w:top w:val="single" w:sz="8" w:color="C99300"/>
              <w:left w:val="single" w:sz="8" w:color="C99300"/>
              <w:bottom w:val="single" w:sz="8" w:color="C99300"/>
              <w:right w:val="single" w:sz="8" w:color="C99300"/>
            </w:tcBorders>
          </w:tcPr>
          <w:p>
            <w:pPr>
              <w:spacing w:after="80"/>
            </w:pPr>
            <w:r>
              <w:rPr>
                <w:rFonts w:ascii="Arial" w:hAnsi="Arial"/>
                <w:b/>
                <w:color w:val="14243A"/>
                <w:sz w:val="21"/>
              </w:rPr>
              <w:t>PROPUESTO PARA APROBACIÓN</w:t>
            </w:r>
          </w:p>
          <w:p>
            <w:pPr>
              <w:spacing w:after="0"/>
            </w:pPr>
            <w:r>
              <w:rPr>
                <w:rFonts w:ascii="Arial" w:hAnsi="Arial"/>
                <w:sz w:val="20"/>
              </w:rPr>
              <w:t>SIRIUS-ESTADO-CANONICO · Versión 2.0 · Fecha de corte: 11 de julio de 2026</w:t>
            </w:r>
          </w:p>
        </w:tc>
      </w:tr>
    </w:tbl>
    <w:p>
      <w:pPr>
        <w:spacing w:after="0"/>
      </w:pPr>
    </w:p>
    <w:p/>
    <w:p>
      <w:pPr>
        <w:jc w:val="center"/>
      </w:pPr>
      <w:r>
        <w:rPr>
          <w:rFonts w:ascii="Arial" w:hAnsi="Arial"/>
          <w:i/>
          <w:color w:val="4A4F55"/>
          <w:sz w:val="18"/>
        </w:rPr>
        <w:t>Uso interno del Proyecto Sirius</w:t>
      </w:r>
    </w:p>
    <w:p>
      <w:r>
        <w:br w:type="page"/>
      </w:r>
    </w:p>
    <w:p>
      <w:pPr>
        <w:pStyle w:val="Heading1"/>
        <w:keepNext/>
      </w:pPr>
      <w:r>
        <w:rPr>
          <w:rFonts w:ascii="Arial" w:hAnsi="Arial"/>
          <w:b/>
          <w:color w:val="14243A"/>
          <w:sz w:val="32"/>
        </w:rPr>
        <w:t>Control del documento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</w:trPr>
        <w:tc>
          <w:tcPr>
            <w:tcW w:type="dxa" w:w="2381"/>
            <w:shd w:fill="14243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Campo</w:t>
            </w:r>
          </w:p>
        </w:tc>
        <w:tc>
          <w:tcPr>
            <w:tcW w:type="dxa" w:w="6803"/>
            <w:shd w:fill="14243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Valor</w:t>
            </w:r>
          </w:p>
        </w:tc>
      </w:tr>
      <w:tr>
        <w:trPr>
          <w:cantSplit/>
        </w:trPr>
        <w:tc>
          <w:tcPr>
            <w:tcW w:type="dxa" w:w="238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Identificador</w:t>
            </w:r>
          </w:p>
        </w:tc>
        <w:tc>
          <w:tcPr>
            <w:tcW w:type="dxa" w:w="6803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SIRIUS-ESTADO-CANONICO</w:t>
            </w:r>
          </w:p>
        </w:tc>
      </w:tr>
      <w:tr>
        <w:trPr>
          <w:cantSplit/>
        </w:trPr>
        <w:tc>
          <w:tcPr>
            <w:tcW w:type="dxa" w:w="2381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Versión</w:t>
            </w:r>
          </w:p>
        </w:tc>
        <w:tc>
          <w:tcPr>
            <w:tcW w:type="dxa" w:w="6803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2.0</w:t>
            </w:r>
          </w:p>
        </w:tc>
      </w:tr>
      <w:tr>
        <w:trPr>
          <w:cantSplit/>
        </w:trPr>
        <w:tc>
          <w:tcPr>
            <w:tcW w:type="dxa" w:w="238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Fecha</w:t>
            </w:r>
          </w:p>
        </w:tc>
        <w:tc>
          <w:tcPr>
            <w:tcW w:type="dxa" w:w="6803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11 de julio de 2026</w:t>
            </w:r>
          </w:p>
        </w:tc>
      </w:tr>
      <w:tr>
        <w:trPr>
          <w:cantSplit/>
        </w:trPr>
        <w:tc>
          <w:tcPr>
            <w:tcW w:type="dxa" w:w="2381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Estado</w:t>
            </w:r>
          </w:p>
        </w:tc>
        <w:tc>
          <w:tcPr>
            <w:tcW w:type="dxa" w:w="6803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PROPUESTO PARA APROBACIÓN</w:t>
            </w:r>
          </w:p>
        </w:tc>
      </w:tr>
      <w:tr>
        <w:trPr>
          <w:cantSplit/>
        </w:trPr>
        <w:tc>
          <w:tcPr>
            <w:tcW w:type="dxa" w:w="238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Propietario</w:t>
            </w:r>
          </w:p>
        </w:tc>
        <w:tc>
          <w:tcPr>
            <w:tcW w:type="dxa" w:w="6803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Usuario / Proyecto Sirius</w:t>
            </w:r>
          </w:p>
        </w:tc>
      </w:tr>
      <w:tr>
        <w:trPr>
          <w:cantSplit/>
        </w:trPr>
        <w:tc>
          <w:tcPr>
            <w:tcW w:type="dxa" w:w="2381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Propósito</w:t>
            </w:r>
          </w:p>
        </w:tc>
        <w:tc>
          <w:tcPr>
            <w:tcW w:type="dxa" w:w="6803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Mantener una fotografía breve, inequívoca y actual del estado del Proyecto Sirius.</w:t>
            </w:r>
          </w:p>
        </w:tc>
      </w:tr>
      <w:tr>
        <w:trPr>
          <w:cantSplit/>
        </w:trPr>
        <w:tc>
          <w:tcPr>
            <w:tcW w:type="dxa" w:w="238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Autoridad</w:t>
            </w:r>
          </w:p>
        </w:tc>
        <w:tc>
          <w:tcPr>
            <w:tcW w:type="dxa" w:w="6803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Autoridad operativa. No sustituye al Manual, al Producto ni al Registro de Decisiones.</w:t>
            </w:r>
          </w:p>
        </w:tc>
      </w:tr>
      <w:tr>
        <w:trPr>
          <w:cantSplit/>
        </w:trPr>
        <w:tc>
          <w:tcPr>
            <w:tcW w:type="dxa" w:w="2381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Sustituye</w:t>
            </w:r>
          </w:p>
        </w:tc>
        <w:tc>
          <w:tcPr>
            <w:tcW w:type="dxa" w:w="6803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Documento Maestro de Contexto de Sirius (11/07/2026)</w:t>
            </w:r>
          </w:p>
        </w:tc>
      </w:tr>
      <w:tr>
        <w:trPr>
          <w:cantSplit/>
        </w:trPr>
        <w:tc>
          <w:tcPr>
            <w:tcW w:type="dxa" w:w="238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Regla de aprobación</w:t>
            </w:r>
          </w:p>
        </w:tc>
        <w:tc>
          <w:tcPr>
            <w:tcW w:type="dxa" w:w="6803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Este documento no se aprueba a sí mismo. Su aprobación exige una declaración explícita del usuario.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Arial" w:hAnsi="Arial"/>
          <w:b/>
          <w:color w:val="14243A"/>
          <w:sz w:val="32"/>
        </w:rPr>
        <w:t>Contenido</w:t>
      </w:r>
    </w:p>
    <w:p>
      <w:pPr>
        <w:spacing w:after="40"/>
        <w:ind w:left="113"/>
      </w:pPr>
      <w:r>
        <w:rPr>
          <w:rFonts w:ascii="Arial" w:hAnsi="Arial"/>
          <w:b/>
          <w:color w:val="225C9C"/>
          <w:sz w:val="21"/>
        </w:rPr>
        <w:t xml:space="preserve">1  </w:t>
      </w:r>
      <w:r>
        <w:rPr>
          <w:rFonts w:ascii="Arial" w:hAnsi="Arial"/>
          <w:sz w:val="21"/>
        </w:rPr>
        <w:t>Regla de lectura y jerarquía</w:t>
      </w:r>
    </w:p>
    <w:p>
      <w:pPr>
        <w:spacing w:after="40"/>
        <w:ind w:left="113"/>
      </w:pPr>
      <w:r>
        <w:rPr>
          <w:rFonts w:ascii="Arial" w:hAnsi="Arial"/>
          <w:b/>
          <w:color w:val="225C9C"/>
          <w:sz w:val="21"/>
        </w:rPr>
        <w:t xml:space="preserve">2  </w:t>
      </w:r>
      <w:r>
        <w:rPr>
          <w:rFonts w:ascii="Arial" w:hAnsi="Arial"/>
          <w:sz w:val="21"/>
        </w:rPr>
        <w:t>Estado ejecutivo</w:t>
      </w:r>
    </w:p>
    <w:p>
      <w:pPr>
        <w:spacing w:after="40"/>
        <w:ind w:left="113"/>
      </w:pPr>
      <w:r>
        <w:rPr>
          <w:rFonts w:ascii="Arial" w:hAnsi="Arial"/>
          <w:b/>
          <w:color w:val="225C9C"/>
          <w:sz w:val="21"/>
        </w:rPr>
        <w:t xml:space="preserve">3  </w:t>
      </w:r>
      <w:r>
        <w:rPr>
          <w:rFonts w:ascii="Arial" w:hAnsi="Arial"/>
          <w:sz w:val="21"/>
        </w:rPr>
        <w:t>Corpus canónico propuesto</w:t>
      </w:r>
    </w:p>
    <w:p>
      <w:pPr>
        <w:spacing w:after="40"/>
        <w:ind w:left="113"/>
      </w:pPr>
      <w:r>
        <w:rPr>
          <w:rFonts w:ascii="Arial" w:hAnsi="Arial"/>
          <w:b/>
          <w:color w:val="225C9C"/>
          <w:sz w:val="21"/>
        </w:rPr>
        <w:t xml:space="preserve">4  </w:t>
      </w:r>
      <w:r>
        <w:rPr>
          <w:rFonts w:ascii="Arial" w:hAnsi="Arial"/>
          <w:sz w:val="21"/>
        </w:rPr>
        <w:t>Decisiones vigentes</w:t>
      </w:r>
    </w:p>
    <w:p>
      <w:pPr>
        <w:spacing w:after="40"/>
        <w:ind w:left="113"/>
      </w:pPr>
      <w:r>
        <w:rPr>
          <w:rFonts w:ascii="Arial" w:hAnsi="Arial"/>
          <w:b/>
          <w:color w:val="225C9C"/>
          <w:sz w:val="21"/>
        </w:rPr>
        <w:t xml:space="preserve">5  </w:t>
      </w:r>
      <w:r>
        <w:rPr>
          <w:rFonts w:ascii="Arial" w:hAnsi="Arial"/>
          <w:sz w:val="21"/>
        </w:rPr>
        <w:t>Paquete de decisiones para aprobación</w:t>
      </w:r>
    </w:p>
    <w:p>
      <w:pPr>
        <w:spacing w:after="40"/>
        <w:ind w:left="113"/>
      </w:pPr>
      <w:r>
        <w:rPr>
          <w:rFonts w:ascii="Arial" w:hAnsi="Arial"/>
          <w:b/>
          <w:color w:val="225C9C"/>
          <w:sz w:val="21"/>
        </w:rPr>
        <w:t xml:space="preserve">6  </w:t>
      </w:r>
      <w:r>
        <w:rPr>
          <w:rFonts w:ascii="Arial" w:hAnsi="Arial"/>
          <w:sz w:val="21"/>
        </w:rPr>
        <w:t>Ideas fuera de 0.1</w:t>
      </w:r>
    </w:p>
    <w:p>
      <w:pPr>
        <w:spacing w:after="40"/>
        <w:ind w:left="113"/>
      </w:pPr>
      <w:r>
        <w:rPr>
          <w:rFonts w:ascii="Arial" w:hAnsi="Arial"/>
          <w:b/>
          <w:color w:val="225C9C"/>
          <w:sz w:val="21"/>
        </w:rPr>
        <w:t xml:space="preserve">7  </w:t>
      </w:r>
      <w:r>
        <w:rPr>
          <w:rFonts w:ascii="Arial" w:hAnsi="Arial"/>
          <w:sz w:val="21"/>
        </w:rPr>
        <w:t>Estado de la puerta prearquitectura</w:t>
      </w:r>
    </w:p>
    <w:p>
      <w:pPr>
        <w:spacing w:after="40"/>
        <w:ind w:left="113"/>
      </w:pPr>
      <w:r>
        <w:rPr>
          <w:rFonts w:ascii="Arial" w:hAnsi="Arial"/>
          <w:b/>
          <w:color w:val="225C9C"/>
          <w:sz w:val="21"/>
        </w:rPr>
        <w:t xml:space="preserve">8  </w:t>
      </w:r>
      <w:r>
        <w:rPr>
          <w:rFonts w:ascii="Arial" w:hAnsi="Arial"/>
          <w:sz w:val="21"/>
        </w:rPr>
        <w:t>Archivo histórico y limpieza</w:t>
      </w:r>
    </w:p>
    <w:p>
      <w:pPr>
        <w:spacing w:after="40"/>
        <w:ind w:left="113"/>
      </w:pPr>
      <w:r>
        <w:rPr>
          <w:rFonts w:ascii="Arial" w:hAnsi="Arial"/>
          <w:b/>
          <w:color w:val="225C9C"/>
          <w:sz w:val="21"/>
        </w:rPr>
        <w:t xml:space="preserve">9  </w:t>
      </w:r>
      <w:r>
        <w:rPr>
          <w:rFonts w:ascii="Arial" w:hAnsi="Arial"/>
          <w:sz w:val="21"/>
        </w:rPr>
        <w:t>Siguiente fase</w:t>
      </w:r>
    </w:p>
    <w:p>
      <w:pPr>
        <w:spacing w:after="40"/>
        <w:ind w:left="113"/>
      </w:pPr>
      <w:r>
        <w:rPr>
          <w:rFonts w:ascii="Arial" w:hAnsi="Arial"/>
          <w:b/>
          <w:color w:val="225C9C"/>
          <w:sz w:val="21"/>
        </w:rPr>
        <w:t xml:space="preserve">10  </w:t>
      </w:r>
      <w:r>
        <w:rPr>
          <w:rFonts w:ascii="Arial" w:hAnsi="Arial"/>
          <w:sz w:val="21"/>
        </w:rPr>
        <w:t>Fórmula de aprobación</w:t>
      </w:r>
    </w:p>
    <w:p>
      <w:r>
        <w:br w:type="page"/>
      </w:r>
    </w:p>
    <w:p>
      <w:pPr>
        <w:pStyle w:val="Heading1"/>
        <w:keepNext/>
      </w:pPr>
      <w:r>
        <w:rPr>
          <w:rFonts w:ascii="Arial" w:hAnsi="Arial"/>
          <w:b/>
          <w:color w:val="14243A"/>
          <w:sz w:val="32"/>
        </w:rPr>
        <w:t>1. Regla de lectura y jerarquía</w:t>
      </w:r>
    </w:p>
    <w:p>
      <w:r>
        <w:rPr>
          <w:rFonts w:ascii="Arial" w:hAnsi="Arial"/>
          <w:sz w:val="21"/>
        </w:rPr>
        <w:t>Este documento es un índice operativo. Sirve para que cualquier chat o ingeniero conozca el estado real sin reconstruir todo el historial. No repite la visión, los requisitos ni las decisiones completas: remite a la fuente responsable de cada asunto.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EEF5FB"/>
            <w:tcMar>
              <w:top w:w="130" w:type="dxa"/>
              <w:start w:w="150" w:type="dxa"/>
              <w:bottom w:w="130" w:type="dxa"/>
              <w:end w:w="150" w:type="dxa"/>
            </w:tcMar>
            <w:tcBorders>
              <w:top w:val="single" w:sz="8" w:color="225C9C"/>
              <w:left w:val="single" w:sz="8" w:color="225C9C"/>
              <w:bottom w:val="single" w:sz="8" w:color="225C9C"/>
              <w:right w:val="single" w:sz="8" w:color="225C9C"/>
            </w:tcBorders>
          </w:tcPr>
          <w:p>
            <w:pPr>
              <w:spacing w:after="80"/>
            </w:pPr>
            <w:r>
              <w:rPr>
                <w:rFonts w:ascii="Arial" w:hAnsi="Arial"/>
                <w:b/>
                <w:color w:val="14243A"/>
                <w:sz w:val="21"/>
              </w:rPr>
              <w:t>Regla de autoridad</w:t>
            </w:r>
          </w:p>
          <w:p>
            <w:pPr>
              <w:spacing w:after="0"/>
            </w:pPr>
            <w:r>
              <w:rPr>
                <w:rFonts w:ascii="Arial" w:hAnsi="Arial"/>
                <w:sz w:val="20"/>
              </w:rPr>
              <w:t>Instrucciones vigentes del Proyecto Sirius → Manual de Visión e Identidad → Definición de Producto 0.1 → Registro de Decisiones → Plan de Pruebas → Arquitectura futura → Conversaciones como evidencia. El archivo histórico no compite con las fuentes canónicas.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Arial" w:hAnsi="Arial"/>
          <w:b/>
          <w:color w:val="14243A"/>
          <w:sz w:val="32"/>
        </w:rPr>
        <w:t>2. Estado ejecutivo</w:t>
      </w:r>
    </w:p>
    <w:p>
      <w:pPr>
        <w:pStyle w:val="ListNumber"/>
        <w:spacing w:after="40"/>
      </w:pPr>
      <w:r>
        <w:rPr>
          <w:rFonts w:ascii="Arial" w:hAnsi="Arial"/>
          <w:sz w:val="21"/>
        </w:rPr>
        <w:t>Sirius es un compañero personal de creación e ingeniería con identidad estable, memoria propia, criterio y continuidad a largo plazo.</w:t>
      </w:r>
    </w:p>
    <w:p>
      <w:pPr>
        <w:pStyle w:val="ListNumber"/>
        <w:spacing w:after="40"/>
      </w:pPr>
      <w:r>
        <w:rPr>
          <w:rFonts w:ascii="Arial" w:hAnsi="Arial"/>
          <w:sz w:val="21"/>
        </w:rPr>
        <w:t>La visión central está suficientemente consolidada y no necesita reiniciarse.</w:t>
      </w:r>
    </w:p>
    <w:p>
      <w:pPr>
        <w:pStyle w:val="ListNumber"/>
        <w:spacing w:after="40"/>
      </w:pPr>
      <w:r>
        <w:rPr>
          <w:rFonts w:ascii="Arial" w:hAnsi="Arial"/>
          <w:sz w:val="21"/>
        </w:rPr>
        <w:t>La auditoría integral detectó un problema de alcance, semántica y gobernanza documental, no un problema de visión.</w:t>
      </w:r>
    </w:p>
    <w:p>
      <w:pPr>
        <w:pStyle w:val="ListNumber"/>
        <w:spacing w:after="40"/>
      </w:pPr>
      <w:r>
        <w:rPr>
          <w:rFonts w:ascii="Arial" w:hAnsi="Arial"/>
          <w:sz w:val="21"/>
        </w:rPr>
        <w:t>Sirius 0.1 se reduce a una vertical comprobable: una conversación principal, un proyecto pequeño, memoria manual y un proveedor real.</w:t>
      </w:r>
    </w:p>
    <w:p>
      <w:pPr>
        <w:pStyle w:val="ListNumber"/>
        <w:spacing w:after="40"/>
      </w:pPr>
      <w:r>
        <w:rPr>
          <w:rFonts w:ascii="Arial" w:hAnsi="Arial"/>
          <w:sz w:val="21"/>
        </w:rPr>
        <w:t>La primera versión será una aplicación de escritorio para Windows 11, en español y centrada en texto.</w:t>
      </w:r>
    </w:p>
    <w:p>
      <w:pPr>
        <w:pStyle w:val="ListNumber"/>
        <w:spacing w:after="40"/>
      </w:pPr>
      <w:r>
        <w:rPr>
          <w:rFonts w:ascii="Arial" w:hAnsi="Arial"/>
          <w:sz w:val="21"/>
        </w:rPr>
        <w:t>La voz queda fuera de 0.1 y se mantiene como hito obligatorio posterior de la visión.</w:t>
      </w:r>
    </w:p>
    <w:p>
      <w:pPr>
        <w:pStyle w:val="ListNumber"/>
        <w:spacing w:after="40"/>
      </w:pPr>
      <w:r>
        <w:rPr>
          <w:rFonts w:ascii="Arial" w:hAnsi="Arial"/>
          <w:sz w:val="21"/>
        </w:rPr>
        <w:t>El proyecto activo no será un gestor de tareas completo: conservará objetivo, estado breve, decisiones, bloqueos y siguiente paso.</w:t>
      </w:r>
    </w:p>
    <w:p>
      <w:pPr>
        <w:pStyle w:val="ListNumber"/>
        <w:spacing w:after="40"/>
      </w:pPr>
      <w:r>
        <w:rPr>
          <w:rFonts w:ascii="Arial" w:hAnsi="Arial"/>
          <w:sz w:val="21"/>
        </w:rPr>
        <w:t>La memoria se divide en historial conversacional, recuerdos estructurados, decisiones versionadas y resumen de proyecto.</w:t>
      </w:r>
    </w:p>
    <w:p>
      <w:pPr>
        <w:pStyle w:val="ListNumber"/>
        <w:spacing w:after="40"/>
      </w:pPr>
      <w:r>
        <w:rPr>
          <w:rFonts w:ascii="Arial" w:hAnsi="Arial"/>
          <w:sz w:val="21"/>
        </w:rPr>
        <w:t>Todo recuerdo tendrá origen obligatorio y las contradicciones no se resolverán silenciosamente.</w:t>
      </w:r>
    </w:p>
    <w:p>
      <w:pPr>
        <w:pStyle w:val="ListNumber"/>
        <w:spacing w:after="40"/>
      </w:pPr>
      <w:r>
        <w:rPr>
          <w:rFonts w:ascii="Arial" w:hAnsi="Arial"/>
          <w:sz w:val="21"/>
        </w:rPr>
        <w:t>Sirius 0.1 ayudará por conversación, razonamiento, planificación y registro; no ejecutará acciones externas.</w:t>
      </w:r>
    </w:p>
    <w:p>
      <w:pPr>
        <w:pStyle w:val="ListNumber"/>
        <w:spacing w:after="40"/>
      </w:pPr>
      <w:r>
        <w:rPr>
          <w:rFonts w:ascii="Arial" w:hAnsi="Arial"/>
          <w:sz w:val="21"/>
        </w:rPr>
        <w:t>La personalidad será una parte verificable del producto mediante escenarios, rúbrica y aprobación humana.</w:t>
      </w:r>
    </w:p>
    <w:p>
      <w:pPr>
        <w:pStyle w:val="ListNumber"/>
        <w:spacing w:after="40"/>
      </w:pPr>
      <w:r>
        <w:rPr>
          <w:rFonts w:ascii="Arial" w:hAnsi="Arial"/>
          <w:sz w:val="21"/>
        </w:rPr>
        <w:t>No habrá telemetría externa por defecto ni servicios ocultos.</w:t>
      </w:r>
    </w:p>
    <w:p>
      <w:pPr>
        <w:pStyle w:val="ListNumber"/>
        <w:spacing w:after="40"/>
      </w:pPr>
      <w:r>
        <w:rPr>
          <w:rFonts w:ascii="Arial" w:hAnsi="Arial"/>
          <w:sz w:val="21"/>
        </w:rPr>
        <w:t>El proveedor de referencia propuesto es OpenAI mediante Responses API, modelo gpt-5.6-terra, con estado conversacional local y store=false.</w:t>
      </w:r>
    </w:p>
    <w:p>
      <w:pPr>
        <w:pStyle w:val="ListNumber"/>
        <w:spacing w:after="40"/>
      </w:pPr>
      <w:r>
        <w:rPr>
          <w:rFonts w:ascii="Arial" w:hAnsi="Arial"/>
          <w:sz w:val="21"/>
        </w:rPr>
        <w:t>Python, SQLite, VS Code y Git/GitHub siguen siendo decisiones iniciales; el framework de interfaz se decidirá en arquitectura.</w:t>
      </w:r>
    </w:p>
    <w:p>
      <w:pPr>
        <w:pStyle w:val="ListNumber"/>
        <w:spacing w:after="40"/>
      </w:pPr>
      <w:r>
        <w:rPr>
          <w:rFonts w:ascii="Arial" w:hAnsi="Arial"/>
          <w:sz w:val="21"/>
        </w:rPr>
        <w:t>Tras aprobar este paquete y limpiar las fuentes activas, el siguiente trabajo será redactar la Arquitectura Técnica de Sirius 0.1.</w:t>
      </w:r>
    </w:p>
    <w:p>
      <w:pPr>
        <w:pStyle w:val="Heading1"/>
        <w:keepNext/>
      </w:pPr>
      <w:r>
        <w:rPr>
          <w:rFonts w:ascii="Arial" w:hAnsi="Arial"/>
          <w:b/>
          <w:color w:val="14243A"/>
          <w:sz w:val="32"/>
        </w:rPr>
        <w:t>3. Corpus canónico propuesto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680"/>
            <w:shd w:fill="14243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Orden</w:t>
            </w:r>
          </w:p>
        </w:tc>
        <w:tc>
          <w:tcPr>
            <w:tcW w:type="dxa" w:w="3515"/>
            <w:shd w:fill="14243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Documento</w:t>
            </w:r>
          </w:p>
        </w:tc>
        <w:tc>
          <w:tcPr>
            <w:tcW w:type="dxa" w:w="1701"/>
            <w:shd w:fill="14243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Estado</w:t>
            </w:r>
          </w:p>
        </w:tc>
        <w:tc>
          <w:tcPr>
            <w:tcW w:type="dxa" w:w="3402"/>
            <w:shd w:fill="14243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Responsabilidad</w:t>
            </w:r>
          </w:p>
        </w:tc>
      </w:tr>
      <w:tr>
        <w:trPr>
          <w:cantSplit/>
        </w:trPr>
        <w:tc>
          <w:tcPr>
            <w:tcW w:type="dxa" w:w="68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1</w:t>
            </w:r>
          </w:p>
        </w:tc>
        <w:tc>
          <w:tcPr>
            <w:tcW w:type="dxa" w:w="3515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Instrucciones del Proyecto Sirius</w:t>
            </w:r>
          </w:p>
        </w:tc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APROBADO</w:t>
            </w:r>
          </w:p>
        </w:tc>
        <w:tc>
          <w:tcPr>
            <w:tcW w:type="dxa" w:w="340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Método, límites y forma de colaboración.</w:t>
            </w:r>
          </w:p>
        </w:tc>
      </w:tr>
      <w:tr>
        <w:trPr>
          <w:cantSplit/>
        </w:trPr>
        <w:tc>
          <w:tcPr>
            <w:tcW w:type="dxa" w:w="680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2</w:t>
            </w:r>
          </w:p>
        </w:tc>
        <w:tc>
          <w:tcPr>
            <w:tcW w:type="dxa" w:w="3515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SIRIUS_MANUAL_VISION_IDENTIDAD_v1.2</w:t>
            </w:r>
          </w:p>
        </w:tc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PROPUESTO</w:t>
            </w:r>
          </w:p>
        </w:tc>
        <w:tc>
          <w:tcPr>
            <w:tcW w:type="dxa" w:w="3402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Visión, identidad, relación, principios y roadmap.</w:t>
            </w:r>
          </w:p>
        </w:tc>
      </w:tr>
      <w:tr>
        <w:trPr>
          <w:cantSplit/>
        </w:trPr>
        <w:tc>
          <w:tcPr>
            <w:tcW w:type="dxa" w:w="68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3</w:t>
            </w:r>
          </w:p>
        </w:tc>
        <w:tc>
          <w:tcPr>
            <w:tcW w:type="dxa" w:w="3515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SIRIUS_PRODUCTO_0.1_v0.2</w:t>
            </w:r>
          </w:p>
        </w:tc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PROPUESTO</w:t>
            </w:r>
          </w:p>
        </w:tc>
        <w:tc>
          <w:tcPr>
            <w:tcW w:type="dxa" w:w="340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Alcance, comportamiento, requisitos y definición de terminado.</w:t>
            </w:r>
          </w:p>
        </w:tc>
      </w:tr>
      <w:tr>
        <w:trPr>
          <w:cantSplit/>
        </w:trPr>
        <w:tc>
          <w:tcPr>
            <w:tcW w:type="dxa" w:w="680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4</w:t>
            </w:r>
          </w:p>
        </w:tc>
        <w:tc>
          <w:tcPr>
            <w:tcW w:type="dxa" w:w="3515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SIRIUS_REGISTRO_DECISIONES_v1.0</w:t>
            </w:r>
          </w:p>
        </w:tc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PROPUESTO</w:t>
            </w:r>
          </w:p>
        </w:tc>
        <w:tc>
          <w:tcPr>
            <w:tcW w:type="dxa" w:w="3402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Decisiones aprobadas y propuestas, consecuencias y sustituciones.</w:t>
            </w:r>
          </w:p>
        </w:tc>
      </w:tr>
      <w:tr>
        <w:trPr>
          <w:cantSplit/>
        </w:trPr>
        <w:tc>
          <w:tcPr>
            <w:tcW w:type="dxa" w:w="68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5</w:t>
            </w:r>
          </w:p>
        </w:tc>
        <w:tc>
          <w:tcPr>
            <w:tcW w:type="dxa" w:w="3515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SIRIUS_PLAN_PRUEBAS_TRAZABILIDAD_0.1_v1.0</w:t>
            </w:r>
          </w:p>
        </w:tc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PROPUESTO</w:t>
            </w:r>
          </w:p>
        </w:tc>
        <w:tc>
          <w:tcPr>
            <w:tcW w:type="dxa" w:w="340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Pruebas, rúbricas, trazabilidad y evidencia de aceptación.</w:t>
            </w:r>
          </w:p>
        </w:tc>
      </w:tr>
      <w:tr>
        <w:trPr>
          <w:cantSplit/>
        </w:trPr>
        <w:tc>
          <w:tcPr>
            <w:tcW w:type="dxa" w:w="680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6</w:t>
            </w:r>
          </w:p>
        </w:tc>
        <w:tc>
          <w:tcPr>
            <w:tcW w:type="dxa" w:w="3515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SIRIUS_ESTADO_CANONICO_v2.0</w:t>
            </w:r>
          </w:p>
        </w:tc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PROPUESTO</w:t>
            </w:r>
          </w:p>
        </w:tc>
        <w:tc>
          <w:tcPr>
            <w:tcW w:type="dxa" w:w="3402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Estado vivo, bloqueos, documentos vigentes y siguiente paso.</w:t>
            </w:r>
          </w:p>
        </w:tc>
      </w:tr>
      <w:tr>
        <w:trPr>
          <w:cantSplit/>
        </w:trPr>
        <w:tc>
          <w:tcPr>
            <w:tcW w:type="dxa" w:w="68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7</w:t>
            </w:r>
          </w:p>
        </w:tc>
        <w:tc>
          <w:tcPr>
            <w:tcW w:type="dxa" w:w="3515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Auditoría Integral Prearquitectura v1.0</w:t>
            </w:r>
          </w:p>
        </w:tc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HISTÓRICO VIGENTE</w:t>
            </w:r>
          </w:p>
        </w:tc>
        <w:tc>
          <w:tcPr>
            <w:tcW w:type="dxa" w:w="340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Evidencia de hallazgos y justificación de esta corrección.</w:t>
            </w:r>
          </w:p>
        </w:tc>
      </w:tr>
      <w:tr>
        <w:trPr>
          <w:cantSplit/>
        </w:trPr>
        <w:tc>
          <w:tcPr>
            <w:tcW w:type="dxa" w:w="680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8</w:t>
            </w:r>
          </w:p>
        </w:tc>
        <w:tc>
          <w:tcPr>
            <w:tcW w:type="dxa" w:w="3515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Arquitectura Técnica Sirius 0.1</w:t>
            </w:r>
          </w:p>
        </w:tc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NO DEFINIDO</w:t>
            </w:r>
          </w:p>
        </w:tc>
        <w:tc>
          <w:tcPr>
            <w:tcW w:type="dxa" w:w="3402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Se redactará solo después de la aprobación prearquitectura.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Arial" w:hAnsi="Arial"/>
          <w:b/>
          <w:color w:val="14243A"/>
          <w:sz w:val="32"/>
        </w:rPr>
        <w:t>4. Decisiones vigentes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2268"/>
            <w:shd w:fill="14243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Elemento</w:t>
            </w:r>
          </w:p>
        </w:tc>
        <w:tc>
          <w:tcPr>
            <w:tcW w:type="dxa" w:w="1701"/>
            <w:shd w:fill="14243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Estado</w:t>
            </w:r>
          </w:p>
        </w:tc>
        <w:tc>
          <w:tcPr>
            <w:tcW w:type="dxa" w:w="5329"/>
            <w:shd w:fill="14243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Decisión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Propósito</w:t>
            </w:r>
          </w:p>
        </w:tc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APROBADO</w:t>
            </w:r>
          </w:p>
        </w:tc>
        <w:tc>
          <w:tcPr>
            <w:tcW w:type="dxa" w:w="532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Compañero personal de creación e ingeniería; no chatbot genérico.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Memoria</w:t>
            </w:r>
          </w:p>
        </w:tc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APROBADO</w:t>
            </w:r>
          </w:p>
        </w:tc>
        <w:tc>
          <w:tcPr>
            <w:tcW w:type="dxa" w:w="5329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Propia, portable y no dependiente de un proveedor concreto.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Personalidad</w:t>
            </w:r>
          </w:p>
        </w:tc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APROBADO</w:t>
            </w:r>
          </w:p>
        </w:tc>
        <w:tc>
          <w:tcPr>
            <w:tcW w:type="dxa" w:w="532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Cercana, espontánea, provocadora, honesta, útil y con criterio.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Autoridad</w:t>
            </w:r>
          </w:p>
        </w:tc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APROBADO</w:t>
            </w:r>
          </w:p>
        </w:tc>
        <w:tc>
          <w:tcPr>
            <w:tcW w:type="dxa" w:w="5329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Sirius recomienda y puede discrepar; el usuario decide.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Plataforma inicial</w:t>
            </w:r>
          </w:p>
        </w:tc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APROBADO</w:t>
            </w:r>
          </w:p>
        </w:tc>
        <w:tc>
          <w:tcPr>
            <w:tcW w:type="dxa" w:w="532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Aplicación de escritorio para Windows 11.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Idioma</w:t>
            </w:r>
          </w:p>
        </w:tc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APROBADO</w:t>
            </w:r>
          </w:p>
        </w:tc>
        <w:tc>
          <w:tcPr>
            <w:tcW w:type="dxa" w:w="5329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Español como idioma principal.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Stack inicial</w:t>
            </w:r>
          </w:p>
        </w:tc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APROBADO</w:t>
            </w:r>
          </w:p>
        </w:tc>
        <w:tc>
          <w:tcPr>
            <w:tcW w:type="dxa" w:w="532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Python, SQLite, VS Code, Git y GitHub.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Automatizaciones</w:t>
            </w:r>
          </w:p>
        </w:tc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APROBADO</w:t>
            </w:r>
          </w:p>
        </w:tc>
        <w:tc>
          <w:tcPr>
            <w:tcW w:type="dxa" w:w="5329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Make como opción inicial futura; fuera de 0.1.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Multiagente / RAG</w:t>
            </w:r>
          </w:p>
        </w:tc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POSPUESTO</w:t>
            </w:r>
          </w:p>
        </w:tc>
        <w:tc>
          <w:tcPr>
            <w:tcW w:type="dxa" w:w="532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No se utilizarán en 0.1 sin evidencia de necesidad.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Nombre</w:t>
            </w:r>
          </w:p>
        </w:tc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PROVISIONAL</w:t>
            </w:r>
          </w:p>
        </w:tc>
        <w:tc>
          <w:tcPr>
            <w:tcW w:type="dxa" w:w="5329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Sirius se mantiene como nombre de trabajo.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Arial" w:hAnsi="Arial"/>
          <w:b/>
          <w:color w:val="14243A"/>
          <w:sz w:val="32"/>
        </w:rPr>
        <w:t>5. Paquete de decisiones para aprobación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1020"/>
            <w:shd w:fill="14243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ID</w:t>
            </w:r>
          </w:p>
        </w:tc>
        <w:tc>
          <w:tcPr>
            <w:tcW w:type="dxa" w:w="6350"/>
            <w:shd w:fill="14243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Decisión resumida</w:t>
            </w:r>
          </w:p>
        </w:tc>
        <w:tc>
          <w:tcPr>
            <w:tcW w:type="dxa" w:w="2041"/>
            <w:shd w:fill="14243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Estado</w:t>
            </w:r>
          </w:p>
        </w:tc>
      </w:tr>
      <w:tr>
        <w:trPr>
          <w:cantSplit/>
        </w:trPr>
        <w:tc>
          <w:tcPr>
            <w:tcW w:type="dxa" w:w="102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D-01</w:t>
            </w:r>
          </w:p>
        </w:tc>
        <w:tc>
          <w:tcPr>
            <w:tcW w:type="dxa" w:w="635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0.1 centrado en texto; voz fuera de alcance.</w:t>
            </w:r>
          </w:p>
        </w:tc>
        <w:tc>
          <w:tcPr>
            <w:tcW w:type="dxa" w:w="20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PROPUESTO</w:t>
            </w:r>
          </w:p>
        </w:tc>
      </w:tr>
      <w:tr>
        <w:trPr>
          <w:cantSplit/>
        </w:trPr>
        <w:tc>
          <w:tcPr>
            <w:tcW w:type="dxa" w:w="1020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D-02</w:t>
            </w:r>
          </w:p>
        </w:tc>
        <w:tc>
          <w:tcPr>
            <w:tcW w:type="dxa" w:w="6350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Una conversación principal persistente.</w:t>
            </w:r>
          </w:p>
        </w:tc>
        <w:tc>
          <w:tcPr>
            <w:tcW w:type="dxa" w:w="2041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PROPUESTO</w:t>
            </w:r>
          </w:p>
        </w:tc>
      </w:tr>
      <w:tr>
        <w:trPr>
          <w:cantSplit/>
        </w:trPr>
        <w:tc>
          <w:tcPr>
            <w:tcW w:type="dxa" w:w="102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D-03</w:t>
            </w:r>
          </w:p>
        </w:tc>
        <w:tc>
          <w:tcPr>
            <w:tcW w:type="dxa" w:w="635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Un proyecto activo con estado mínimo.</w:t>
            </w:r>
          </w:p>
        </w:tc>
        <w:tc>
          <w:tcPr>
            <w:tcW w:type="dxa" w:w="20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PROPUESTO</w:t>
            </w:r>
          </w:p>
        </w:tc>
      </w:tr>
      <w:tr>
        <w:trPr>
          <w:cantSplit/>
        </w:trPr>
        <w:tc>
          <w:tcPr>
            <w:tcW w:type="dxa" w:w="1020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D-04</w:t>
            </w:r>
          </w:p>
        </w:tc>
        <w:tc>
          <w:tcPr>
            <w:tcW w:type="dxa" w:w="6350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Memoria manual con origen obligatorio y decisiones versionadas.</w:t>
            </w:r>
          </w:p>
        </w:tc>
        <w:tc>
          <w:tcPr>
            <w:tcW w:type="dxa" w:w="2041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PROPUESTO</w:t>
            </w:r>
          </w:p>
        </w:tc>
      </w:tr>
      <w:tr>
        <w:trPr>
          <w:cantSplit/>
        </w:trPr>
        <w:tc>
          <w:tcPr>
            <w:tcW w:type="dxa" w:w="102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D-05</w:t>
            </w:r>
          </w:p>
        </w:tc>
        <w:tc>
          <w:tcPr>
            <w:tcW w:type="dxa" w:w="635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Regla explícita de conflictos, archivo y eliminación.</w:t>
            </w:r>
          </w:p>
        </w:tc>
        <w:tc>
          <w:tcPr>
            <w:tcW w:type="dxa" w:w="20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PROPUESTO</w:t>
            </w:r>
          </w:p>
        </w:tc>
      </w:tr>
      <w:tr>
        <w:trPr>
          <w:cantSplit/>
        </w:trPr>
        <w:tc>
          <w:tcPr>
            <w:tcW w:type="dxa" w:w="1020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D-06</w:t>
            </w:r>
          </w:p>
        </w:tc>
        <w:tc>
          <w:tcPr>
            <w:tcW w:type="dxa" w:w="6350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Un proveedor real más un proveedor simulado para contratos.</w:t>
            </w:r>
          </w:p>
        </w:tc>
        <w:tc>
          <w:tcPr>
            <w:tcW w:type="dxa" w:w="2041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PROPUESTO</w:t>
            </w:r>
          </w:p>
        </w:tc>
      </w:tr>
      <w:tr>
        <w:trPr>
          <w:cantSplit/>
        </w:trPr>
        <w:tc>
          <w:tcPr>
            <w:tcW w:type="dxa" w:w="102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D-07</w:t>
            </w:r>
          </w:p>
        </w:tc>
        <w:tc>
          <w:tcPr>
            <w:tcW w:type="dxa" w:w="635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OpenAI Responses API + gpt-5.6-terra como referencia inicial reversible.</w:t>
            </w:r>
          </w:p>
        </w:tc>
        <w:tc>
          <w:tcPr>
            <w:tcW w:type="dxa" w:w="20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PROPUESTO</w:t>
            </w:r>
          </w:p>
        </w:tc>
      </w:tr>
      <w:tr>
        <w:trPr>
          <w:cantSplit/>
        </w:trPr>
        <w:tc>
          <w:tcPr>
            <w:tcW w:type="dxa" w:w="1020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D-08</w:t>
            </w:r>
          </w:p>
        </w:tc>
        <w:tc>
          <w:tcPr>
            <w:tcW w:type="dxa" w:w="6350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Envolvente de gasto: aviso a 15 USD y bloqueo a 20 USD al mes.</w:t>
            </w:r>
          </w:p>
        </w:tc>
        <w:tc>
          <w:tcPr>
            <w:tcW w:type="dxa" w:w="2041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PROPUESTO</w:t>
            </w:r>
          </w:p>
        </w:tc>
      </w:tr>
      <w:tr>
        <w:trPr>
          <w:cantSplit/>
        </w:trPr>
        <w:tc>
          <w:tcPr>
            <w:tcW w:type="dxa" w:w="102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D-09</w:t>
            </w:r>
          </w:p>
        </w:tc>
        <w:tc>
          <w:tcPr>
            <w:tcW w:type="dxa" w:w="635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Sin telemetría externa por defecto; logs locales minimizados.</w:t>
            </w:r>
          </w:p>
        </w:tc>
        <w:tc>
          <w:tcPr>
            <w:tcW w:type="dxa" w:w="20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PROPUESTO</w:t>
            </w:r>
          </w:p>
        </w:tc>
      </w:tr>
      <w:tr>
        <w:trPr>
          <w:cantSplit/>
        </w:trPr>
        <w:tc>
          <w:tcPr>
            <w:tcW w:type="dxa" w:w="1020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D-10</w:t>
            </w:r>
          </w:p>
        </w:tc>
        <w:tc>
          <w:tcPr>
            <w:tcW w:type="dxa" w:w="6350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Confianza en sesión de Windows para datos locales; secretos en almacén seguro del sistema.</w:t>
            </w:r>
          </w:p>
        </w:tc>
        <w:tc>
          <w:tcPr>
            <w:tcW w:type="dxa" w:w="2041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PROPUESTO</w:t>
            </w:r>
          </w:p>
        </w:tc>
      </w:tr>
      <w:tr>
        <w:trPr>
          <w:cantSplit/>
        </w:trPr>
        <w:tc>
          <w:tcPr>
            <w:tcW w:type="dxa" w:w="102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D-11</w:t>
            </w:r>
          </w:p>
        </w:tc>
        <w:tc>
          <w:tcPr>
            <w:tcW w:type="dxa" w:w="635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Copia manual mínima cifrada y exportación estructurada.</w:t>
            </w:r>
          </w:p>
        </w:tc>
        <w:tc>
          <w:tcPr>
            <w:tcW w:type="dxa" w:w="20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PROPUESTO</w:t>
            </w:r>
          </w:p>
        </w:tc>
      </w:tr>
      <w:tr>
        <w:trPr>
          <w:cantSplit/>
        </w:trPr>
        <w:tc>
          <w:tcPr>
            <w:tcW w:type="dxa" w:w="1020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D-12</w:t>
            </w:r>
          </w:p>
        </w:tc>
        <w:tc>
          <w:tcPr>
            <w:tcW w:type="dxa" w:w="6350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Markdown y bloques de código como capacidad mínima de conversación técnica.</w:t>
            </w:r>
          </w:p>
        </w:tc>
        <w:tc>
          <w:tcPr>
            <w:tcW w:type="dxa" w:w="2041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PROPUESTO</w:t>
            </w:r>
          </w:p>
        </w:tc>
      </w:tr>
      <w:tr>
        <w:trPr>
          <w:cantSplit/>
        </w:trPr>
        <w:tc>
          <w:tcPr>
            <w:tcW w:type="dxa" w:w="102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D-13</w:t>
            </w:r>
          </w:p>
        </w:tc>
        <w:tc>
          <w:tcPr>
            <w:tcW w:type="dxa" w:w="635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Suite versionada de personalidad con evaluación final del usuario.</w:t>
            </w:r>
          </w:p>
        </w:tc>
        <w:tc>
          <w:tcPr>
            <w:tcW w:type="dxa" w:w="20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PROPUESTO</w:t>
            </w:r>
          </w:p>
        </w:tc>
      </w:tr>
    </w:tbl>
    <w:p>
      <w:pPr>
        <w:spacing w:after="0"/>
      </w:pPr>
    </w:p>
    <w:p>
      <w:r>
        <w:rPr>
          <w:rFonts w:ascii="Arial" w:hAnsi="Arial"/>
          <w:sz w:val="21"/>
        </w:rPr>
        <w:t>La aprobación del paquete convierte estas propuestas en decisiones vigentes. El Registro de Decisiones contiene el contexto, las alternativas y las consecuencias de cada una.</w:t>
      </w:r>
    </w:p>
    <w:p>
      <w:pPr>
        <w:pStyle w:val="Heading1"/>
        <w:keepNext/>
      </w:pPr>
      <w:r>
        <w:rPr>
          <w:rFonts w:ascii="Arial" w:hAnsi="Arial"/>
          <w:b/>
          <w:color w:val="14243A"/>
          <w:sz w:val="32"/>
        </w:rPr>
        <w:t>6. Ideas fuera de Sirius 0.1</w:t>
      </w:r>
    </w:p>
    <w:p>
      <w:pPr>
        <w:pStyle w:val="ListBullet"/>
        <w:spacing w:after="40"/>
      </w:pPr>
      <w:r>
        <w:rPr>
          <w:rFonts w:ascii="Arial" w:hAnsi="Arial"/>
          <w:sz w:val="21"/>
        </w:rPr>
        <w:t>Voz, reconocimiento de voz, síntesis y conversación en tiempo real.</w:t>
      </w:r>
    </w:p>
    <w:p>
      <w:pPr>
        <w:pStyle w:val="ListBullet"/>
        <w:spacing w:after="40"/>
      </w:pPr>
      <w:r>
        <w:rPr>
          <w:rFonts w:ascii="Arial" w:hAnsi="Arial"/>
          <w:sz w:val="21"/>
        </w:rPr>
        <w:t>Cámara, reconocimiento facial, sensores, robótica y representación física.</w:t>
      </w:r>
    </w:p>
    <w:p>
      <w:pPr>
        <w:pStyle w:val="ListBullet"/>
        <w:spacing w:after="40"/>
      </w:pPr>
      <w:r>
        <w:rPr>
          <w:rFonts w:ascii="Arial" w:hAnsi="Arial"/>
          <w:sz w:val="21"/>
        </w:rPr>
        <w:t>Acceso general a archivos, ejecución de código, comandos o automatizaciones.</w:t>
      </w:r>
    </w:p>
    <w:p>
      <w:pPr>
        <w:pStyle w:val="ListBullet"/>
        <w:spacing w:after="40"/>
      </w:pPr>
      <w:r>
        <w:rPr>
          <w:rFonts w:ascii="Arial" w:hAnsi="Arial"/>
          <w:sz w:val="21"/>
        </w:rPr>
        <w:t>Búsqueda web, investigación autónoma y uso de herramientas externas.</w:t>
      </w:r>
    </w:p>
    <w:p>
      <w:pPr>
        <w:pStyle w:val="ListBullet"/>
        <w:spacing w:after="40"/>
      </w:pPr>
      <w:r>
        <w:rPr>
          <w:rFonts w:ascii="Arial" w:hAnsi="Arial"/>
          <w:sz w:val="21"/>
        </w:rPr>
        <w:t>Varios proyectos activos, varios usuarios, sincronización o aplicación móvil.</w:t>
      </w:r>
    </w:p>
    <w:p>
      <w:pPr>
        <w:pStyle w:val="ListBullet"/>
        <w:spacing w:after="40"/>
      </w:pPr>
      <w:r>
        <w:rPr>
          <w:rFonts w:ascii="Arial" w:hAnsi="Arial"/>
          <w:sz w:val="21"/>
        </w:rPr>
        <w:t>Selector de varios proveedores en la interfaz.</w:t>
      </w:r>
    </w:p>
    <w:p>
      <w:pPr>
        <w:pStyle w:val="ListBullet"/>
        <w:spacing w:after="40"/>
      </w:pPr>
      <w:r>
        <w:rPr>
          <w:rFonts w:ascii="Arial" w:hAnsi="Arial"/>
          <w:sz w:val="21"/>
        </w:rPr>
        <w:t>Guardado proactivo obligatorio de memoria.</w:t>
      </w:r>
    </w:p>
    <w:p>
      <w:pPr>
        <w:pStyle w:val="ListBullet"/>
        <w:spacing w:after="40"/>
      </w:pPr>
      <w:r>
        <w:rPr>
          <w:rFonts w:ascii="Arial" w:hAnsi="Arial"/>
          <w:sz w:val="21"/>
        </w:rPr>
        <w:t>RAG, embeddings, bases vectoriales, grafos de conocimiento y multiagente.</w:t>
      </w:r>
    </w:p>
    <w:p>
      <w:pPr>
        <w:pStyle w:val="ListBullet"/>
        <w:spacing w:after="40"/>
      </w:pPr>
      <w:r>
        <w:rPr>
          <w:rFonts w:ascii="Arial" w:hAnsi="Arial"/>
          <w:sz w:val="21"/>
        </w:rPr>
        <w:t>Gestor completo de tareas, calendario, dependencias o inventario.</w:t>
      </w:r>
    </w:p>
    <w:p>
      <w:pPr>
        <w:pStyle w:val="ListBullet"/>
        <w:spacing w:after="40"/>
      </w:pPr>
      <w:r>
        <w:rPr>
          <w:rFonts w:ascii="Arial" w:hAnsi="Arial"/>
          <w:sz w:val="21"/>
        </w:rPr>
        <w:t>Interfaz galáctica avanzada, avatar, holograma o cabeza robótica.</w:t>
      </w:r>
    </w:p>
    <w:p>
      <w:pPr>
        <w:pStyle w:val="Heading1"/>
        <w:keepNext/>
      </w:pPr>
      <w:r>
        <w:rPr>
          <w:rFonts w:ascii="Arial" w:hAnsi="Arial"/>
          <w:b/>
          <w:color w:val="14243A"/>
          <w:sz w:val="32"/>
        </w:rPr>
        <w:t>7. Estado de la puerta prearquitectura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794"/>
            <w:shd w:fill="14243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ID</w:t>
            </w:r>
          </w:p>
        </w:tc>
        <w:tc>
          <w:tcPr>
            <w:tcW w:type="dxa" w:w="2665"/>
            <w:shd w:fill="14243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Condición</w:t>
            </w:r>
          </w:p>
        </w:tc>
        <w:tc>
          <w:tcPr>
            <w:tcW w:type="dxa" w:w="1474"/>
            <w:shd w:fill="14243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Estado</w:t>
            </w:r>
          </w:p>
        </w:tc>
        <w:tc>
          <w:tcPr>
            <w:tcW w:type="dxa" w:w="4479"/>
            <w:shd w:fill="14243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Evidencia</w:t>
            </w:r>
          </w:p>
        </w:tc>
      </w:tr>
      <w:tr>
        <w:trPr>
          <w:cantSplit/>
        </w:trPr>
        <w:tc>
          <w:tcPr>
            <w:tcW w:type="dxa" w:w="79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G-01</w:t>
            </w:r>
          </w:p>
        </w:tc>
        <w:tc>
          <w:tcPr>
            <w:tcW w:type="dxa" w:w="2665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Corpus canónico limpio</w:t>
            </w:r>
          </w:p>
        </w:tc>
        <w:tc>
          <w:tcPr>
            <w:tcW w:type="dxa" w:w="147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PARCIAL</w:t>
            </w:r>
          </w:p>
        </w:tc>
        <w:tc>
          <w:tcPr>
            <w:tcW w:type="dxa" w:w="447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La jerarquía y el manifiesto de archivo están preparados; la retirada física de fuentes antiguas debe hacerse en la interfaz del proyecto.</w:t>
            </w:r>
          </w:p>
        </w:tc>
      </w:tr>
      <w:tr>
        <w:trPr>
          <w:cantSplit/>
        </w:trPr>
        <w:tc>
          <w:tcPr>
            <w:tcW w:type="dxa" w:w="794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G-02</w:t>
            </w:r>
          </w:p>
        </w:tc>
        <w:tc>
          <w:tcPr>
            <w:tcW w:type="dxa" w:w="2665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Manual de visión corregido</w:t>
            </w:r>
          </w:p>
        </w:tc>
        <w:tc>
          <w:tcPr>
            <w:tcW w:type="dxa" w:w="1474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PREPARADO</w:t>
            </w:r>
          </w:p>
        </w:tc>
        <w:tc>
          <w:tcPr>
            <w:tcW w:type="dxa" w:w="4479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Manual v1.2 incluido; pendiente aprobación.</w:t>
            </w:r>
          </w:p>
        </w:tc>
      </w:tr>
      <w:tr>
        <w:trPr>
          <w:cantSplit/>
        </w:trPr>
        <w:tc>
          <w:tcPr>
            <w:tcW w:type="dxa" w:w="79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G-03</w:t>
            </w:r>
          </w:p>
        </w:tc>
        <w:tc>
          <w:tcPr>
            <w:tcW w:type="dxa" w:w="2665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Definición 0.1 corregida</w:t>
            </w:r>
          </w:p>
        </w:tc>
        <w:tc>
          <w:tcPr>
            <w:tcW w:type="dxa" w:w="147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PREPARADO</w:t>
            </w:r>
          </w:p>
        </w:tc>
        <w:tc>
          <w:tcPr>
            <w:tcW w:type="dxa" w:w="447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Producto v0.2 incluido; pendiente aprobación.</w:t>
            </w:r>
          </w:p>
        </w:tc>
      </w:tr>
      <w:tr>
        <w:trPr>
          <w:cantSplit/>
        </w:trPr>
        <w:tc>
          <w:tcPr>
            <w:tcW w:type="dxa" w:w="794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G-04</w:t>
            </w:r>
          </w:p>
        </w:tc>
        <w:tc>
          <w:tcPr>
            <w:tcW w:type="dxa" w:w="2665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Modelo de memoria cerrado</w:t>
            </w:r>
          </w:p>
        </w:tc>
        <w:tc>
          <w:tcPr>
            <w:tcW w:type="dxa" w:w="1474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PREPARADO</w:t>
            </w:r>
          </w:p>
        </w:tc>
        <w:tc>
          <w:tcPr>
            <w:tcW w:type="dxa" w:w="4479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Semántica, origen, conflictos, archivo y borrado definidos.</w:t>
            </w:r>
          </w:p>
        </w:tc>
      </w:tr>
      <w:tr>
        <w:trPr>
          <w:cantSplit/>
        </w:trPr>
        <w:tc>
          <w:tcPr>
            <w:tcW w:type="dxa" w:w="79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G-05</w:t>
            </w:r>
          </w:p>
        </w:tc>
        <w:tc>
          <w:tcPr>
            <w:tcW w:type="dxa" w:w="2665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Conversación y proyecto cerrados</w:t>
            </w:r>
          </w:p>
        </w:tc>
        <w:tc>
          <w:tcPr>
            <w:tcW w:type="dxa" w:w="147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PREPARADO</w:t>
            </w:r>
          </w:p>
        </w:tc>
        <w:tc>
          <w:tcPr>
            <w:tcW w:type="dxa" w:w="447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Una conversación y un proyecto mínimo.</w:t>
            </w:r>
          </w:p>
        </w:tc>
      </w:tr>
      <w:tr>
        <w:trPr>
          <w:cantSplit/>
        </w:trPr>
        <w:tc>
          <w:tcPr>
            <w:tcW w:type="dxa" w:w="794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G-06</w:t>
            </w:r>
          </w:p>
        </w:tc>
        <w:tc>
          <w:tcPr>
            <w:tcW w:type="dxa" w:w="2665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Seguridad y privacidad mínimas</w:t>
            </w:r>
          </w:p>
        </w:tc>
        <w:tc>
          <w:tcPr>
            <w:tcW w:type="dxa" w:w="1474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PREPARADO</w:t>
            </w:r>
          </w:p>
        </w:tc>
        <w:tc>
          <w:tcPr>
            <w:tcW w:type="dxa" w:w="4479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Amenazas, secretos, telemetría, base local y copias decididos.</w:t>
            </w:r>
          </w:p>
        </w:tc>
      </w:tr>
      <w:tr>
        <w:trPr>
          <w:cantSplit/>
        </w:trPr>
        <w:tc>
          <w:tcPr>
            <w:tcW w:type="dxa" w:w="79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G-07</w:t>
            </w:r>
          </w:p>
        </w:tc>
        <w:tc>
          <w:tcPr>
            <w:tcW w:type="dxa" w:w="2665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Proveedor y costes</w:t>
            </w:r>
          </w:p>
        </w:tc>
        <w:tc>
          <w:tcPr>
            <w:tcW w:type="dxa" w:w="147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PREPARADO</w:t>
            </w:r>
          </w:p>
        </w:tc>
        <w:tc>
          <w:tcPr>
            <w:tcW w:type="dxa" w:w="447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Proveedor, modelo, privacidad y límites propuestos.</w:t>
            </w:r>
          </w:p>
        </w:tc>
      </w:tr>
      <w:tr>
        <w:trPr>
          <w:cantSplit/>
        </w:trPr>
        <w:tc>
          <w:tcPr>
            <w:tcW w:type="dxa" w:w="794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G-08</w:t>
            </w:r>
          </w:p>
        </w:tc>
        <w:tc>
          <w:tcPr>
            <w:tcW w:type="dxa" w:w="2665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Aceptación reproducible</w:t>
            </w:r>
          </w:p>
        </w:tc>
        <w:tc>
          <w:tcPr>
            <w:tcW w:type="dxa" w:w="1474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PREPARADO</w:t>
            </w:r>
          </w:p>
        </w:tc>
        <w:tc>
          <w:tcPr>
            <w:tcW w:type="dxa" w:w="4479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Pruebas y rúbrica incluidas.</w:t>
            </w:r>
          </w:p>
        </w:tc>
      </w:tr>
      <w:tr>
        <w:trPr>
          <w:cantSplit/>
        </w:trPr>
        <w:tc>
          <w:tcPr>
            <w:tcW w:type="dxa" w:w="79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G-09</w:t>
            </w:r>
          </w:p>
        </w:tc>
        <w:tc>
          <w:tcPr>
            <w:tcW w:type="dxa" w:w="2665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Roadmap reconciliado</w:t>
            </w:r>
          </w:p>
        </w:tc>
        <w:tc>
          <w:tcPr>
            <w:tcW w:type="dxa" w:w="147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PREPARADO</w:t>
            </w:r>
          </w:p>
        </w:tc>
        <w:tc>
          <w:tcPr>
            <w:tcW w:type="dxa" w:w="447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Roadmap actualizado en el Manual v1.2.</w:t>
            </w:r>
          </w:p>
        </w:tc>
      </w:tr>
      <w:tr>
        <w:trPr>
          <w:cantSplit/>
        </w:trPr>
        <w:tc>
          <w:tcPr>
            <w:tcW w:type="dxa" w:w="794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G-10</w:t>
            </w:r>
          </w:p>
        </w:tc>
        <w:tc>
          <w:tcPr>
            <w:tcW w:type="dxa" w:w="2665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Aprobación de paso</w:t>
            </w:r>
          </w:p>
        </w:tc>
        <w:tc>
          <w:tcPr>
            <w:tcW w:type="dxa" w:w="1474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PENDIENTE</w:t>
            </w:r>
          </w:p>
        </w:tc>
        <w:tc>
          <w:tcPr>
            <w:tcW w:type="dxa" w:w="4479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Requiere declaración explícita del usuario después de revisar el paquete.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Arial" w:hAnsi="Arial"/>
          <w:b/>
          <w:color w:val="14243A"/>
          <w:sz w:val="32"/>
        </w:rPr>
        <w:t>8. Archivo histórico y limpieza</w:t>
      </w:r>
    </w:p>
    <w:p>
      <w:r>
        <w:rPr>
          <w:rFonts w:ascii="Arial" w:hAnsi="Arial"/>
          <w:sz w:val="21"/>
        </w:rPr>
        <w:t>Las fuentes siguientes dejan de tener autoridad operativa. Deben mantenerse únicamente como historial o retirarse de las fuentes activas para impedir recuperaciones contradictorias.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1474"/>
            <w:shd w:fill="14243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Acción</w:t>
            </w:r>
          </w:p>
        </w:tc>
        <w:tc>
          <w:tcPr>
            <w:tcW w:type="dxa" w:w="4139"/>
            <w:shd w:fill="14243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Fuente</w:t>
            </w:r>
          </w:p>
        </w:tc>
        <w:tc>
          <w:tcPr>
            <w:tcW w:type="dxa" w:w="3685"/>
            <w:shd w:fill="14243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Motivo</w:t>
            </w:r>
          </w:p>
        </w:tc>
      </w:tr>
      <w:tr>
        <w:trPr>
          <w:cantSplit/>
        </w:trPr>
        <w:tc>
          <w:tcPr>
            <w:tcW w:type="dxa" w:w="147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SUSTITUIR</w:t>
            </w:r>
          </w:p>
        </w:tc>
        <w:tc>
          <w:tcPr>
            <w:tcW w:type="dxa" w:w="413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Documento_Maestro_de_Contexto_de_Sirius.docx</w:t>
            </w:r>
          </w:p>
        </w:tc>
        <w:tc>
          <w:tcPr>
            <w:tcW w:type="dxa" w:w="3685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Sustituido por este Estado Canónico.</w:t>
            </w:r>
          </w:p>
        </w:tc>
      </w:tr>
      <w:tr>
        <w:trPr>
          <w:cantSplit/>
        </w:trPr>
        <w:tc>
          <w:tcPr>
            <w:tcW w:type="dxa" w:w="1474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SUSTITUIR</w:t>
            </w:r>
          </w:p>
        </w:tc>
        <w:tc>
          <w:tcPr>
            <w:tcW w:type="dxa" w:w="4139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Manual_del_Ingeniero_Principal_Sirius_v1.1_corregido.docx</w:t>
            </w:r>
          </w:p>
        </w:tc>
        <w:tc>
          <w:tcPr>
            <w:tcW w:type="dxa" w:w="3685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Sustituido por Manual de Visión e Identidad v1.2 tras aprobación.</w:t>
            </w:r>
          </w:p>
        </w:tc>
      </w:tr>
      <w:tr>
        <w:trPr>
          <w:cantSplit/>
        </w:trPr>
        <w:tc>
          <w:tcPr>
            <w:tcW w:type="dxa" w:w="147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SUSTITUIR</w:t>
            </w:r>
          </w:p>
        </w:tc>
        <w:tc>
          <w:tcPr>
            <w:tcW w:type="dxa" w:w="413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Definicion_de_Producto_Sirius_0.1_v0.1.docx</w:t>
            </w:r>
          </w:p>
        </w:tc>
        <w:tc>
          <w:tcPr>
            <w:tcW w:type="dxa" w:w="3685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Sustituido por Producto 0.1 v0.2 tras aprobación.</w:t>
            </w:r>
          </w:p>
        </w:tc>
      </w:tr>
      <w:tr>
        <w:trPr>
          <w:cantSplit/>
        </w:trPr>
        <w:tc>
          <w:tcPr>
            <w:tcW w:type="dxa" w:w="1474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SUSTITUIR</w:t>
            </w:r>
          </w:p>
        </w:tc>
        <w:tc>
          <w:tcPr>
            <w:tcW w:type="dxa" w:w="4139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Decisiones_Tecnicas_Iniciales_Sirius.docx</w:t>
            </w:r>
          </w:p>
        </w:tc>
        <w:tc>
          <w:tcPr>
            <w:tcW w:type="dxa" w:w="3685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Sustituido por Registro de Decisiones v1.0.</w:t>
            </w:r>
          </w:p>
        </w:tc>
      </w:tr>
      <w:tr>
        <w:trPr>
          <w:cantSplit/>
        </w:trPr>
        <w:tc>
          <w:tcPr>
            <w:tcW w:type="dxa" w:w="147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ARCHIVAR</w:t>
            </w:r>
          </w:p>
        </w:tc>
        <w:tc>
          <w:tcPr>
            <w:tcW w:type="dxa" w:w="413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Auditoria_del_Manual_del_Ingeniero_Principal_Sirius.docx</w:t>
            </w:r>
          </w:p>
        </w:tc>
        <w:tc>
          <w:tcPr>
            <w:tcW w:type="dxa" w:w="3685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Registro histórico; la auditoría integral tiene mayor cobertura.</w:t>
            </w:r>
          </w:p>
        </w:tc>
      </w:tr>
      <w:tr>
        <w:trPr>
          <w:cantSplit/>
        </w:trPr>
        <w:tc>
          <w:tcPr>
            <w:tcW w:type="dxa" w:w="1474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ARCHIVAR</w:t>
            </w:r>
          </w:p>
        </w:tc>
        <w:tc>
          <w:tcPr>
            <w:tcW w:type="dxa" w:w="4139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Sirius.docx y manuales/constituciones/partes antiguas</w:t>
            </w:r>
          </w:p>
        </w:tc>
        <w:tc>
          <w:tcPr>
            <w:tcW w:type="dxa" w:w="3685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Versiones fundacionales o parciales.</w:t>
            </w:r>
          </w:p>
        </w:tc>
      </w:tr>
      <w:tr>
        <w:trPr>
          <w:cantSplit/>
        </w:trPr>
        <w:tc>
          <w:tcPr>
            <w:tcW w:type="dxa" w:w="147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ELIMINAR</w:t>
            </w:r>
          </w:p>
        </w:tc>
        <w:tc>
          <w:tcPr>
            <w:tcW w:type="dxa" w:w="413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02%20-%20Vision%20del%20Proyecto.docx</w:t>
            </w:r>
          </w:p>
        </w:tc>
        <w:tc>
          <w:tcPr>
            <w:tcW w:type="dxa" w:w="3685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Duplicado exacto.</w:t>
            </w:r>
          </w:p>
        </w:tc>
      </w:tr>
      <w:tr>
        <w:trPr>
          <w:cantSplit/>
        </w:trPr>
        <w:tc>
          <w:tcPr>
            <w:tcW w:type="dxa" w:w="1474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ELIMINAR</w:t>
            </w:r>
          </w:p>
        </w:tc>
        <w:tc>
          <w:tcPr>
            <w:tcW w:type="dxa" w:w="4139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03%20-%20Personalidad%20de%20Sirius.docx</w:t>
            </w:r>
          </w:p>
        </w:tc>
        <w:tc>
          <w:tcPr>
            <w:tcW w:type="dxa" w:w="3685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Duplicado exacto.</w:t>
            </w:r>
          </w:p>
        </w:tc>
      </w:tr>
      <w:tr>
        <w:trPr>
          <w:cantSplit/>
        </w:trPr>
        <w:tc>
          <w:tcPr>
            <w:tcW w:type="dxa" w:w="147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ELIMINAR</w:t>
            </w:r>
          </w:p>
        </w:tc>
        <w:tc>
          <w:tcPr>
            <w:tcW w:type="dxa" w:w="413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sirius.docx de solo título</w:t>
            </w:r>
          </w:p>
        </w:tc>
        <w:tc>
          <w:tcPr>
            <w:tcW w:type="dxa" w:w="3685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Sin contenido útil.</w:t>
            </w:r>
          </w:p>
        </w:tc>
      </w:tr>
      <w:tr>
        <w:trPr>
          <w:cantSplit/>
        </w:trPr>
        <w:tc>
          <w:tcPr>
            <w:tcW w:type="dxa" w:w="1474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ARCHIVAR</w:t>
            </w:r>
          </w:p>
        </w:tc>
        <w:tc>
          <w:tcPr>
            <w:tcW w:type="dxa" w:w="4139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Fotografías, planos e infografías del laboratorio</w:t>
            </w:r>
          </w:p>
        </w:tc>
        <w:tc>
          <w:tcPr>
            <w:tcW w:type="dxa" w:w="3685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Exploración física, no requisitos de 0.1.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EEF5FB"/>
            <w:tcMar>
              <w:top w:w="130" w:type="dxa"/>
              <w:start w:w="150" w:type="dxa"/>
              <w:bottom w:w="130" w:type="dxa"/>
              <w:end w:w="150" w:type="dxa"/>
            </w:tcMar>
            <w:tcBorders>
              <w:top w:val="single" w:sz="8" w:color="225C9C"/>
              <w:left w:val="single" w:sz="8" w:color="225C9C"/>
              <w:bottom w:val="single" w:sz="8" w:color="225C9C"/>
              <w:right w:val="single" w:sz="8" w:color="225C9C"/>
            </w:tcBorders>
          </w:tcPr>
          <w:p>
            <w:pPr>
              <w:spacing w:after="80"/>
            </w:pPr>
            <w:r>
              <w:rPr>
                <w:rFonts w:ascii="Arial" w:hAnsi="Arial"/>
                <w:b/>
                <w:color w:val="14243A"/>
                <w:sz w:val="21"/>
              </w:rPr>
              <w:t>Limitación operativa</w:t>
            </w:r>
          </w:p>
          <w:p>
            <w:pPr>
              <w:spacing w:after="0"/>
            </w:pPr>
            <w:r>
              <w:rPr>
                <w:rFonts w:ascii="Arial" w:hAnsi="Arial"/>
                <w:sz w:val="20"/>
              </w:rPr>
              <w:t>Este paquete puede definir con precisión qué debe archivarse, pero no puede retirar archivos de la sección Fuentes del proyecto. Esa limpieza debe realizarse manualmente en la interfaz.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Arial" w:hAnsi="Arial"/>
          <w:b/>
          <w:color w:val="14243A"/>
          <w:sz w:val="32"/>
        </w:rPr>
        <w:t>9. Siguiente fase</w:t>
      </w:r>
    </w:p>
    <w:p>
      <w:r>
        <w:rPr>
          <w:rFonts w:ascii="Arial" w:hAnsi="Arial"/>
          <w:sz w:val="21"/>
        </w:rPr>
        <w:t>Una vez aprobados el paquete y la puerta G-10, el siguiente trabajo será la Arquitectura Técnica de Sirius 0.1. Esa arquitectura deberá resolver componentes, contratos, modelo físico de datos, framework de escritorio, seguridad técnica, migraciones, empaquetado, pruebas automatizadas y plan de entrega, sin reabrir la visión ni ampliar el producto.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EEF5FB"/>
            <w:tcMar>
              <w:top w:w="130" w:type="dxa"/>
              <w:start w:w="150" w:type="dxa"/>
              <w:bottom w:w="130" w:type="dxa"/>
              <w:end w:w="150" w:type="dxa"/>
            </w:tcMar>
            <w:tcBorders>
              <w:top w:val="single" w:sz="8" w:color="225C9C"/>
              <w:left w:val="single" w:sz="8" w:color="225C9C"/>
              <w:bottom w:val="single" w:sz="8" w:color="225C9C"/>
              <w:right w:val="single" w:sz="8" w:color="225C9C"/>
            </w:tcBorders>
          </w:tcPr>
          <w:p>
            <w:pPr>
              <w:spacing w:after="80"/>
            </w:pPr>
            <w:r>
              <w:rPr>
                <w:rFonts w:ascii="Arial" w:hAnsi="Arial"/>
                <w:b/>
                <w:color w:val="14243A"/>
                <w:sz w:val="21"/>
              </w:rPr>
              <w:t>No hacer todavía</w:t>
            </w:r>
          </w:p>
          <w:p>
            <w:pPr>
              <w:spacing w:after="0"/>
            </w:pPr>
            <w:r>
              <w:rPr>
                <w:rFonts w:ascii="Arial" w:hAnsi="Arial"/>
                <w:sz w:val="20"/>
              </w:rPr>
              <w:t>No crear repositorio, no programar y no elegir la herramienta de programación asistida antes de aprobar este paquete y redactar la arquitectura técnica.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Arial" w:hAnsi="Arial"/>
          <w:b/>
          <w:color w:val="14243A"/>
          <w:sz w:val="32"/>
        </w:rPr>
        <w:t>10. Fórmula de aprobación</w:t>
      </w:r>
    </w:p>
    <w:p>
      <w:r>
        <w:rPr>
          <w:rFonts w:ascii="Arial" w:hAnsi="Arial"/>
          <w:sz w:val="21"/>
        </w:rPr>
        <w:t>La aprobación recomendada es única para reducir carga mental y evitar aprobaciones fragmentarias: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DDEEDB"/>
            <w:tcMar>
              <w:top w:w="130" w:type="dxa"/>
              <w:start w:w="150" w:type="dxa"/>
              <w:bottom w:w="130" w:type="dxa"/>
              <w:end w:w="150" w:type="dxa"/>
            </w:tcMar>
            <w:tcBorders>
              <w:top w:val="single" w:sz="8" w:color="3E7F3B"/>
              <w:left w:val="single" w:sz="8" w:color="3E7F3B"/>
              <w:bottom w:val="single" w:sz="8" w:color="3E7F3B"/>
              <w:right w:val="single" w:sz="8" w:color="3E7F3B"/>
            </w:tcBorders>
          </w:tcPr>
          <w:p>
            <w:pPr>
              <w:spacing w:after="80"/>
            </w:pPr>
            <w:r>
              <w:rPr>
                <w:rFonts w:ascii="Arial" w:hAnsi="Arial"/>
                <w:b/>
                <w:color w:val="14243A"/>
                <w:sz w:val="21"/>
              </w:rPr>
              <w:t>Declaración de aprobación</w:t>
            </w:r>
          </w:p>
          <w:p>
            <w:pPr>
              <w:spacing w:after="0"/>
            </w:pPr>
            <w:r>
              <w:rPr>
                <w:rFonts w:ascii="Arial" w:hAnsi="Arial"/>
                <w:sz w:val="20"/>
              </w:rPr>
              <w:t>“Apruebo el Paquete Canónico de Cierre Prearquitectura de Sirius v1.0, incluidos el Manual de Visión e Identidad v1.2, la Definición de Producto Sirius 0.1 v0.2, el Registro de Decisiones v1.0, el Plan de Pruebas y Trazabilidad v1.0 y el Estado Canónico v2.0. Autorizo pasar a la arquitectura técnica de Sirius 0.1.”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20" w:bottom="96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center"/>
    </w:pPr>
    <w:r>
      <w:rPr>
        <w:rFonts w:ascii="Arial" w:hAnsi="Arial"/>
        <w:color w:val="4A4F55"/>
        <w:sz w:val="16"/>
      </w:rPr>
      <w:t xml:space="preserve">Estado Canónico v2.0  ·  Página </w:t>
    </w: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Arial" w:hAnsi="Arial"/>
        <w:b/>
        <w:color w:val="4A4F55"/>
        <w:sz w:val="16"/>
      </w:rPr>
      <w:t>SIRIUS  ·  SIRIUS-ESTADO-CANONICO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rial" w:hAnsi="Arial"/>
      <w:b/>
      <w:bCs/>
      <w:color w:val="14243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225C9C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100"/>
      <w:outlineLvl w:val="2"/>
    </w:pPr>
    <w:rPr>
      <w:rFonts w:asciiTheme="majorHAnsi" w:eastAsiaTheme="majorEastAsia" w:hAnsiTheme="majorHAnsi" w:cstheme="majorBidi" w:ascii="Arial" w:hAnsi="Arial"/>
      <w:b/>
      <w:bCs/>
      <w:color w:val="4A4F55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00" w:line="240" w:lineRule="auto" w:before="200"/>
      <w:contextualSpacing/>
    </w:pPr>
    <w:rPr>
      <w:rFonts w:asciiTheme="majorHAnsi" w:eastAsiaTheme="majorEastAsia" w:hAnsiTheme="majorHAnsi" w:cstheme="majorBidi" w:ascii="Arial" w:hAnsi="Arial"/>
      <w:b/>
      <w:color w:val="14243A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200" w:after="100"/>
    </w:pPr>
    <w:rPr>
      <w:rFonts w:asciiTheme="majorHAnsi" w:eastAsiaTheme="majorEastAsia" w:hAnsiTheme="majorHAnsi" w:cstheme="majorBidi" w:ascii="Arial" w:hAnsi="Arial"/>
      <w:b w:val="0"/>
      <w:i/>
      <w:iCs/>
      <w:color w:val="225C9C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Arial" w:hAnsi="Arial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