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59" w:lineRule="auto"/>
        <w:jc w:val="center"/>
      </w:pPr>
      <w:r>
        <w:rPr>
          <w:rFonts w:ascii="Aptos" w:hAnsi="Aptos"/>
          <w:b/>
          <w:i w:val="0"/>
          <w:color w:val="17365D"/>
          <w:sz w:val="60"/>
        </w:rPr>
        <w:t>SIRIUS</w:t>
      </w:r>
    </w:p>
    <w:p>
      <w:pPr>
        <w:spacing w:after="80" w:line="259" w:lineRule="auto"/>
        <w:jc w:val="center"/>
      </w:pPr>
      <w:r>
        <w:rPr>
          <w:rFonts w:ascii="Aptos" w:hAnsi="Aptos"/>
          <w:b/>
          <w:i w:val="0"/>
          <w:color w:val="17365D"/>
          <w:sz w:val="40"/>
        </w:rPr>
        <w:t>SIRIUS 0.2 — PLAN DE PRUEBAS</w:t>
      </w:r>
    </w:p>
    <w:p>
      <w:pPr>
        <w:spacing w:after="80" w:line="259" w:lineRule="auto"/>
        <w:jc w:val="center"/>
      </w:pPr>
      <w:r>
        <w:rPr>
          <w:rFonts w:ascii="Aptos" w:hAnsi="Aptos"/>
          <w:b w:val="0"/>
          <w:i/>
          <w:color w:val="2F75B5"/>
          <w:sz w:val="32"/>
        </w:rPr>
        <w:t>y Registro Externo de Delegaciones</w:t>
      </w:r>
    </w:p>
    <w:p>
      <w:pPr>
        <w:spacing w:after="80" w:line="259" w:lineRule="auto"/>
        <w:jc w:val="center"/>
      </w:pPr>
      <w:r>
        <w:rPr>
          <w:rFonts w:ascii="Aptos" w:hAnsi="Aptos"/>
          <w:b w:val="0"/>
          <w:i/>
          <w:color w:val="1F4E78"/>
          <w:sz w:val="27"/>
        </w:rPr>
        <w:t>Versión 1.0 · APROBADO · CANÓNICO</w:t>
      </w:r>
    </w:p>
    <w:tbl>
      <w:tblPr>
        <w:tblStyle w:val="TableGrid"/>
        <w:tblW w:type="auto" w:w="0"/>
        <w:jc w:val="center"/>
        <w:tblLook w:firstColumn="1" w:firstRow="1" w:lastColumn="0" w:lastRow="0" w:noHBand="0" w:noVBand="1" w:val="04A0"/>
      </w:tblPr>
      <w:tblGrid>
        <w:gridCol w:w="10224"/>
      </w:tblGrid>
      <w:tr>
        <w:tc>
          <w:tcPr>
            <w:tcW w:type="dxa" w:w="10224"/>
            <w:shd w:fill="D9EAF7"/>
            <w:tcMar>
              <w:top w:w="80" w:type="dxa"/>
              <w:left w:w="110" w:type="dxa"/>
              <w:bottom w:w="80" w:type="dxa"/>
              <w:right w:w="110" w:type="dxa"/>
              <w:start w:w="90" w:type="dxa"/>
              <w:end w:w="90" w:type="dxa"/>
            </w:tcMar>
            <w:vAlign w:val="center"/>
          </w:tcPr>
          <w:p>
            <w:pPr>
              <w:spacing w:after="0" w:before="0" w:line="240" w:lineRule="auto"/>
              <w:jc w:val="left"/>
            </w:pPr>
            <w:r>
              <w:rPr/>
              <w:t>ESTADO DE ESTA VERSIÓN</w:t>
            </w:r>
          </w:p>
          <w:p>
            <w:r>
              <w:t>APROBADO Y CANÓNICO. RED-1.0 y PDP-1.0 permanecen normativamente separados aunque compartan archivo físico. La aprobación explícita del usuario autoriza iniciar Arquitectura contra estos criterios congelados; no ejecuta la puerta de salida de Sirius 0.2.</w:t>
            </w:r>
          </w:p>
        </w:tc>
      </w:tr>
    </w:tbl>
    <w:p>
      <w:pPr>
        <w:pStyle w:val="Heading1"/>
        <w:keepNext/>
        <w:spacing w:before="200" w:after="100"/>
      </w:pPr>
      <w:r>
        <w:rPr>
          <w:rFonts w:ascii="Aptos" w:hAnsi="Aptos"/>
          <w:b/>
          <w:i w:val="0"/>
          <w:color w:val="17365D"/>
          <w:sz w:val="36"/>
        </w:rPr>
        <w:t>0. Control documental y estado del ciclo</w:t>
      </w:r>
    </w:p>
    <w:tbl>
      <w:tblPr>
        <w:tblStyle w:val="TableGrid"/>
        <w:tblW w:type="auto" w:w="0"/>
        <w:jc w:val="center"/>
        <w:tblLayout w:type="fixed"/>
        <w:tblLook w:firstColumn="1" w:firstRow="1" w:lastColumn="0" w:lastRow="0" w:noHBand="0" w:noVBand="1" w:val="04A0"/>
      </w:tblPr>
      <w:tblGrid>
        <w:gridCol w:w="5112"/>
        <w:gridCol w:w="5112"/>
      </w:tblGrid>
      <w:tr>
        <w:trPr>
          <w:tblHeader w:val="true"/>
          <w:tblHeader w:val="true"/>
        </w:trPr>
        <w:tc>
          <w:tcPr>
            <w:tcW w:type="dxa" w:w="2232"/>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8"/>
              </w:rPr>
            </w:r>
            <w:r>
              <w:rPr>
                <w:rFonts w:ascii="Aptos" w:hAnsi="Aptos"/>
                <w:b/>
                <w:i w:val="0"/>
                <w:color w:val="FFFFFF"/>
                <w:sz w:val="18"/>
              </w:rPr>
              <w:t>Campo</w:t>
            </w:r>
          </w:p>
        </w:tc>
        <w:tc>
          <w:tcPr>
            <w:tcW w:type="dxa" w:w="7704"/>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8"/>
              </w:rPr>
            </w:r>
            <w:r>
              <w:rPr>
                <w:rFonts w:ascii="Aptos" w:hAnsi="Aptos"/>
                <w:b/>
                <w:i w:val="0"/>
                <w:color w:val="FFFFFF"/>
                <w:sz w:val="18"/>
              </w:rPr>
              <w:t>Valor</w:t>
            </w:r>
          </w:p>
        </w:tc>
      </w:tr>
      <w:tr>
        <w:trPr>
          <w:cantSplit/>
        </w:trPr>
        <w:tc>
          <w:tcPr>
            <w:tcW w:type="dxa" w:w="2232"/>
            <w:vAlign w:val="center"/>
            <w:tcMar>
              <w:top w:w="80" w:type="dxa"/>
              <w:left w:w="72" w:type="dxa"/>
              <w:bottom w:w="80" w:type="dxa"/>
              <w:right w:w="72" w:type="dxa"/>
              <w:start w:w="90" w:type="dxa"/>
              <w:end w:w="90" w:type="dxa"/>
            </w:tcMar>
          </w:tcPr>
          <w:p>
            <w:pPr>
              <w:spacing w:after="0" w:before="0" w:line="240" w:lineRule="auto"/>
            </w:pPr>
            <w:r>
              <w:rPr>
                <w:rFonts w:ascii="Aptos" w:hAnsi="Aptos"/>
                <w:sz w:val="18"/>
              </w:rPr>
            </w:r>
            <w:r>
              <w:rPr>
                <w:rFonts w:ascii="Aptos" w:hAnsi="Aptos"/>
                <w:b w:val="0"/>
                <w:i w:val="0"/>
                <w:sz w:val="18"/>
              </w:rPr>
              <w:t>Identificador</w:t>
            </w:r>
          </w:p>
        </w:tc>
        <w:tc>
          <w:tcPr>
            <w:tcW w:type="dxa" w:w="7704"/>
            <w:vAlign w:val="center"/>
            <w:tcMar>
              <w:top w:w="80" w:type="dxa"/>
              <w:left w:w="72" w:type="dxa"/>
              <w:bottom w:w="80" w:type="dxa"/>
              <w:right w:w="72" w:type="dxa"/>
              <w:start w:w="90" w:type="dxa"/>
              <w:end w:w="90" w:type="dxa"/>
            </w:tcMar>
          </w:tcPr>
          <w:p>
            <w:pPr>
              <w:spacing w:after="0" w:before="0" w:line="240" w:lineRule="auto"/>
            </w:pPr>
            <w:r>
              <w:rPr>
                <w:rFonts w:ascii="Aptos" w:hAnsi="Aptos"/>
                <w:sz w:val="18"/>
              </w:rPr>
              <w:t>SIRIUS-0.2-PDP-RED</w:t>
            </w:r>
          </w:p>
        </w:tc>
      </w:tr>
      <w:tr>
        <w:trPr>
          <w:cantSplit/>
        </w:trPr>
        <w:tc>
          <w:tcPr>
            <w:tcW w:type="dxa" w:w="22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8"/>
              </w:rPr>
            </w:r>
            <w:r>
              <w:rPr>
                <w:rFonts w:ascii="Aptos" w:hAnsi="Aptos"/>
                <w:b w:val="0"/>
                <w:i w:val="0"/>
                <w:sz w:val="18"/>
              </w:rPr>
              <w:t>Versión</w:t>
            </w:r>
          </w:p>
        </w:tc>
        <w:tc>
          <w:tcPr>
            <w:tcW w:type="dxa" w:w="7704"/>
            <w:vAlign w:val="center"/>
            <w:tcMar>
              <w:top w:w="80" w:type="dxa"/>
              <w:left w:w="72" w:type="dxa"/>
              <w:bottom w:w="80" w:type="dxa"/>
              <w:right w:w="72" w:type="dxa"/>
              <w:start w:w="90" w:type="dxa"/>
              <w:end w:w="90" w:type="dxa"/>
            </w:tcMar>
            <w:shd w:fill="E7E6E6"/>
          </w:tcPr>
          <w:p>
            <w:pPr>
              <w:spacing w:after="0" w:before="0" w:line="240" w:lineRule="auto"/>
              <w:jc w:val="left"/>
            </w:pPr>
            <w:r>
              <w:rPr>
                <w:rFonts w:ascii="Aptos" w:hAnsi="Aptos"/>
                <w:sz w:val="18"/>
              </w:rPr>
              <w:t>1.0</w:t>
            </w:r>
          </w:p>
        </w:tc>
      </w:tr>
      <w:tr>
        <w:trPr>
          <w:cantSplit/>
        </w:trPr>
        <w:tc>
          <w:tcPr>
            <w:tcW w:type="dxa" w:w="2232"/>
            <w:vAlign w:val="center"/>
            <w:tcMar>
              <w:top w:w="80" w:type="dxa"/>
              <w:left w:w="72" w:type="dxa"/>
              <w:bottom w:w="80" w:type="dxa"/>
              <w:right w:w="72" w:type="dxa"/>
              <w:start w:w="90" w:type="dxa"/>
              <w:end w:w="90" w:type="dxa"/>
            </w:tcMar>
          </w:tcPr>
          <w:p>
            <w:pPr>
              <w:spacing w:after="0" w:before="0" w:line="240" w:lineRule="auto"/>
            </w:pPr>
            <w:r>
              <w:rPr>
                <w:rFonts w:ascii="Aptos" w:hAnsi="Aptos"/>
                <w:sz w:val="18"/>
              </w:rPr>
            </w:r>
            <w:r>
              <w:rPr>
                <w:rFonts w:ascii="Aptos" w:hAnsi="Aptos"/>
                <w:b w:val="0"/>
                <w:i w:val="0"/>
                <w:sz w:val="18"/>
              </w:rPr>
              <w:t>Estado</w:t>
            </w:r>
          </w:p>
        </w:tc>
        <w:tc>
          <w:tcPr>
            <w:tcW w:type="dxa" w:w="7704"/>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8"/>
              </w:rPr>
              <w:t>APROBADO · CANÓNICO</w:t>
            </w:r>
          </w:p>
        </w:tc>
      </w:tr>
      <w:tr>
        <w:trPr>
          <w:cantSplit/>
        </w:trPr>
        <w:tc>
          <w:tcPr>
            <w:tcW w:type="dxa" w:w="22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8"/>
              </w:rPr>
            </w:r>
            <w:r>
              <w:rPr>
                <w:rFonts w:ascii="Aptos" w:hAnsi="Aptos"/>
                <w:b w:val="0"/>
                <w:i w:val="0"/>
                <w:sz w:val="18"/>
              </w:rPr>
              <w:t>Fecha</w:t>
            </w:r>
          </w:p>
        </w:tc>
        <w:tc>
          <w:tcPr>
            <w:tcW w:type="dxa" w:w="7704"/>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8"/>
              </w:rPr>
            </w:r>
            <w:r>
              <w:rPr>
                <w:rFonts w:ascii="Aptos" w:hAnsi="Aptos"/>
                <w:b w:val="0"/>
                <w:i w:val="0"/>
                <w:sz w:val="18"/>
              </w:rPr>
              <w:t>24 de julio de 2026</w:t>
            </w:r>
          </w:p>
        </w:tc>
      </w:tr>
      <w:tr>
        <w:trPr>
          <w:cantSplit/>
        </w:trPr>
        <w:tc>
          <w:tcPr>
            <w:tcW w:type="dxa" w:w="2232"/>
            <w:vAlign w:val="center"/>
            <w:tcMar>
              <w:top w:w="80" w:type="dxa"/>
              <w:left w:w="72" w:type="dxa"/>
              <w:bottom w:w="80" w:type="dxa"/>
              <w:right w:w="72" w:type="dxa"/>
              <w:start w:w="90" w:type="dxa"/>
              <w:end w:w="90" w:type="dxa"/>
            </w:tcMar>
          </w:tcPr>
          <w:p>
            <w:pPr>
              <w:spacing w:after="0" w:before="0" w:line="240" w:lineRule="auto"/>
            </w:pPr>
            <w:r>
              <w:rPr>
                <w:rFonts w:ascii="Aptos" w:hAnsi="Aptos"/>
                <w:sz w:val="18"/>
              </w:rPr>
            </w:r>
            <w:r>
              <w:rPr>
                <w:rFonts w:ascii="Aptos" w:hAnsi="Aptos"/>
                <w:b w:val="0"/>
                <w:i w:val="0"/>
                <w:sz w:val="18"/>
              </w:rPr>
              <w:t>Dominio</w:t>
            </w:r>
          </w:p>
        </w:tc>
        <w:tc>
          <w:tcPr>
            <w:tcW w:type="dxa" w:w="7704"/>
            <w:vAlign w:val="center"/>
            <w:tcMar>
              <w:top w:w="80" w:type="dxa"/>
              <w:left w:w="72" w:type="dxa"/>
              <w:bottom w:w="80" w:type="dxa"/>
              <w:right w:w="72" w:type="dxa"/>
              <w:start w:w="90" w:type="dxa"/>
              <w:end w:w="90" w:type="dxa"/>
            </w:tcMar>
          </w:tcPr>
          <w:p>
            <w:pPr>
              <w:spacing w:after="0" w:before="0" w:line="240" w:lineRule="auto"/>
            </w:pPr>
            <w:r>
              <w:rPr>
                <w:rFonts w:ascii="Aptos" w:hAnsi="Aptos"/>
                <w:sz w:val="18"/>
              </w:rPr>
            </w:r>
            <w:r>
              <w:rPr>
                <w:rFonts w:ascii="Aptos" w:hAnsi="Aptos"/>
                <w:b w:val="0"/>
                <w:i w:val="0"/>
                <w:sz w:val="18"/>
              </w:rPr>
              <w:t>Validación reproducible y preparación de la puerta formal de Sirius 0.2</w:t>
            </w:r>
          </w:p>
        </w:tc>
      </w:tr>
      <w:tr>
        <w:trPr>
          <w:cantSplit/>
        </w:trPr>
        <w:tc>
          <w:tcPr>
            <w:tcW w:type="dxa" w:w="22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8"/>
              </w:rPr>
            </w:r>
            <w:r>
              <w:rPr>
                <w:rFonts w:ascii="Aptos" w:hAnsi="Aptos"/>
                <w:b w:val="0"/>
                <w:i w:val="0"/>
                <w:sz w:val="18"/>
              </w:rPr>
              <w:t>Artefactos internos</w:t>
            </w:r>
          </w:p>
        </w:tc>
        <w:tc>
          <w:tcPr>
            <w:tcW w:type="dxa" w:w="7704"/>
            <w:vAlign w:val="center"/>
            <w:tcMar>
              <w:top w:w="80" w:type="dxa"/>
              <w:left w:w="72" w:type="dxa"/>
              <w:bottom w:w="80" w:type="dxa"/>
              <w:right w:w="72" w:type="dxa"/>
              <w:start w:w="90" w:type="dxa"/>
              <w:end w:w="90" w:type="dxa"/>
            </w:tcMar>
            <w:shd w:fill="E7E6E6"/>
          </w:tcPr>
          <w:p>
            <w:pPr>
              <w:spacing w:after="0" w:before="0" w:line="240" w:lineRule="auto"/>
              <w:jc w:val="left"/>
            </w:pPr>
            <w:r>
              <w:rPr>
                <w:rFonts w:ascii="Aptos" w:hAnsi="Aptos"/>
                <w:sz w:val="18"/>
              </w:rPr>
              <w:t>Parte I: RED-1.0 · Parte II: PDP-1.0</w:t>
            </w:r>
          </w:p>
        </w:tc>
      </w:tr>
      <w:tr>
        <w:trPr>
          <w:cantSplit/>
        </w:trPr>
        <w:tc>
          <w:tcPr>
            <w:tcW w:type="dxa" w:w="2232"/>
            <w:vAlign w:val="center"/>
            <w:tcMar>
              <w:top w:w="80" w:type="dxa"/>
              <w:left w:w="72" w:type="dxa"/>
              <w:bottom w:w="80" w:type="dxa"/>
              <w:right w:w="72" w:type="dxa"/>
              <w:start w:w="90" w:type="dxa"/>
              <w:end w:w="90" w:type="dxa"/>
            </w:tcMar>
          </w:tcPr>
          <w:p>
            <w:pPr>
              <w:spacing w:after="0" w:before="0" w:line="240" w:lineRule="auto"/>
            </w:pPr>
            <w:r>
              <w:rPr>
                <w:rFonts w:ascii="Aptos" w:hAnsi="Aptos"/>
                <w:sz w:val="18"/>
              </w:rPr>
            </w:r>
            <w:r>
              <w:rPr>
                <w:rFonts w:ascii="Aptos" w:hAnsi="Aptos"/>
                <w:b w:val="0"/>
                <w:i w:val="0"/>
                <w:sz w:val="18"/>
              </w:rPr>
              <w:t>Autoridad de aprobación</w:t>
            </w:r>
          </w:p>
        </w:tc>
        <w:tc>
          <w:tcPr>
            <w:tcW w:type="dxa" w:w="7704"/>
            <w:vAlign w:val="center"/>
            <w:tcMar>
              <w:top w:w="80" w:type="dxa"/>
              <w:left w:w="72" w:type="dxa"/>
              <w:bottom w:w="80" w:type="dxa"/>
              <w:right w:w="72" w:type="dxa"/>
              <w:start w:w="90" w:type="dxa"/>
              <w:end w:w="90" w:type="dxa"/>
            </w:tcMar>
          </w:tcPr>
          <w:p>
            <w:pPr>
              <w:spacing w:after="0" w:before="0" w:line="240" w:lineRule="auto"/>
            </w:pPr>
            <w:r>
              <w:rPr>
                <w:rFonts w:ascii="Aptos" w:hAnsi="Aptos"/>
                <w:sz w:val="18"/>
              </w:rPr>
            </w:r>
            <w:r>
              <w:rPr>
                <w:rFonts w:ascii="Aptos" w:hAnsi="Aptos"/>
                <w:b w:val="0"/>
                <w:i w:val="0"/>
                <w:sz w:val="18"/>
              </w:rPr>
              <w:t>Usuario</w:t>
            </w:r>
          </w:p>
        </w:tc>
      </w:tr>
      <w:tr>
        <w:trPr>
          <w:cantSplit/>
        </w:trPr>
        <w:tc>
          <w:tcPr>
            <w:tcW w:type="dxa" w:w="22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8"/>
              </w:rPr>
            </w:r>
            <w:r>
              <w:rPr>
                <w:rFonts w:ascii="Aptos" w:hAnsi="Aptos"/>
                <w:b w:val="0"/>
                <w:i w:val="0"/>
                <w:sz w:val="18"/>
              </w:rPr>
              <w:t>Fuentes canónicas</w:t>
            </w:r>
          </w:p>
        </w:tc>
        <w:tc>
          <w:tcPr>
            <w:tcW w:type="dxa" w:w="7704"/>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8"/>
              </w:rPr>
            </w:r>
            <w:r>
              <w:rPr>
                <w:rFonts w:ascii="Aptos" w:hAnsi="Aptos"/>
                <w:b w:val="0"/>
                <w:i w:val="0"/>
                <w:sz w:val="18"/>
              </w:rPr>
              <w:t>Rector v1.0; Método v1.0 + CT-01/02/03; B01–B08 aprobados</w:t>
            </w:r>
          </w:p>
        </w:tc>
      </w:tr>
      <w:tr>
        <w:trPr>
          <w:cantSplit/>
        </w:trPr>
        <w:tc>
          <w:tcPr>
            <w:tcW w:type="dxa" w:w="2232"/>
            <w:vAlign w:val="center"/>
            <w:tcMar>
              <w:top w:w="80" w:type="dxa"/>
              <w:left w:w="72" w:type="dxa"/>
              <w:bottom w:w="80" w:type="dxa"/>
              <w:right w:w="72" w:type="dxa"/>
              <w:start w:w="90" w:type="dxa"/>
              <w:end w:w="90" w:type="dxa"/>
            </w:tcMar>
          </w:tcPr>
          <w:p>
            <w:pPr>
              <w:spacing w:after="0" w:before="0" w:line="240" w:lineRule="auto"/>
            </w:pPr>
            <w:r>
              <w:rPr>
                <w:rFonts w:ascii="Aptos" w:hAnsi="Aptos"/>
                <w:sz w:val="18"/>
              </w:rPr>
              <w:t>Siguiente fase</w:t>
            </w:r>
          </w:p>
        </w:tc>
        <w:tc>
          <w:tcPr>
            <w:tcW w:type="dxa" w:w="7704"/>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8"/>
              </w:rPr>
              <w:t>ARQUITECTURA TÉCNICA</w:t>
            </w:r>
          </w:p>
        </w:tc>
      </w:tr>
      <w:tr>
        <w:trPr>
          <w:cantSplit/>
        </w:trPr>
        <w:tc>
          <w:tcPr>
            <w:tcW w:type="dxa" w:w="22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8"/>
              </w:rPr>
            </w:r>
            <w:r>
              <w:rPr>
                <w:rFonts w:ascii="Aptos" w:hAnsi="Aptos"/>
                <w:b w:val="0"/>
                <w:i w:val="0"/>
                <w:sz w:val="18"/>
              </w:rPr>
              <w:t>Estado de Sirius 0.2</w:t>
            </w:r>
          </w:p>
        </w:tc>
        <w:tc>
          <w:tcPr>
            <w:tcW w:type="dxa" w:w="7704"/>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8"/>
              </w:rPr>
              <w:t>DISEÑO DE PRODUCTO COMPLETO · PLAN DE PRUEBAS PROPUESTO PARA APROBACIÓN</w:t>
            </w:r>
          </w:p>
        </w:tc>
      </w:tr>
    </w:tbl>
    <w:p>
      <w:pPr>
        <w:spacing w:after="80" w:line="259" w:lineRule="auto"/>
      </w:pPr>
      <w:r>
        <w:rPr>
          <w:rFonts w:ascii="Aptos" w:hAnsi="Aptos"/>
          <w:b w:val="0"/>
          <w:i w:val="0"/>
          <w:sz w:val="21"/>
        </w:rPr>
        <w:t>Este documento no ejecuta la puerta de salida, no aprueba Arquitectura y no prescribe tecnologías de implementación. Define el contrato de validación que deberá estar aprobado antes de comenzar la arquitectura técnica.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blHeader w:val="true"/>
        </w:trPr>
        <w:tc>
          <w:tcPr>
            <w:tcW w:type="dxa" w:w="2160"/>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Fase visible</w:t>
            </w:r>
          </w:p>
        </w:tc>
        <w:tc>
          <w:tcPr>
            <w:tcW w:type="dxa" w:w="6048"/>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Movimientos formales</w:t>
            </w:r>
          </w:p>
        </w:tc>
        <w:tc>
          <w:tcPr>
            <w:tcW w:type="dxa" w:w="1584"/>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Estado</w:t>
            </w:r>
          </w:p>
        </w:tc>
      </w:tr>
      <w:tr>
        <w:trPr>
          <w:cantSplit/>
        </w:trPr>
        <w:tc>
          <w:tcPr>
            <w:tcW w:type="dxa" w:w="2160"/>
            <w:vAlign w:val="center"/>
            <w:tcMar>
              <w:top w:w="80" w:type="dxa"/>
              <w:left w:w="72" w:type="dxa"/>
              <w:bottom w:w="80" w:type="dxa"/>
              <w:right w:w="72" w:type="dxa"/>
              <w:start w:w="90" w:type="dxa"/>
              <w:end w:w="90" w:type="dxa"/>
            </w:tcMar>
          </w:tcPr>
          <w:p>
            <w:pPr>
              <w:spacing w:after="0" w:before="0" w:line="240" w:lineRule="auto"/>
              <w:jc w:val="center"/>
            </w:pPr>
            <w:r>
              <w:rPr>
                <w:rFonts w:ascii="Aptos" w:hAnsi="Aptos"/>
                <w:sz w:val="17"/>
              </w:rPr>
            </w:r>
            <w:r>
              <w:rPr>
                <w:rFonts w:ascii="Aptos" w:hAnsi="Aptos"/>
                <w:b w:val="0"/>
                <w:sz w:val="17"/>
              </w:rPr>
              <w:t>Documento inicial</w:t>
            </w:r>
          </w:p>
        </w:tc>
        <w:tc>
          <w:tcPr>
            <w:tcW w:type="dxa" w:w="6048"/>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7"/>
              </w:rPr>
            </w:r>
            <w:r>
              <w:rPr>
                <w:rFonts w:ascii="Aptos" w:hAnsi="Aptos"/>
                <w:b w:val="0"/>
                <w:sz w:val="17"/>
              </w:rPr>
              <w:t>1 · Reconstrucción y propuesta</w:t>
            </w:r>
          </w:p>
        </w:tc>
        <w:tc>
          <w:tcPr>
            <w:tcW w:type="dxa" w:w="1584"/>
            <w:vAlign w:val="center"/>
            <w:tcMar>
              <w:top w:w="80" w:type="dxa"/>
              <w:left w:w="72" w:type="dxa"/>
              <w:bottom w:w="80" w:type="dxa"/>
              <w:right w:w="72" w:type="dxa"/>
              <w:start w:w="90" w:type="dxa"/>
              <w:end w:w="90" w:type="dxa"/>
            </w:tcMar>
            <w:shd w:fill="E2F0D9"/>
          </w:tcPr>
          <w:p>
            <w:pPr>
              <w:spacing w:after="0" w:before="0" w:line="240" w:lineRule="auto"/>
              <w:jc w:val="center"/>
            </w:pPr>
            <w:r>
              <w:rPr>
                <w:rFonts w:ascii="Aptos" w:hAnsi="Aptos"/>
                <w:sz w:val="17"/>
              </w:rPr>
            </w:r>
            <w:r>
              <w:rPr>
                <w:rFonts w:ascii="Aptos" w:hAnsi="Aptos"/>
                <w:b w:val="0"/>
                <w:sz w:val="17"/>
              </w:rPr>
              <w:t>COMPLETADO</w:t>
            </w:r>
          </w:p>
        </w:tc>
      </w:tr>
      <w:tr>
        <w:trPr>
          <w:cantSplit/>
        </w:trPr>
        <w:tc>
          <w:tcPr>
            <w:tcW w:type="dxa" w:w="2160"/>
            <w:vAlign w:val="center"/>
            <w:tcMar>
              <w:top w:w="80" w:type="dxa"/>
              <w:left w:w="72" w:type="dxa"/>
              <w:bottom w:w="80" w:type="dxa"/>
              <w:right w:w="72" w:type="dxa"/>
              <w:start w:w="90" w:type="dxa"/>
              <w:end w:w="90" w:type="dxa"/>
            </w:tcMar>
          </w:tcPr>
          <w:p>
            <w:pPr>
              <w:spacing w:after="0" w:before="0" w:line="240" w:lineRule="auto"/>
              <w:jc w:val="center"/>
            </w:pPr>
            <w:r>
              <w:rPr>
                <w:rFonts w:ascii="Aptos" w:hAnsi="Aptos"/>
                <w:sz w:val="17"/>
              </w:rPr>
            </w:r>
            <w:r>
              <w:rPr>
                <w:rFonts w:ascii="Aptos" w:hAnsi="Aptos"/>
                <w:b w:val="0"/>
                <w:sz w:val="17"/>
              </w:rPr>
              <w:t>Auditoría de apertura</w:t>
            </w:r>
          </w:p>
        </w:tc>
        <w:tc>
          <w:tcPr>
            <w:tcW w:type="dxa" w:w="6048"/>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7"/>
              </w:rPr>
            </w:r>
            <w:r>
              <w:rPr>
                <w:rFonts w:ascii="Aptos" w:hAnsi="Aptos"/>
                <w:b w:val="0"/>
                <w:sz w:val="17"/>
              </w:rPr>
              <w:t>2 · Auditoría adversarial</w:t>
            </w:r>
          </w:p>
        </w:tc>
        <w:tc>
          <w:tcPr>
            <w:tcW w:type="dxa" w:w="1584"/>
            <w:vAlign w:val="center"/>
            <w:tcMar>
              <w:top w:w="80" w:type="dxa"/>
              <w:left w:w="72" w:type="dxa"/>
              <w:bottom w:w="80" w:type="dxa"/>
              <w:right w:w="72" w:type="dxa"/>
              <w:start w:w="90" w:type="dxa"/>
              <w:end w:w="90" w:type="dxa"/>
            </w:tcMar>
            <w:shd w:fill="FFF2CC"/>
          </w:tcPr>
          <w:p>
            <w:pPr>
              <w:spacing w:after="0" w:before="0" w:line="240" w:lineRule="auto"/>
              <w:jc w:val="center"/>
            </w:pPr>
            <w:r>
              <w:rPr>
                <w:rFonts w:ascii="Aptos" w:hAnsi="Aptos"/>
                <w:sz w:val="17"/>
              </w:rPr>
            </w:r>
            <w:r>
              <w:rPr>
                <w:rFonts w:ascii="Aptos" w:hAnsi="Aptos"/>
                <w:b w:val="0"/>
                <w:sz w:val="17"/>
              </w:rPr>
              <w:t>COMPLETADO</w:t>
            </w:r>
          </w:p>
        </w:tc>
      </w:tr>
      <w:tr>
        <w:trPr>
          <w:cantSplit/>
        </w:trPr>
        <w:tc>
          <w:tcPr>
            <w:tcW w:type="dxa" w:w="2160"/>
            <w:vAlign w:val="center"/>
            <w:tcMar>
              <w:top w:w="80" w:type="dxa"/>
              <w:left w:w="72" w:type="dxa"/>
              <w:bottom w:w="80" w:type="dxa"/>
              <w:right w:w="72" w:type="dxa"/>
              <w:start w:w="90" w:type="dxa"/>
              <w:end w:w="90" w:type="dxa"/>
            </w:tcMar>
          </w:tcPr>
          <w:p>
            <w:pPr>
              <w:spacing w:after="0" w:before="0" w:line="240" w:lineRule="auto"/>
              <w:jc w:val="center"/>
            </w:pPr>
            <w:r>
              <w:rPr>
                <w:rFonts w:ascii="Aptos" w:hAnsi="Aptos"/>
                <w:sz w:val="17"/>
              </w:rPr>
            </w:r>
            <w:r>
              <w:rPr>
                <w:rFonts w:ascii="Aptos" w:hAnsi="Aptos"/>
                <w:b w:val="0"/>
                <w:sz w:val="17"/>
              </w:rPr>
              <w:t>Corrección e investigación</w:t>
            </w:r>
          </w:p>
        </w:tc>
        <w:tc>
          <w:tcPr>
            <w:tcW w:type="dxa" w:w="6048"/>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7"/>
              </w:rPr>
            </w:r>
            <w:r>
              <w:rPr>
                <w:rFonts w:ascii="Aptos" w:hAnsi="Aptos"/>
                <w:b w:val="0"/>
                <w:sz w:val="17"/>
              </w:rPr>
              <w:t>3–7 · Corrección, investigación, alternativas, decisión y especificación</w:t>
            </w:r>
          </w:p>
        </w:tc>
        <w:tc>
          <w:tcPr>
            <w:tcW w:type="dxa" w:w="1584"/>
            <w:vAlign w:val="center"/>
            <w:tcMar>
              <w:top w:w="80" w:type="dxa"/>
              <w:left w:w="72" w:type="dxa"/>
              <w:bottom w:w="80" w:type="dxa"/>
              <w:right w:w="72" w:type="dxa"/>
              <w:start w:w="90" w:type="dxa"/>
              <w:end w:w="90" w:type="dxa"/>
            </w:tcMar>
          </w:tcPr>
          <w:p>
            <w:pPr>
              <w:spacing w:after="0" w:before="0" w:line="240" w:lineRule="auto"/>
              <w:jc w:val="center"/>
            </w:pPr>
            <w:r>
              <w:rPr>
                <w:rFonts w:ascii="Aptos" w:hAnsi="Aptos"/>
                <w:sz w:val="17"/>
              </w:rPr>
            </w:r>
            <w:r>
              <w:rPr>
                <w:rFonts w:ascii="Aptos" w:hAnsi="Aptos"/>
                <w:b w:val="0"/>
                <w:sz w:val="17"/>
              </w:rPr>
              <w:t>COMPLETADO</w:t>
            </w:r>
          </w:p>
        </w:tc>
      </w:tr>
      <w:tr>
        <w:trPr>
          <w:cantSplit/>
        </w:trPr>
        <w:tc>
          <w:tcPr>
            <w:tcW w:type="dxa" w:w="2160"/>
            <w:vAlign w:val="center"/>
            <w:tcMar>
              <w:top w:w="80" w:type="dxa"/>
              <w:left w:w="72" w:type="dxa"/>
              <w:bottom w:w="80" w:type="dxa"/>
              <w:right w:w="72" w:type="dxa"/>
              <w:start w:w="90" w:type="dxa"/>
              <w:end w:w="90" w:type="dxa"/>
            </w:tcMar>
          </w:tcPr>
          <w:p>
            <w:pPr>
              <w:spacing w:after="0" w:before="0" w:line="240" w:lineRule="auto"/>
              <w:jc w:val="center"/>
            </w:pPr>
            <w:r>
              <w:rPr>
                <w:rFonts w:ascii="Aptos" w:hAnsi="Aptos"/>
                <w:sz w:val="17"/>
              </w:rPr>
            </w:r>
            <w:r>
              <w:rPr>
                <w:rFonts w:ascii="Aptos" w:hAnsi="Aptos"/>
                <w:b w:val="0"/>
                <w:sz w:val="17"/>
              </w:rPr>
              <w:t>Auditoría final</w:t>
            </w:r>
          </w:p>
        </w:tc>
        <w:tc>
          <w:tcPr>
            <w:tcW w:type="dxa" w:w="6048"/>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7"/>
              </w:rPr>
            </w:r>
            <w:r>
              <w:rPr>
                <w:rFonts w:ascii="Aptos" w:hAnsi="Aptos"/>
                <w:b w:val="0"/>
                <w:sz w:val="17"/>
              </w:rPr>
              <w:t>8 · Auditoría adversarial final</w:t>
            </w:r>
          </w:p>
        </w:tc>
        <w:tc>
          <w:tcPr>
            <w:tcW w:type="dxa" w:w="1584"/>
            <w:vAlign w:val="center"/>
            <w:tcMar>
              <w:top w:w="80" w:type="dxa"/>
              <w:left w:w="72" w:type="dxa"/>
              <w:bottom w:w="80" w:type="dxa"/>
              <w:right w:w="72" w:type="dxa"/>
              <w:start w:w="90" w:type="dxa"/>
              <w:end w:w="90" w:type="dxa"/>
            </w:tcMar>
          </w:tcPr>
          <w:p>
            <w:pPr>
              <w:spacing w:after="0" w:before="0" w:line="240" w:lineRule="auto"/>
              <w:jc w:val="center"/>
            </w:pPr>
            <w:r>
              <w:rPr>
                <w:rFonts w:ascii="Aptos" w:hAnsi="Aptos"/>
                <w:sz w:val="17"/>
              </w:rPr>
              <w:t>COMPLETADO</w:t>
            </w:r>
          </w:p>
        </w:tc>
      </w:tr>
      <w:tr>
        <w:trPr>
          <w:cantSplit/>
        </w:trPr>
        <w:tc>
          <w:tcPr>
            <w:tcW w:type="dxa" w:w="2160"/>
            <w:vAlign w:val="center"/>
            <w:tcMar>
              <w:top w:w="80" w:type="dxa"/>
              <w:left w:w="72" w:type="dxa"/>
              <w:bottom w:w="80" w:type="dxa"/>
              <w:right w:w="72" w:type="dxa"/>
              <w:start w:w="90" w:type="dxa"/>
              <w:end w:w="90" w:type="dxa"/>
            </w:tcMar>
          </w:tcPr>
          <w:p>
            <w:pPr>
              <w:spacing w:after="0" w:before="0" w:line="240" w:lineRule="auto"/>
              <w:jc w:val="center"/>
            </w:pPr>
            <w:r>
              <w:rPr>
                <w:rFonts w:ascii="Aptos" w:hAnsi="Aptos"/>
                <w:sz w:val="17"/>
              </w:rPr>
            </w:r>
            <w:r>
              <w:rPr>
                <w:rFonts w:ascii="Aptos" w:hAnsi="Aptos"/>
                <w:b w:val="0"/>
                <w:sz w:val="17"/>
              </w:rPr>
              <w:t>Corrección final y aprobación</w:t>
            </w:r>
          </w:p>
        </w:tc>
        <w:tc>
          <w:tcPr>
            <w:tcW w:type="dxa" w:w="6048"/>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7"/>
              </w:rPr>
            </w:r>
            <w:r>
              <w:rPr>
                <w:rFonts w:ascii="Aptos" w:hAnsi="Aptos"/>
                <w:b w:val="0"/>
                <w:sz w:val="17"/>
              </w:rPr>
              <w:t>9–10 · Propuesta final, aprobación y registro</w:t>
            </w:r>
          </w:p>
        </w:tc>
        <w:tc>
          <w:tcPr>
            <w:tcW w:type="dxa" w:w="1584"/>
            <w:vAlign w:val="center"/>
            <w:tcMar>
              <w:top w:w="80" w:type="dxa"/>
              <w:left w:w="72" w:type="dxa"/>
              <w:bottom w:w="80" w:type="dxa"/>
              <w:right w:w="72" w:type="dxa"/>
              <w:start w:w="90" w:type="dxa"/>
              <w:end w:w="90" w:type="dxa"/>
            </w:tcMar>
          </w:tcPr>
          <w:p>
            <w:pPr>
              <w:spacing w:after="0" w:before="0" w:line="240" w:lineRule="auto"/>
              <w:jc w:val="center"/>
            </w:pPr>
            <w:r>
              <w:rPr>
                <w:rFonts w:ascii="Aptos" w:hAnsi="Aptos"/>
                <w:sz w:val="17"/>
              </w:rPr>
              <w:t>APROBADO · REGISTRADO</w:t>
            </w:r>
          </w:p>
        </w:tc>
      </w:tr>
    </w:tbl>
    <w:p>
      <w:pPr>
        <w:pStyle w:val="Heading1"/>
        <w:keepNext/>
        <w:spacing w:before="200" w:after="100"/>
      </w:pPr>
      <w:r>
        <w:rPr>
          <w:rFonts w:ascii="Aptos" w:hAnsi="Aptos"/>
          <w:b/>
          <w:i w:val="0"/>
          <w:color w:val="17365D"/>
          <w:sz w:val="36"/>
        </w:rPr>
        <w:t>1. Resultado que debe dejar preparado</w:t>
      </w:r>
    </w:p>
    <w:p>
      <w:pPr>
        <w:spacing w:after="80" w:line="259" w:lineRule="auto"/>
      </w:pPr>
      <w:r>
        <w:rPr>
          <w:rFonts w:ascii="Aptos" w:hAnsi="Aptos"/>
          <w:b w:val="0"/>
          <w:i w:val="0"/>
          <w:sz w:val="21"/>
        </w:rPr>
        <w:t>Al aprobarse este Plan, el arranque de Arquitectura podrá comenzar sin diseñar después el sistema de evaluación. Solo quedará completar el manifiesto del candidato, ejecutar los casos contra la implementación real, adjuntar evidencias y someter la versión a la puerta formal.</w:t>
      </w:r>
    </w:p>
    <w:p>
      <w:pPr>
        <w:pStyle w:val="ListBullet"/>
        <w:spacing w:after="50"/>
        <w:ind w:left="317"/>
      </w:pPr>
      <w:r>
        <w:rPr>
          <w:rFonts w:ascii="Aptos" w:hAnsi="Aptos"/>
          <w:b w:val="0"/>
          <w:i w:val="0"/>
          <w:sz w:val="20"/>
        </w:rPr>
        <w:t>Un denominador externo de delegaciones que el propio Plan no puede manipular.</w:t>
      </w:r>
    </w:p>
    <w:p>
      <w:pPr>
        <w:pStyle w:val="ListBullet"/>
        <w:spacing w:after="50"/>
        <w:ind w:left="317"/>
      </w:pPr>
      <w:r>
        <w:rPr>
          <w:rFonts w:ascii="Aptos" w:hAnsi="Aptos"/>
          <w:b w:val="0"/>
          <w:i w:val="0"/>
          <w:sz w:val="20"/>
        </w:rPr>
        <w:t>Un corpus versionado con familias obligatorias, casos heredados y casos transversales.</w:t>
      </w:r>
    </w:p>
    <w:p>
      <w:pPr>
        <w:pStyle w:val="ListBullet"/>
        <w:spacing w:after="50"/>
        <w:ind w:left="317"/>
      </w:pPr>
      <w:r>
        <w:rPr>
          <w:rFonts w:ascii="Aptos" w:hAnsi="Aptos"/>
          <w:b w:val="0"/>
          <w:i w:val="0"/>
          <w:sz w:val="20"/>
        </w:rPr>
        <w:t>Un protocolo de referencia, adjudicación, repetición y regresión cerrado antes de observar resultados.</w:t>
      </w:r>
    </w:p>
    <w:p>
      <w:pPr>
        <w:pStyle w:val="ListBullet"/>
        <w:spacing w:after="50"/>
        <w:ind w:left="317"/>
      </w:pPr>
      <w:r>
        <w:rPr>
          <w:rFonts w:ascii="Aptos" w:hAnsi="Aptos"/>
          <w:b w:val="0"/>
          <w:i w:val="0"/>
          <w:sz w:val="20"/>
        </w:rPr>
        <w:t>Un manifiesto de candidato y un paquete de evidencia reproducible.</w:t>
      </w:r>
    </w:p>
    <w:p>
      <w:pPr>
        <w:pStyle w:val="ListBullet"/>
        <w:spacing w:after="50"/>
        <w:ind w:left="317"/>
      </w:pPr>
      <w:r>
        <w:rPr>
          <w:rFonts w:ascii="Aptos" w:hAnsi="Aptos"/>
          <w:b w:val="0"/>
          <w:i w:val="0"/>
          <w:sz w:val="20"/>
        </w:rPr>
        <w:t>Métricas por familia y puertas absolutas no compensables.</w:t>
      </w:r>
    </w:p>
    <w:p>
      <w:pPr>
        <w:pStyle w:val="ListBullet"/>
        <w:spacing w:after="50"/>
        <w:ind w:left="317"/>
      </w:pPr>
      <w:r>
        <w:rPr>
          <w:rFonts w:ascii="Aptos" w:hAnsi="Aptos"/>
          <w:b w:val="0"/>
          <w:i w:val="0"/>
          <w:sz w:val="20"/>
        </w:rPr>
        <w:t>Una plantilla de acta final sin dispensas ni aprobación condicional.</w:t>
      </w:r>
    </w:p>
    <w:p>
      <w:pPr>
        <w:pStyle w:val="Heading1"/>
        <w:keepNext/>
        <w:spacing w:before="200" w:after="100"/>
      </w:pPr>
      <w:r>
        <w:rPr>
          <w:rFonts w:ascii="Aptos" w:hAnsi="Aptos"/>
          <w:b/>
          <w:i w:val="0"/>
          <w:color w:val="17365D"/>
          <w:sz w:val="36"/>
        </w:rPr>
        <w:t>2. Alcance y fronteras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4968"/>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Incluido</w:t>
            </w:r>
          </w:p>
        </w:tc>
        <w:tc>
          <w:tcPr>
            <w:tcW w:type="dxa" w:w="4968"/>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Fuera de alcance</w:t>
            </w:r>
          </w:p>
        </w:tc>
      </w:tr>
      <w:tr>
        <w:trPr>
          <w:cantSplit/>
        </w:trPr>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Contrato normativo del Registro Externo de Delegaciones.</w:t>
            </w:r>
          </w:p>
        </w:tc>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Código del arnés, lenguaje, framework o infraestructura.</w:t>
            </w:r>
          </w:p>
        </w:tc>
      </w:tr>
      <w:tr>
        <w:trPr>
          <w:cantSplit/>
        </w:trPr>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Esquema del Plan de Pruebas y sus artefactos.</w:t>
            </w:r>
          </w:p>
        </w:tc>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Arquitectura de Sirius o diseño de repositorio.</w:t>
            </w:r>
          </w:p>
        </w:tc>
      </w:tr>
      <w:tr>
        <w:trPr>
          <w:cantSplit/>
        </w:trPr>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Corpus, casos, métricas, tolerancias y puertas.</w:t>
            </w:r>
          </w:p>
        </w:tc>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Implementación concreta de buscadores, memoria, UI o persistencia.</w:t>
            </w:r>
          </w:p>
        </w:tc>
      </w:tr>
      <w:tr>
        <w:trPr>
          <w:cantSplit/>
        </w:trPr>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Roles, adjudicación, evidencias, repetición y regresión.</w:t>
            </w:r>
          </w:p>
        </w:tc>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Ejecución real antes de existir candidato estable.</w:t>
            </w:r>
          </w:p>
        </w:tc>
      </w:tr>
      <w:tr>
        <w:trPr>
          <w:cantSplit/>
        </w:trPr>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Criterios de cierre de Sirius 0.2.</w:t>
            </w:r>
          </w:p>
        </w:tc>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Aprobación de Arquitectura, código o despliegue.</w:t>
            </w:r>
          </w:p>
        </w:tc>
      </w:tr>
    </w:tbl>
    <w:tbl>
      <w:tblPr>
        <w:tblStyle w:val="TableGrid"/>
        <w:tblW w:type="auto" w:w="0"/>
        <w:jc w:val="center"/>
        <w:tblLook w:firstColumn="1" w:firstRow="1" w:lastColumn="0" w:lastRow="0" w:noHBand="0" w:noVBand="1" w:val="04A0"/>
      </w:tblPr>
      <w:tblGrid>
        <w:gridCol w:w="10224"/>
      </w:tblGrid>
      <w:tr>
        <w:tc>
          <w:tcPr>
            <w:tcW w:type="dxa" w:w="10224"/>
            <w:shd w:fill="D9EAF7"/>
            <w:tcMar>
              <w:top w:w="110" w:type="dxa"/>
              <w:left w:w="110" w:type="dxa"/>
              <w:bottom w:w="110" w:type="dxa"/>
              <w:right w:w="110" w:type="dxa"/>
            </w:tcMar>
            <w:vAlign w:val="center"/>
          </w:tcPr>
          <w:p>
            <w:pPr>
              <w:spacing w:after="0"/>
            </w:pPr>
            <w:r/>
            <w:r>
              <w:rPr>
                <w:rFonts w:ascii="Aptos" w:hAnsi="Aptos"/>
                <w:b/>
                <w:i w:val="0"/>
                <w:color w:val="17365D"/>
                <w:sz w:val="18"/>
              </w:rPr>
              <w:t>REGLA DE FRONTERA</w:t>
              <w:br/>
            </w:r>
            <w:r>
              <w:rPr>
                <w:rFonts w:ascii="Aptos" w:hAnsi="Aptos"/>
                <w:b w:val="0"/>
                <w:i w:val="0"/>
                <w:sz w:val="18"/>
              </w:rPr>
              <w:t>El Plan operacionaliza lo aprobado. No crea capacidades, no rebaja umbrales, no resuelve contradicciones de producto y no convierte una limitación técnica en excepción contractual.</w:t>
            </w:r>
          </w:p>
        </w:tc>
      </w:tr>
    </w:tbl>
    <w:p>
      <w:pPr>
        <w:pStyle w:val="Heading1"/>
        <w:keepNext/>
        <w:spacing w:before="200" w:after="100"/>
      </w:pPr>
      <w:r>
        <w:rPr>
          <w:rFonts w:ascii="Aptos" w:hAnsi="Aptos"/>
          <w:b/>
          <w:i w:val="0"/>
          <w:color w:val="17365D"/>
          <w:sz w:val="36"/>
        </w:rPr>
        <w:t>3. Base canónica congelada para la auditoría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008"/>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ID</w:t>
            </w:r>
          </w:p>
        </w:tc>
        <w:tc>
          <w:tcPr>
            <w:tcW w:type="dxa" w:w="7056"/>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Documento canónico</w:t>
            </w:r>
          </w:p>
        </w:tc>
        <w:tc>
          <w:tcPr>
            <w:tcW w:type="dxa" w:w="1872"/>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Versión/estado</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C01</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SIRIUS_DOCUMENTO_RECTOR_EVOLUCION_POST_0.1</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v1.0 APROBADO</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C02</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SIRIUS_0.2_METODO_MAESTRO_DEFINICION_Y_VALIDACION</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v1.0 + CT-01</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C03</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SIRIUS_0.2_BLOQUE_01_CONTRATO_PRODUCTO_Y_LINEA_BASE</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v1.0 APROBADO</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C04</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SIRIUS_0.2_BLOQUE_02_MODELO_DE_CONOCIMIENTO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v1.1 APROBADO</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C05</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SIRIUS_0.2_BLOQUE_03_INCORPORACION_Y_CONFIRMACION</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v1.0 APROBADO</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C06</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SIRIUS_0.2_BLOQUE_04_BUSQUEDA_Y_RECUPERACION</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v1.0 APROBADO</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C07</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SIRIUS_0.2_CORRECCION_TRANSVERSAL_PRE_B05</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v1.1 APROBADA</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C08</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SIRIUS_0.2_BLOQUE_05_RELEVANCIA_Y_PAQUETES_DE_CONTEXTO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v1.0 APROBADO</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C09</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SIRIUS_0.2_BLOQUE_06_VIGENCIA_Y_CONFLICTOS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v1.0 APROBADO</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C10</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SIRIUS_0.2_BLOQUE_07_PROYECTOS_HISTORICOS_Y_CONTINUIDAD</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v1.0 APROBADO</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C11</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SIRIUS_0.2_BLOQUE_08_CONTROL_USUARIO_EVALUACION_Y_PUERTA_SALIDA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6"/>
              </w:rPr>
              <w:t>v1.0 APROBADO</w:t>
            </w:r>
          </w:p>
        </w:tc>
      </w:tr>
    </w:tbl>
    <w:p>
      <w:pPr>
        <w:spacing w:after="80" w:line="259" w:lineRule="auto"/>
      </w:pPr>
      <w:r>
        <w:rPr>
          <w:rFonts w:ascii="Aptos" w:hAnsi="Aptos"/>
          <w:b w:val="0"/>
          <w:i w:val="0"/>
          <w:sz w:val="21"/>
        </w:rPr>
        <w:t>B02-RF-09 se interpreta conforme a B02-D15 y CT-03: fuente-local no constituye un ámbito. La tabla jerárquica interna de B02 carece de autoridad normativa. CT-02 sustituye el tratamiento original de B01-RF-15, M12 y G5.</w:t>
      </w:r>
    </w:p>
    <w:p>
      <w:pPr>
        <w:pStyle w:val="Heading1"/>
        <w:keepNext/>
        <w:spacing w:before="200" w:after="100"/>
      </w:pPr>
      <w:r>
        <w:rPr>
          <w:rFonts w:ascii="Aptos" w:hAnsi="Aptos"/>
          <w:b/>
          <w:i w:val="0"/>
          <w:color w:val="17365D"/>
          <w:sz w:val="36"/>
        </w:rPr>
        <w:t>PARTE I · Registro Externo de Delegaciones (RED-1.0)</w:t>
      </w:r>
    </w:p>
    <w:p>
      <w:pPr>
        <w:spacing w:after="80" w:line="259" w:lineRule="auto"/>
      </w:pPr>
      <w:r>
        <w:rPr>
          <w:rFonts w:ascii="Aptos" w:hAnsi="Aptos"/>
          <w:b w:val="0"/>
          <w:i w:val="0"/>
          <w:sz w:val="21"/>
        </w:rPr>
        <w:t>La Parte I es normativamente externa al Plan de Pruebas aunque comparta el mismo archivo físico para reducir carga documental. Su versión, denominador y filas se controlan de forma independiente. La Parte II puede enlazar estas filas, pero no añadirlas, eliminarlas, refundirlas ni descontarlas.</w:t>
      </w:r>
    </w:p>
    <w:p>
      <w:pPr>
        <w:pStyle w:val="Heading2"/>
        <w:keepNext/>
        <w:spacing w:before="140" w:after="100"/>
      </w:pPr>
      <w:r>
        <w:rPr>
          <w:rFonts w:ascii="Aptos" w:hAnsi="Aptos"/>
          <w:b/>
          <w:i w:val="0"/>
          <w:color w:val="17365D"/>
          <w:sz w:val="27"/>
        </w:rPr>
        <w:t>4. Regla de derivación y congelación</w:t>
      </w:r>
    </w:p>
    <w:p>
      <w:pPr>
        <w:pStyle w:val="ListBullet"/>
        <w:spacing w:after="50"/>
        <w:ind w:left="317"/>
      </w:pPr>
      <w:r>
        <w:rPr>
          <w:rFonts w:ascii="Aptos" w:hAnsi="Aptos"/>
        </w:rPr>
        <w:t>Toda cláusula normativa de B01–B08 o CT que delegue materialización, corpus, referencia, tolerancia, adjudicación, doble revisión, mínimo por familia, unidad de trabajo, presupuesto, evidencia, portabilidad, comprensión, regresión, repetición, configuración, cierre o trazabilidad genera una fila externa. La detección es semántica: no depende de que la fuente use literalmente “Plan de Pruebas”.</w:t>
      </w:r>
    </w:p>
    <w:p>
      <w:pPr>
        <w:pStyle w:val="ListBullet"/>
        <w:spacing w:after="50"/>
        <w:ind w:left="317"/>
      </w:pPr>
      <w:r>
        <w:rPr>
          <w:rFonts w:ascii="Aptos" w:hAnsi="Aptos"/>
        </w:rPr>
        <w:t>Cada fila corresponde a una obligación materialmente distinta. Solo se agrupan requisitos cuando comparten exactamente mandato, artefacto, caso, métrica o puerta y evidencia. Si una agrupación puede ocultar un deber diferente, se desagrega.</w:t>
      </w:r>
    </w:p>
    <w:p>
      <w:pPr>
        <w:pStyle w:val="ListBullet"/>
        <w:spacing w:after="50"/>
        <w:ind w:left="317"/>
      </w:pPr>
      <w:r>
        <w:rPr>
          <w:rFonts w:ascii="Aptos" w:hAnsi="Aptos"/>
        </w:rPr>
        <w:t>Toda fila posee estado CONFIRMADA, ABIERTA o DESCARTADA CON AUTORIDAD. Una duda permanece ABIERTA, cuenta en el denominador y bloquea el cierre. El PDP no puede cambiar ese estado.</w:t>
      </w:r>
    </w:p>
    <w:p>
      <w:pPr>
        <w:pStyle w:val="ListBullet"/>
        <w:spacing w:after="50"/>
        <w:ind w:left="317"/>
      </w:pPr>
      <w:r>
        <w:rPr>
          <w:rFonts w:ascii="Aptos" w:hAnsi="Aptos"/>
          <w:b w:val="0"/>
          <w:i w:val="0"/>
          <w:sz w:val="20"/>
        </w:rPr>
        <w:t>Una corrección del registro exige nueva versión RED y vuelve a auditar la cobertura del Plan.</w:t>
      </w:r>
    </w:p>
    <w:p>
      <w:pPr>
        <w:pStyle w:val="ListBullet"/>
        <w:spacing w:after="50"/>
        <w:ind w:left="317"/>
      </w:pPr>
      <w:r>
        <w:rPr>
          <w:rFonts w:ascii="Aptos" w:hAnsi="Aptos"/>
        </w:rPr>
        <w:t>El denominador final de RED-1.0 es 79 filas. Fue reconstruido contra B01–B08 y CT, con localizadores cotejados y una fila específica para la matriz canónica de catorce operaciones de B08. Queda aprobado y congelado; cualquier alta, baja, fusión, descarte o cambio de localizador exige nueva versión RED y nueva auditoría de cobertura.</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79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ID</w:t>
            </w:r>
          </w:p>
        </w:tc>
        <w:tc>
          <w:tcPr>
            <w:tcW w:type="dxa" w:w="79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Fuente</w:t>
            </w:r>
          </w:p>
        </w:tc>
        <w:tc>
          <w:tcPr>
            <w:tcW w:type="dxa" w:w="1699"/>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Localizador</w:t>
            </w:r>
          </w:p>
        </w:tc>
        <w:tc>
          <w:tcPr>
            <w:tcW w:type="dxa" w:w="3960"/>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Delegación obligatoria</w:t>
            </w:r>
          </w:p>
        </w:tc>
        <w:tc>
          <w:tcPr>
            <w:tcW w:type="dxa" w:w="1944"/>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Artefacto del Plan</w:t>
            </w:r>
          </w:p>
        </w:tc>
        <w:tc>
          <w:tcPr>
            <w:tcW w:type="dxa" w:w="1080"/>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Estado</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RED-001</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B01</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§8 / B01-D09</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Materializar corpus concreto y procedimiento comparable de ejecución.</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Corpus versionado + registro de ejecución</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RED-002</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B01</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§9.1</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Fijar referencia humana antes de observar cada resultado.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Referencia congelada + ficha de caso</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RED-003</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B01</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§9.1</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Aplicar dos revisiones independientes en casos ambiguos y resolver discrepancias por tercera autoridad.</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Protocolo de adjudicación</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RED-004</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B01</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§9.1</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Prohibir cambiar el esperado tras observar la salida salvo error documentado y nueva versión.</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Control de integridad</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RED-005</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B01</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§8–§10 / G7</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Versionar corpus, configuración, candidato, resultados y evidencia reproducible.</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Manifiesto + paquete de evidencia</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RED-006</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B01</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M01–M13 / G1–G7</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Conservar fórmulas, umbrales, mínimos y puertas; separar la comparación adicional con 0.1 de las puertas absolutas.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Registro de métricas y puertas</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RED-007</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B02-RF-01–02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IDs estables, atomicidad y composición trazable.</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F01/F07 · casos semánticos</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RED-008</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B02-RF-03–04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procedencia mínima y separación de tiempos válido, registro y evento.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F02–F04/F10</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RED-009</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B02-RF-05–08</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dimensiones separadas, conflicto abierto y autoridad por dominio.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F06/F09/F10</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RED-010</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B02-RF-09–10 / B02-D15</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ámbitos válidos y estados actual, futuro, finalizado o sin fecha; fuente-local no es ámbito.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F02/F03/F08/F09</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RED-011</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B02-RF-11–12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Conservar apoyo/refutación múltiples y tratar resúmenes como derivados.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F06/F10/F15</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RED-012</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B02-RF-13</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fusiones de entidad ambiguas sin fusión silenciosa.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F07</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RED-013</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B02-RF-14 / RF-21–23</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no consolidación sensible, actos explícitos frente a extracciones, clasificación y disponibilidad.</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F05/F11/F12</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RED-014</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B02-RF-15</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Distinguir archivo, restricción, invalidación y borrado.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F13/F19</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RED-015</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B02-RF-16 / RF-25–26</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propagación de borrado/pérdida de soporte, borrado semántico y exclusión de sin-soporte.</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F10/F13</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RED-016</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B02-RF-17</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Verificar exportación estructurada con contenido y trazabilidad bajo permisos.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F20/F22</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RED-017</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B02-RF-18</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Demostrar neutralidad frente a RDF, grafos, vectores, RAG o base de datos.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F22</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RED-018</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B02</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B02-RF-19–20 / RF-24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evidencia enlazada, condiciones, relaciones temporales y listas multi-proyecto cerradas.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F08/F10/F15</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RED-019</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B03</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Unidad de trabajo / D13</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Fijar objetivo, inicio y cierre de cada unidad antes de ejecutar.</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Ficha de caso</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RED-020</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B03</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M10 / RF-16</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Medir máximo de una interrupción ordinaria no solicitada por unidad.</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F16</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RED-021</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B03</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CA-30 / M01–M02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Incluir corpus 20 esenciales/80 triviales y evitar subdetección estratégica.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F05 · corpus de candidatas</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RED-022</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B03</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M11</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Exigir cero repetición tras rechazo o supresión.</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F05/F24</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RED-023</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B03</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M16</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Fijar ventana y denominador de arrepentimiento antes de ejecutar.</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Protocolo longitudinal</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RED-024</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B03</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M15</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Medir utilidad diferida contra control sin memoria.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Protocolo longitudinal pareado</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RED-025</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B03</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RF-02 / RF-11 / RF-13</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Usar pares diferenciales para no guardar, no usar y privacidad.</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F11/F12</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RED-026</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B03</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RF-28 / DEL-04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Producir evidencia reproducible de cobertura, precisión, carga, privacidad y utilidad.</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Paquete de evidencia</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RED-027</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B04</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RF-01–04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Adjudicar modo M1–M5, propósito, permisos y aclaración antes de buscar.</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F01–F06 · ficha de consulta</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RED-028</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B04</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RF-07–08</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Fijar tiempo objetivo y corte de registro antes de recuperación.</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F02/F03</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RED-029</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B04</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RF-18 / RF-29</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Conservar plan reproducible: espacios, puertas, etapas, parada y limitaciones.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Traza de búsqueda</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RED-030</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B04</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RF-20–24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cardinalidad, deduplicación prudente y evidencia plural.</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F10/F14</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RED-031</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B04</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RF-25 / M09</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Adjudicar taxonomía de ausencia evitando falsos “no existe”.</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F23</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RED-032</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B04</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RF-26 / M20</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Definir tolerancias diferenciales de texto, estado, conteo y tiempo.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F11/F23</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RED-033</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B04</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M16 / CA-39</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Fijar tolerancia de orden y equivalencia semántica entre implementaciones.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F22</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RED-034</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B04</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RF-31–32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Cubrir fuente inaccesible y degradación parcial reproducible.</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F10/F23</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RED-035</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B05</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Def. necesidad material / §6</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Prefijar necesidades, criticidad, equivalencias y prohibidos.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Referencia de paquete</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RED-036</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B05</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RF-03 / RF-11–12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marco crítico, proximidad y equivalencia semántica del orden.</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F15</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RED-037</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B05</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RF-09–14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Verificar compresión conservando negación, condición, fecha, ámbito, autoridad y conflicto.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F15</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RED-038</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B05</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UCC / M05</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Fijar adaptador de coste contextual por ejecución sin imponer tecnología.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Configuración de medición</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RED-039</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B05</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RF-20–24 / CT-02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límite objetivo/duro, críticos primero, PARCIAL y conteos seguros.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F14</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RED-040</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B05</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RF-18–19</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reintento B05→B04 acotado y sin bucle.</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F23/F24</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RED-041</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B05</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RF-26–28</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Mapear estados del paquete y salida segura literal.</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F23</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RED-042</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B05</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M13 / casos pareados</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Medir preferencia/utilidad pareada sin compensar seguridad.</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F25</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RED-043</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B06</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RF-01–04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solapamiento material y distinguir tipos de cambio.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F06</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RED-044</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B06</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RF-05–10</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autoridad por dominio, conflicto y reglas reproducibles.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F06</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RED-045</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B06</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RF-14–18</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Adjudicar tiempo válido, registro, evento, objetivo y corte.</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F02–F04/F09</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RED-046</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B06</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RF-19–23 / M14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exclusión, pérdida de soporte y no resurrección automática.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F10/F13/F24</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RED-047</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B06</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RF-24–25</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Detectar ciclos y permitir solo resolución parcial segura.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F06/F24</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RED-048</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B06</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RF-27–29</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Verificar evaluación efímera, reevaluación y cero persistencia en sombra.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F06/F19</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RED-049</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B06</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RF-30 / M10</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Compartir presupuesto de interrupciones con B03/B05.</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F16</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RED-050</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B06</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RF-21–22 / M12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Usar pares con y sin lado protegido y medir señales laterales.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F11/F13</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RED-051</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B07</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RF-01 / RF-17</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ID estable, homónimos, alias y renombres.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F07</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RED-052</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B07</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RF-15–17</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Cubrir relaciones, fusión, división, sucesión y absorción sin fusionar estado.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F07/F08</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RED-053</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B07</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RF-02–03 / M16</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Heredar modo, tiempo y corte; cambio implica nueva petición.</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F02–F04</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RED-054</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B07</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RF-10–14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Distinguir vista actual, snapshot válido, corte, historia y conflictos.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F02–F04/F06</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RED-055</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B07</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RF-18–20 / M13</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ciclo de vida explícito, inactividad y conflicto de declaraciones.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F18</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RED-056</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B07</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RF-21–22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Distinguir siguiente paso explícito, incompatible, ajeno, derivado o ausente.</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F18</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RED-057</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B07</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RF-30 / M15</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Medir continuidad y carga tras reanudación usando presupuesto compartido.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F16/F17</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RED-058</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B07</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RF-34 / RF-41–42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selección explicativa, marco crítico y omisión propia trazada.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F15/F17</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RED-059</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B07</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RF-33 / M18</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Verificar cronología reproducible sin usar orden o recencia como autoridad.</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F04/F17</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RED-060</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B07</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RF-25 / RF-31 / M12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Usar pares diferenciales para proyecto o elemento no reportable.</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F11/F13</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RED-061</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CT</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CT-01 / Método §1, §5, §7</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Aplicar ciclo enmendado, roles y prohibición de aprobar con hallazgos abiertos.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Puerta metodológica</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RED-062</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CT</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CT-02 / B01-RF-15, M12, G5</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límites objetivo/duro, críticos primero, PARCIAL y conteos no reveladores.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Puerta de límites</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RED-063</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CT</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CT-03 / autoridad documental</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Interpretar B02 sin autoridad normativa de su jerarquía interna.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Puerta normativa</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RED-064</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RF-25–27</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Versionar banco y referencias; aplicar doble revisión y desacuerdos trazados.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F24 + adjudicación</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RED-065</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RF-28 / RF-51 / M14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Cubrir todos los bloques y familias obligatorias, incluidas las propias de B08.</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Corpus F01–F25</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RED-066</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RF-29 / RF-52</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Ejecutar pares diferenciales ampliados y comparar señales laterales.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F11/F12/F13/F22</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RED-067</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RF-30–31 / RF-59</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Aplicar puertas no compensables, mínimos por familia y carga como puerta.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Puertas absolutas</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RED-068</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RF-32 / RF-53</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Invalidar evidencia afectada y prohibir repetición oportunista.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F24</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RED-069</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RF-33 / RF-58</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Relacionar decisiones con RF, CA, métricas, evidencia y manifiesto congelado.</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Trazabilidad de salida</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RED-070</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RF-34–35</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Bloquear cierre con fuentes/puertas/hallazgos abiertos y exigir aprobación explícita.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Acta de cierre</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RED-071</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RF-38 / RF-56 / M12 / M25</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Verificar portabilidad semántica con dos implementaciones consumidoras independientes.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F20/F22</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RED-072</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RF-39</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Definir y versionar Plan, corpus, tolerancias, métricas, puertas, adjudicación y evidencia.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Contrato PDP</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RED-073</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RF-40 / RF-61 / B08-D14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Derivar y congelar el denominador externo; una duda permanece abierta y contada.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Contrato RED</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RED-074</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RF-54–55 / M27</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Adjudicar críticos de forma independiente y ciega cuando sea viable; desacuerdo abierto si no se resuelve.</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Protocolo unipersonal</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RED-075</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RF-57 / M20</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Medir comprensión previa; destructivas requieren 100 %.</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F19 · prueba de comprensión</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RED-076</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RF-45–46 / M24</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límite honesto del borrado frente a exportaciones y registros opacos.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F13/F20/F21</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RED-077</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RF-49 / M31</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Probar presión de confirmación masiva y presupuesto de candidatas.</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F05/F16/F19</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RED-078</w:t>
            </w:r>
          </w:p>
        </w:tc>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B08</w:t>
            </w:r>
          </w:p>
        </w:tc>
        <w:tc>
          <w:tcPr>
            <w:tcW w:type="dxa" w:w="1699"/>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RF-15–16 / M06–M07</w:t>
            </w:r>
          </w:p>
        </w:tc>
        <w:tc>
          <w:tcPr>
            <w:tcW w:type="dxa" w:w="396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Verificar borrado completo y no reconstruibilidad de evidencia.</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F13/F21</w:t>
            </w:r>
          </w:p>
        </w:tc>
        <w:tc>
          <w:tcPr>
            <w:tcW w:type="dxa" w:w="108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CONFIRMADA</w:t>
            </w:r>
          </w:p>
        </w:tc>
      </w:tr>
      <w:tr>
        <w:tc>
          <w:tcPr>
            <w:tcW w:type="dxa" w:w="1704"/>
            <w:vAlign w:val="center"/>
          </w:tcPr>
          <w:p>
            <w:r>
              <w:t>RED-079</w:t>
            </w:r>
          </w:p>
        </w:tc>
        <w:tc>
          <w:tcPr>
            <w:tcW w:type="dxa" w:w="1704"/>
            <w:vAlign w:val="center"/>
          </w:tcPr>
          <w:p>
            <w:r>
              <w:t>B08</w:t>
            </w:r>
          </w:p>
        </w:tc>
        <w:tc>
          <w:tcPr>
            <w:tcW w:type="dxa" w:w="1704"/>
            <w:vAlign w:val="center"/>
          </w:tcPr>
          <w:p>
            <w:r>
              <w:t>B08-RF-11 / B08-RF-41 / B08-M21</w:t>
            </w:r>
          </w:p>
        </w:tc>
        <w:tc>
          <w:tcPr>
            <w:tcW w:type="dxa" w:w="1704"/>
            <w:vAlign w:val="center"/>
          </w:tcPr>
          <w:p>
            <w:r>
              <w:t>Materializar y verificar la matriz completa de catorce operaciones con objeto, ámbito, efecto, persistencia, reversibilidad, confirmación mínima y evidencia posterior por operación.</w:t>
            </w:r>
          </w:p>
        </w:tc>
        <w:tc>
          <w:tcPr>
            <w:tcW w:type="dxa" w:w="1704"/>
            <w:vAlign w:val="center"/>
          </w:tcPr>
          <w:p>
            <w:r>
              <w:t>F19 · matriz canónica de operaciones + registro de evidencia 14/14</w:t>
            </w:r>
          </w:p>
        </w:tc>
        <w:tc>
          <w:tcPr>
            <w:tcW w:type="dxa" w:w="1704"/>
            <w:vAlign w:val="center"/>
          </w:tcPr>
          <w:p>
            <w:r>
              <w:t>CONFIRMADA</w:t>
            </w:r>
          </w:p>
        </w:tc>
      </w:tr>
    </w:tbl>
    <w:tbl>
      <w:tblPr>
        <w:tblStyle w:val="TableGrid"/>
        <w:tblW w:type="auto" w:w="0"/>
        <w:jc w:val="center"/>
        <w:tblLook w:firstColumn="1" w:firstRow="1" w:lastColumn="0" w:lastRow="0" w:noHBand="0" w:noVBand="1" w:val="04A0"/>
      </w:tblPr>
      <w:tblGrid>
        <w:gridCol w:w="10224"/>
      </w:tblGrid>
      <w:tr>
        <w:tc>
          <w:tcPr>
            <w:tcW w:type="dxa" w:w="10224"/>
            <w:shd w:fill="E2F0D9"/>
            <w:tcMar>
              <w:top w:w="80" w:type="dxa"/>
              <w:left w:w="110" w:type="dxa"/>
              <w:bottom w:w="80" w:type="dxa"/>
              <w:right w:w="110" w:type="dxa"/>
              <w:start w:w="90" w:type="dxa"/>
              <w:end w:w="90" w:type="dxa"/>
            </w:tcMar>
            <w:vAlign w:val="center"/>
          </w:tcPr>
          <w:p>
            <w:pPr>
              <w:spacing w:after="0" w:before="0" w:line="240" w:lineRule="auto"/>
              <w:jc w:val="left"/>
            </w:pPr>
            <w:r>
              <w:rPr/>
              <w:t>DENOMINADOR RED-1.0</w:t>
              <w:br/>
              <w:t>79 filas CONFIRMADAS. PDP-M01, PDP-M02, PDP-M17, B08-M29 y B08-M32 se calculan contra este denominador externo. El PDP no puede modificarlo.</w:t>
            </w:r>
          </w:p>
        </w:tc>
      </w:tr>
    </w:tbl>
    <w:p>
      <w:pPr>
        <w:pStyle w:val="Heading1"/>
        <w:keepNext/>
        <w:spacing w:before="200" w:after="100"/>
      </w:pPr>
      <w:r>
        <w:rPr>
          <w:rFonts w:ascii="Aptos" w:hAnsi="Aptos"/>
          <w:b/>
          <w:i w:val="0"/>
          <w:color w:val="17365D"/>
          <w:sz w:val="36"/>
        </w:rPr>
        <w:t>PARTE II · Plan de Pruebas de Sirius 0.2 (PDP-1.0)</w:t>
      </w:r>
    </w:p>
    <w:p>
      <w:pPr>
        <w:pStyle w:val="Heading2"/>
        <w:keepNext/>
        <w:spacing w:before="140" w:after="100"/>
      </w:pPr>
      <w:r>
        <w:rPr>
          <w:rFonts w:ascii="Aptos" w:hAnsi="Aptos"/>
          <w:b/>
          <w:i w:val="0"/>
          <w:color w:val="17365D"/>
          <w:sz w:val="27"/>
        </w:rPr>
        <w:t>5. Contrato y roles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blHeader w:val="true"/>
        </w:trPr>
        <w:tc>
          <w:tcPr>
            <w:tcW w:type="dxa" w:w="1800"/>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Rol</w:t>
            </w:r>
          </w:p>
        </w:tc>
        <w:tc>
          <w:tcPr>
            <w:tcW w:type="dxa" w:w="6192"/>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Responsabilidad</w:t>
            </w:r>
          </w:p>
        </w:tc>
        <w:tc>
          <w:tcPr>
            <w:tcW w:type="dxa" w:w="1872"/>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Límite</w:t>
            </w:r>
          </w:p>
        </w:tc>
      </w:tr>
      <w:tr>
        <w:trPr>
          <w:cantSplit/>
        </w:trPr>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Ingeniero Principal</w:t>
            </w:r>
          </w:p>
        </w:tc>
        <w:tc>
          <w:tcPr>
            <w:tcW w:type="dxa" w:w="61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Materializa y versiona Plan, corpus, casos, manifiesto y evidencias.</w:t>
            </w:r>
          </w:p>
        </w:tc>
        <w:tc>
          <w:tcPr>
            <w:tcW w:type="dxa" w:w="187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No rebaja producto ni adjudica solo sus propios fallos.</w:t>
            </w:r>
          </w:p>
        </w:tc>
      </w:tr>
      <w:tr>
        <w:trPr>
          <w:cantSplit/>
        </w:trPr>
        <w:tc>
          <w:tcPr>
            <w:tcW w:type="dxa" w:w="1800"/>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Auditor adversarial</w:t>
            </w:r>
          </w:p>
        </w:tc>
        <w:tc>
          <w:tcPr>
            <w:tcW w:type="dxa" w:w="61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Verifica completitud, referencias, métricas, puertas, fuentes y reproducibilidad.</w:t>
            </w:r>
          </w:p>
        </w:tc>
        <w:tc>
          <w:tcPr>
            <w:tcW w:type="dxa" w:w="187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No aprueba ni modifica requisitos.</w:t>
            </w:r>
          </w:p>
        </w:tc>
      </w:tr>
      <w:tr>
        <w:trPr>
          <w:cantSplit/>
        </w:trPr>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Revisor humano</w:t>
            </w:r>
          </w:p>
        </w:tc>
        <w:tc>
          <w:tcPr>
            <w:tcW w:type="dxa" w:w="6192"/>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7"/>
              </w:rPr>
            </w:r>
            <w:r>
              <w:rPr>
                <w:rFonts w:ascii="Aptos" w:hAnsi="Aptos"/>
                <w:b w:val="0"/>
                <w:sz w:val="17"/>
              </w:rPr>
              <w:t>Adjudica esperados y resultados según protocolo previo. Puede ser el usuario o un revisor independiente; en modo unipersonal la segunda revisión usa contexto separado y cegado.</w:t>
            </w:r>
          </w:p>
        </w:tc>
        <w:tc>
          <w:tcPr>
            <w:tcW w:type="dxa" w:w="1872"/>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7"/>
              </w:rPr>
            </w:r>
            <w:r>
              <w:rPr>
                <w:rFonts w:ascii="Aptos" w:hAnsi="Aptos"/>
                <w:b w:val="0"/>
                <w:sz w:val="17"/>
              </w:rPr>
              <w:t>No ve el primer veredicto ni cambia la referencia tras observar salida.</w:t>
            </w:r>
          </w:p>
        </w:tc>
      </w:tr>
      <w:tr>
        <w:trPr>
          <w:cantSplit/>
        </w:trPr>
        <w:tc>
          <w:tcPr>
            <w:tcW w:type="dxa" w:w="1800"/>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Usuario</w:t>
            </w:r>
          </w:p>
        </w:tc>
        <w:tc>
          <w:tcPr>
            <w:tcW w:type="dxa" w:w="61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Aprueba Plan, resuelve disputas materiales y aprueba o rechaza el cierre.</w:t>
            </w:r>
          </w:p>
        </w:tc>
        <w:tc>
          <w:tcPr>
            <w:tcW w:type="dxa" w:w="187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No convierte una excepción en aprobación condicional.</w:t>
            </w:r>
          </w:p>
        </w:tc>
      </w:tr>
      <w:tr>
        <w:trPr>
          <w:cantSplit/>
        </w:trPr>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Implementación candidata</w:t>
            </w:r>
          </w:p>
        </w:tc>
        <w:tc>
          <w:tcPr>
            <w:tcW w:type="dxa" w:w="61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Objeto evaluado bajo versión y configuración congeladas.</w:t>
            </w:r>
          </w:p>
        </w:tc>
        <w:tc>
          <w:tcPr>
            <w:tcW w:type="dxa" w:w="187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No cambia durante una ejecución válida.</w:t>
            </w:r>
          </w:p>
        </w:tc>
      </w:tr>
    </w:tbl>
    <w:p>
      <w:pPr>
        <w:pStyle w:val="Heading2"/>
        <w:keepNext/>
        <w:spacing w:before="140" w:after="100"/>
      </w:pPr>
      <w:r>
        <w:rPr>
          <w:rFonts w:ascii="Aptos" w:hAnsi="Aptos"/>
          <w:b/>
          <w:i w:val="0"/>
          <w:color w:val="17365D"/>
          <w:sz w:val="27"/>
        </w:rPr>
        <w:t>6. Manifiesto del candidato de salida</w:t>
      </w:r>
    </w:p>
    <w:p>
      <w:pPr>
        <w:spacing w:after="80" w:line="259" w:lineRule="auto"/>
      </w:pPr>
      <w:r>
        <w:rPr>
          <w:rFonts w:ascii="Aptos" w:hAnsi="Aptos"/>
          <w:b w:val="0"/>
          <w:i w:val="0"/>
          <w:sz w:val="21"/>
        </w:rPr>
        <w:t>El Plan se aprueba antes de Arquitectura. El manifiesto se completa cuando exista un candidato estable; sus campos ya quedan definidos para evitar documentación nueva al final.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Campo</w:t>
            </w:r>
          </w:p>
        </w:tc>
        <w:tc>
          <w:tcPr>
            <w:tcW w:type="dxa" w:w="5112"/>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Contenido requerido</w:t>
            </w:r>
          </w:p>
        </w:tc>
        <w:tc>
          <w:tcPr>
            <w:tcW w:type="dxa" w:w="1800"/>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Regla de invalidación</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Identidad del candidato</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Versión de Sirius, commit o equivalente, fecha y responsable.</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Cualquier cambio material crea nuevo candidato.</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Producto canónico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Rector, Método, CT, B01–B08 y Plan aprobados.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Cambio canónico invalida evidencia afectada.</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Arquitectura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Versión aprobada y decisiones técnicas aplicables.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Cambio de comportamiento observable obliga regresión.</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Implementación</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Componentes, dependencias, migraciones y configuración material.</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Toda diferencia no registrada invalida ejecución.</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Datos de prueba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Versión del corpus, semillas y estado inicial.</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Cambio de corpus crea nueva ejecución.</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Parámetros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Límites, políticas, adaptadores y tolerancias configurables.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No pueden variar dentro de una ejecución.</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Arnés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Versión y capacidades del sistema de prueba.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Defecto del arnés exige repetición documentada.</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Fuentes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Fuentes obligatorias verificadas y estado de acceso.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Fuente no verificada bloquea cierre.</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Hallazgos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Lista de críticos/importantes cerrados.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Hallazgo abierto bloquea candidatura.</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Huella de evidencia</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Relación de ejecuciones y evidencias vinculadas.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Evidencia huérfana no cuenta.</w:t>
            </w:r>
          </w:p>
        </w:tc>
      </w:tr>
    </w:tbl>
    <w:p>
      <w:pPr>
        <w:pStyle w:val="Heading2"/>
        <w:keepNext/>
        <w:spacing w:before="140" w:after="100"/>
      </w:pPr>
      <w:r>
        <w:rPr>
          <w:rFonts w:ascii="Aptos" w:hAnsi="Aptos"/>
          <w:b/>
          <w:i w:val="0"/>
          <w:color w:val="17365D"/>
          <w:sz w:val="27"/>
        </w:rPr>
        <w:t>7. Unidad de caso y ficha obligatoria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Campo</w:t>
            </w:r>
          </w:p>
        </w:tc>
        <w:tc>
          <w:tcPr>
            <w:tcW w:type="dxa" w:w="5760"/>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Definición</w:t>
            </w:r>
          </w:p>
        </w:tc>
        <w:tc>
          <w:tcPr>
            <w:tcW w:type="dxa" w:w="1800"/>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Cuándo se congela</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ID y familia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Identificador estable, fuente canónica y familia obligatoria.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Al versionar corpus</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Objetivo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Comportamiento concreto que se intenta demostrar o romper.</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Entrada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Petición, conversación, documentos, estado y permisos controlados.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Unidad de trabajo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Objetivo, inicio y cierre de la unidad activa.</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Operación y modo</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Modo B04, operación B08 y subtipo C1/C5 si aplica.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Ámbito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Global, proyecto o lista multi-proyecto cerrada.</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Tiempo y corte</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Tiempo válido, registro, evento, objetivo y corte de conocimiento.</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Referencia</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Elementos, campos, estados, relaciones y respuesta esperados.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Criticidad</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Crítico, importante u ordinario y razón.</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Tolerancias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Orden, equivalencia, latencia o variación permitida.</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Señales observables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Texto, estado, conteos, IDs, pasos, tiempo y trazas permitidas.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Fallo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Condición exacta que invalida el caso o puerta.</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Antes de ejecutar</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Evidencia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Salida, comparación, traza segura y adjudicación.</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Después, sin alterar referencia</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Resultado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Superado, fallido, bloqueado, abierto o no evaluable justificado.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Tras adjudicación</w:t>
            </w:r>
          </w:p>
        </w:tc>
      </w:tr>
    </w:tbl>
    <w:p>
      <w:pPr>
        <w:pStyle w:val="Heading2"/>
        <w:keepNext/>
        <w:spacing w:before="140" w:after="100"/>
      </w:pPr>
      <w:r>
        <w:rPr>
          <w:rFonts w:ascii="Aptos" w:hAnsi="Aptos"/>
          <w:b/>
          <w:i w:val="0"/>
          <w:color w:val="17365D"/>
          <w:sz w:val="27"/>
        </w:rPr>
        <w:t>8. Corpus obligatorio</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blHeader w:val="true"/>
        </w:trPr>
        <w:tc>
          <w:tcPr>
            <w:tcW w:type="dxa" w:w="792"/>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ID</w:t>
            </w:r>
          </w:p>
        </w:tc>
        <w:tc>
          <w:tcPr>
            <w:tcW w:type="dxa" w:w="3096"/>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Familia</w:t>
            </w:r>
          </w:p>
        </w:tc>
        <w:tc>
          <w:tcPr>
            <w:tcW w:type="dxa" w:w="5976"/>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Cobertura mínima</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F01</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Consulta ordinaria actual</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Recuperación y paquete útil sin historia irrelevante.</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F02</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Tiempo válido</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Cómo estaba el mundo o proyecto en T.</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F03</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Corte de conocimiento</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Qué sabía Sirius en T, excluyendo registros posteriores.</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F04</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Historia y comparación</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Cronologías, versiones, sustituciones y comparación entre momentos.</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F05</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Candidatas</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Confirmar, editar, aplazar, rechazar, suprimir y presión masiva.</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F06</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Conflictos y autoridad</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Autoridad por dominio, lados incompatibles, parcialidad y escalado.</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F07</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Homónimos, alias y renombres</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Identidad longitudinal sin fusiones falsas.</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F08</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Multi-proyecto cerrado</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Aislamiento, relaciones y prohibición de ampliar ámbito.</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F09</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Futuro y fecha insuficiente</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No tratar futuro o sin fecha como actual.</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F10</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Soporte y fuentes</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Pluralidad, contradicción, fuente inaccesible y pérdida de soporte.</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F11</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Privacidad y no reportabilidad</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Pares con y sin contenido protegido o proyecto sensible.</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F12</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No guardar / no usar</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Restricciones retrospectivas y prospectivas.</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F13</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Borrado duro</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Contenido, derivados, relaciones, eventos y no reconstruibilidad.</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F14</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Límites y omisiones</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Objetivo, duro, críticos primero, PARCIAL y conteos seguros.</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F15</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Orden y compresión</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Sesgo posicional, proximidad, negación, condición y conflicto.</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F16</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Carga e interrupciones</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Una interrupción por unidad y agrupación de aclaraciones.</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F17</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Continuidad</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Reanudación tras inactividad, cambio de conversación o fase.</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F18</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Ciclo de vida y siguiente paso</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Estados explícitos, conflictos y propuestas efímeras.</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F19</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Control y operaciones</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Matriz de 14 operaciones, reversión, bloqueo y fallo.</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F20</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Exportación y reimportación</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Portabilidad, autoridad, diferencias e instrucciones incrustadas.</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F21</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Telemetría y trazas</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Autorización, retirada, retención y no reconstruibilidad.</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F22</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Neutralidad e interoperabilidad</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Implementaciones y consumidores independientes.</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F23</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Degradación segura</w:t>
            </w:r>
          </w:p>
        </w:tc>
        <w:tc>
          <w:tcPr>
            <w:tcW w:type="dxa" w:w="597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Fuente inaccesible, evidencia insuficiente y estados seguros.</w:t>
            </w:r>
          </w:p>
        </w:tc>
      </w:tr>
      <w:tr>
        <w:trPr>
          <w:cantSplit/>
        </w:trPr>
        <w:tc>
          <w:tcPr>
            <w:tcW w:type="dxa" w:w="79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F24</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Regresión y repetición</w:t>
            </w:r>
          </w:p>
        </w:tc>
        <w:tc>
          <w:tcPr>
            <w:tcW w:type="dxa" w:w="59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Cambios materiales, defecto de arnés y conservación de ejecuciones.</w:t>
            </w:r>
          </w:p>
        </w:tc>
      </w:tr>
      <w:tr>
        <w:trPr>
          <w:cantSplit/>
        </w:trPr>
        <w:tc>
          <w:tcPr>
            <w:tcW w:type="dxa" w:w="792"/>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F25</w:t>
            </w:r>
          </w:p>
        </w:tc>
        <w:tc>
          <w:tcPr>
            <w:tcW w:type="dxa" w:w="3096"/>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7"/>
              </w:rPr>
            </w:r>
            <w:r>
              <w:rPr>
                <w:rFonts w:ascii="Aptos" w:hAnsi="Aptos"/>
                <w:b w:val="0"/>
                <w:sz w:val="17"/>
              </w:rPr>
              <w:t>Comparación adicional con Sirius 0.1</w:t>
            </w:r>
          </w:p>
        </w:tc>
        <w:tc>
          <w:tcPr>
            <w:tcW w:type="dxa" w:w="5976"/>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7"/>
              </w:rPr>
              <w:t>Control congelado si es ejecutable. Si no lo es, se registra NO EJECUTABLE PROPUESTO y la obligación solo puede cambiar mediante corrección canónica aprobada de B01; permanecen obligatorios el control sin memoria y todas las puertas absolutas.</w:t>
            </w:r>
          </w:p>
        </w:tc>
      </w:tr>
    </w:tbl>
    <w:p>
      <w:pPr>
        <w:spacing w:after="80" w:line="259" w:lineRule="auto"/>
      </w:pPr>
      <w:r>
        <w:rPr>
          <w:rFonts w:ascii="Aptos" w:hAnsi="Aptos"/>
          <w:sz w:val="21"/>
        </w:rPr>
        <w:t>MÍNIMO CANÓNICO POR FAMILIA. Cada una de las 25 familias se considera superada únicamente si: (a) ejecuta todos los casos heredados y transversales que tenga asignados; (b) contiene al menos un caso positivo, uno negativo y uno adversarial distintos; (c) supera todas sus puertas y umbrales críticos; y (d) conserva evidencia reproducible. Una familia no ejecutada cuenta como no superada. El banco obligatorio sigue siendo de 276 casos heredados y 28 transversales —304 en total—; este mínimo no autoriza excluir ni sustituir casos.</w:t>
      </w:r>
    </w:p>
    <w:p>
      <w:pPr>
        <w:pStyle w:val="Heading2"/>
        <w:keepNext/>
        <w:spacing w:before="140" w:after="100"/>
      </w:pPr>
      <w:r>
        <w:rPr>
          <w:rFonts w:ascii="Aptos" w:hAnsi="Aptos"/>
          <w:b/>
          <w:i w:val="0"/>
          <w:color w:val="17365D"/>
          <w:sz w:val="27"/>
        </w:rPr>
        <w:t>9. Adopción de casos heredados y casos transversales</w:t>
      </w:r>
    </w:p>
    <w:p>
      <w:pPr>
        <w:spacing w:after="80" w:line="259" w:lineRule="auto"/>
      </w:pPr>
      <w:r>
        <w:rPr>
          <w:rFonts w:ascii="Aptos" w:hAnsi="Aptos"/>
          <w:sz w:val="21"/>
        </w:rPr>
        <w:t>Los 276 casos numerados aprobados de B02–B08 se incorporan por referencia exacta y congelada. B01 no contiene casos CA numerados: aporta preparaciones, familias, métricas y puertas. PDP-1.0 añade 28 casos transversales, para un banco obligatorio de 304 casos identificables. La materialización puede ser incremental, pero el cierre exige cobertura completa o una no aplicabilidad expresamente aprobada por fuente canónica.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blHeader w:val="true"/>
        </w:trPr>
        <w:tc>
          <w:tcPr>
            <w:tcW w:type="dxa" w:w="1080"/>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color w:val="FFFFFF"/>
                <w:sz w:val="17"/>
              </w:rPr>
            </w:r>
            <w:r>
              <w:rPr>
                <w:rFonts w:ascii="Aptos" w:hAnsi="Aptos"/>
                <w:b/>
                <w:color w:val="FFFFFF"/>
                <w:sz w:val="17"/>
              </w:rPr>
              <w:t>Origen</w:t>
            </w:r>
          </w:p>
        </w:tc>
        <w:tc>
          <w:tcPr>
            <w:tcW w:type="dxa" w:w="2592"/>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color w:val="FFFFFF"/>
                <w:sz w:val="17"/>
              </w:rPr>
            </w:r>
            <w:r>
              <w:rPr>
                <w:rFonts w:ascii="Aptos" w:hAnsi="Aptos"/>
                <w:b/>
                <w:color w:val="FFFFFF"/>
                <w:sz w:val="17"/>
              </w:rPr>
              <w:t>Casos heredados</w:t>
            </w:r>
          </w:p>
        </w:tc>
        <w:tc>
          <w:tcPr>
            <w:tcW w:type="dxa" w:w="6120"/>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color w:val="FFFFFF"/>
                <w:sz w:val="17"/>
              </w:rPr>
            </w:r>
            <w:r>
              <w:rPr>
                <w:rFonts w:ascii="Aptos" w:hAnsi="Aptos"/>
                <w:b/>
                <w:color w:val="FFFFFF"/>
                <w:sz w:val="17"/>
              </w:rPr>
              <w:t>Regla de adopción</w:t>
            </w:r>
          </w:p>
        </w:tc>
      </w:tr>
      <w:tr>
        <w:tc>
          <w:tcPr>
            <w:tcW w:type="dxa" w:w="108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B01</w:t>
            </w:r>
          </w:p>
        </w:tc>
        <w:tc>
          <w:tcPr>
            <w:tcW w:type="dxa" w:w="2592"/>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Sin CA numerados</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Preparaciones, familias, métricas M01–M13 y puertas G1–G7; no se inventa un total de casos.</w:t>
            </w:r>
          </w:p>
        </w:tc>
      </w:tr>
      <w:tr>
        <w:tc>
          <w:tcPr>
            <w:tcW w:type="dxa" w:w="108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B02</w:t>
            </w:r>
          </w:p>
        </w:tc>
        <w:tc>
          <w:tcPr>
            <w:tcW w:type="dxa" w:w="2592"/>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CA-01–CA-22 (22)</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Adopción exacta por ID y versión 1.1.</w:t>
            </w:r>
          </w:p>
        </w:tc>
      </w:tr>
      <w:tr>
        <w:tc>
          <w:tcPr>
            <w:tcW w:type="dxa" w:w="108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B03</w:t>
            </w:r>
          </w:p>
        </w:tc>
        <w:tc>
          <w:tcPr>
            <w:tcW w:type="dxa" w:w="2592"/>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CA-01–CA-32 (32)</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Adopción exacta por ID y versión 1.0.</w:t>
            </w:r>
          </w:p>
        </w:tc>
      </w:tr>
      <w:tr>
        <w:tc>
          <w:tcPr>
            <w:tcW w:type="dxa" w:w="108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B04</w:t>
            </w:r>
          </w:p>
        </w:tc>
        <w:tc>
          <w:tcPr>
            <w:tcW w:type="dxa" w:w="2592"/>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CA-01–CA-50 (50)</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Adopción exacta por ID y versión 1.0.</w:t>
            </w:r>
          </w:p>
        </w:tc>
      </w:tr>
      <w:tr>
        <w:tc>
          <w:tcPr>
            <w:tcW w:type="dxa" w:w="108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B05</w:t>
            </w:r>
          </w:p>
        </w:tc>
        <w:tc>
          <w:tcPr>
            <w:tcW w:type="dxa" w:w="2592"/>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CA-01–CA-31 (31)</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Adopción exacta por ID y versión 1.0.</w:t>
            </w:r>
          </w:p>
        </w:tc>
      </w:tr>
      <w:tr>
        <w:tc>
          <w:tcPr>
            <w:tcW w:type="dxa" w:w="108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B06</w:t>
            </w:r>
          </w:p>
        </w:tc>
        <w:tc>
          <w:tcPr>
            <w:tcW w:type="dxa" w:w="2592"/>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CA-01–CA-38 (38)</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Adopción exacta por ID y versión 1.0.</w:t>
            </w:r>
          </w:p>
        </w:tc>
      </w:tr>
      <w:tr>
        <w:tc>
          <w:tcPr>
            <w:tcW w:type="dxa" w:w="108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B07</w:t>
            </w:r>
          </w:p>
        </w:tc>
        <w:tc>
          <w:tcPr>
            <w:tcW w:type="dxa" w:w="2592"/>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CA-01–CA-46 (46)</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Adopción exacta por ID y versión 1.0.</w:t>
            </w:r>
          </w:p>
        </w:tc>
      </w:tr>
      <w:tr>
        <w:tc>
          <w:tcPr>
            <w:tcW w:type="dxa" w:w="108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B08</w:t>
            </w:r>
          </w:p>
        </w:tc>
        <w:tc>
          <w:tcPr>
            <w:tcW w:type="dxa" w:w="2592"/>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CA-01–CA-57 (57)</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Adopción exacta por ID y versión 1.0.</w:t>
            </w:r>
          </w:p>
        </w:tc>
      </w:tr>
      <w:tr>
        <w:tc>
          <w:tcPr>
            <w:tcW w:type="dxa" w:w="108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TOTAL</w:t>
            </w:r>
          </w:p>
        </w:tc>
        <w:tc>
          <w:tcPr>
            <w:tcW w:type="dxa" w:w="2592"/>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276 heredados</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Más 28 transversales PDP = 304 casos obligatorios identificables.</w:t>
            </w:r>
          </w:p>
        </w:tc>
      </w:tr>
    </w:tbl>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blHeader w:val="true"/>
        </w:trPr>
        <w:tc>
          <w:tcPr>
            <w:tcW w:type="dxa" w:w="1368"/>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ID</w:t>
            </w:r>
          </w:p>
        </w:tc>
        <w:tc>
          <w:tcPr>
            <w:tcW w:type="dxa" w:w="4032"/>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Entrada adversarial</w:t>
            </w:r>
          </w:p>
        </w:tc>
        <w:tc>
          <w:tcPr>
            <w:tcW w:type="dxa" w:w="4968"/>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Resultado esperado</w:t>
            </w:r>
          </w:p>
        </w:tc>
      </w:tr>
      <w:tr>
        <w:trPr>
          <w:cantSplit/>
        </w:trPr>
        <w:tc>
          <w:tcPr>
            <w:tcW w:type="dxa" w:w="13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PDP-CA-01</w:t>
            </w:r>
          </w:p>
        </w:tc>
        <w:tc>
          <w:tcPr>
            <w:tcW w:type="dxa" w:w="403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Fila RED omitida</w:t>
            </w:r>
          </w:p>
        </w:tc>
        <w:tc>
          <w:tcPr>
            <w:tcW w:type="dxa" w:w="49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M29 falla y el Plan queda incompleto.</w:t>
            </w:r>
          </w:p>
        </w:tc>
      </w:tr>
      <w:tr>
        <w:trPr>
          <w:cantSplit/>
        </w:trPr>
        <w:tc>
          <w:tcPr>
            <w:tcW w:type="dxa" w:w="13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PDP-CA-02</w:t>
            </w:r>
          </w:p>
        </w:tc>
        <w:tc>
          <w:tcPr>
            <w:tcW w:type="dxa" w:w="40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Referencia cambiada tras ver resultado</w:t>
            </w:r>
          </w:p>
        </w:tc>
        <w:tc>
          <w:tcPr>
            <w:tcW w:type="dxa" w:w="49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La ejecución falla; la corrección crea nueva versión del caso.</w:t>
            </w:r>
          </w:p>
        </w:tc>
      </w:tr>
      <w:tr>
        <w:trPr>
          <w:cantSplit/>
        </w:trPr>
        <w:tc>
          <w:tcPr>
            <w:tcW w:type="dxa" w:w="13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PDP-CA-03</w:t>
            </w:r>
          </w:p>
        </w:tc>
        <w:tc>
          <w:tcPr>
            <w:tcW w:type="dxa" w:w="403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Repetición sin cambio ni defecto</w:t>
            </w:r>
          </w:p>
        </w:tc>
        <w:tc>
          <w:tcPr>
            <w:tcW w:type="dxa" w:w="49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La repetición es inválida y el fallo anterior permanece.</w:t>
            </w:r>
          </w:p>
        </w:tc>
      </w:tr>
      <w:tr>
        <w:trPr>
          <w:cantSplit/>
        </w:trPr>
        <w:tc>
          <w:tcPr>
            <w:tcW w:type="dxa" w:w="13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PDP-CA-04</w:t>
            </w:r>
          </w:p>
        </w:tc>
        <w:tc>
          <w:tcPr>
            <w:tcW w:type="dxa" w:w="40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Familia difícil excluida</w:t>
            </w:r>
          </w:p>
        </w:tc>
        <w:tc>
          <w:tcPr>
            <w:tcW w:type="dxa" w:w="49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Mínimo por familia y puerta de corpus fallan.</w:t>
            </w:r>
          </w:p>
        </w:tc>
      </w:tr>
      <w:tr>
        <w:trPr>
          <w:cantSplit/>
        </w:trPr>
        <w:tc>
          <w:tcPr>
            <w:tcW w:type="dxa" w:w="13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PDP-CA-05</w:t>
            </w:r>
          </w:p>
        </w:tc>
        <w:tc>
          <w:tcPr>
            <w:tcW w:type="dxa" w:w="403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Promedio alto con una fuga</w:t>
            </w:r>
          </w:p>
        </w:tc>
        <w:tc>
          <w:tcPr>
            <w:tcW w:type="dxa" w:w="49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La puerta absoluta falla.</w:t>
            </w:r>
          </w:p>
        </w:tc>
      </w:tr>
      <w:tr>
        <w:trPr>
          <w:cantSplit/>
        </w:trPr>
        <w:tc>
          <w:tcPr>
            <w:tcW w:type="dxa" w:w="13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PDP-CA-06</w:t>
            </w:r>
          </w:p>
        </w:tc>
        <w:tc>
          <w:tcPr>
            <w:tcW w:type="dxa" w:w="40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Candidato cambia durante ejecución</w:t>
            </w:r>
          </w:p>
        </w:tc>
        <w:tc>
          <w:tcPr>
            <w:tcW w:type="dxa" w:w="49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La ejecución queda inválida.</w:t>
            </w:r>
          </w:p>
        </w:tc>
      </w:tr>
      <w:tr>
        <w:trPr>
          <w:cantSplit/>
        </w:trPr>
        <w:tc>
          <w:tcPr>
            <w:tcW w:type="dxa" w:w="13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PDP-CA-07</w:t>
            </w:r>
          </w:p>
        </w:tc>
        <w:tc>
          <w:tcPr>
            <w:tcW w:type="dxa" w:w="403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Desacuerdo crítico sin resolución</w:t>
            </w:r>
          </w:p>
        </w:tc>
        <w:tc>
          <w:tcPr>
            <w:tcW w:type="dxa" w:w="49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Caso abierto y no superado.</w:t>
            </w:r>
          </w:p>
        </w:tc>
      </w:tr>
      <w:tr>
        <w:trPr>
          <w:cantSplit/>
        </w:trPr>
        <w:tc>
          <w:tcPr>
            <w:tcW w:type="dxa" w:w="13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PDP-CA-08</w:t>
            </w:r>
          </w:p>
        </w:tc>
        <w:tc>
          <w:tcPr>
            <w:tcW w:type="dxa" w:w="40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Arnés defectuoso documentado</w:t>
            </w:r>
          </w:p>
        </w:tc>
        <w:tc>
          <w:tcPr>
            <w:tcW w:type="dxa" w:w="49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Se repite conservando ambas ejecuciones.</w:t>
            </w:r>
          </w:p>
        </w:tc>
      </w:tr>
      <w:tr>
        <w:trPr>
          <w:cantSplit/>
        </w:trPr>
        <w:tc>
          <w:tcPr>
            <w:tcW w:type="dxa" w:w="13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PDP-CA-09</w:t>
            </w:r>
          </w:p>
        </w:tc>
        <w:tc>
          <w:tcPr>
            <w:tcW w:type="dxa" w:w="403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Dos consumidores con librería específica compartida</w:t>
            </w:r>
          </w:p>
        </w:tc>
        <w:tc>
          <w:tcPr>
            <w:tcW w:type="dxa" w:w="49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No cuentan como independientes.</w:t>
            </w:r>
          </w:p>
        </w:tc>
      </w:tr>
      <w:tr>
        <w:trPr>
          <w:cantSplit/>
        </w:trPr>
        <w:tc>
          <w:tcPr>
            <w:tcW w:type="dxa" w:w="13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PDP-CA-10</w:t>
            </w:r>
          </w:p>
        </w:tc>
        <w:tc>
          <w:tcPr>
            <w:tcW w:type="dxa" w:w="40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Campo crítico no preservado en exportación</w:t>
            </w:r>
          </w:p>
        </w:tc>
        <w:tc>
          <w:tcPr>
            <w:tcW w:type="dxa" w:w="49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Portabilidad falla aunque el archivo sea legible.</w:t>
            </w:r>
          </w:p>
        </w:tc>
      </w:tr>
      <w:tr>
        <w:trPr>
          <w:cantSplit/>
        </w:trPr>
        <w:tc>
          <w:tcPr>
            <w:tcW w:type="dxa" w:w="13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PDP-CA-11</w:t>
            </w:r>
          </w:p>
        </w:tc>
        <w:tc>
          <w:tcPr>
            <w:tcW w:type="dxa" w:w="403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Puerta fallida compensada por promedio</w:t>
            </w:r>
          </w:p>
        </w:tc>
        <w:tc>
          <w:tcPr>
            <w:tcW w:type="dxa" w:w="49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Cierre bloqueado.</w:t>
            </w:r>
          </w:p>
        </w:tc>
      </w:tr>
      <w:tr>
        <w:trPr>
          <w:cantSplit/>
        </w:trPr>
        <w:tc>
          <w:tcPr>
            <w:tcW w:type="dxa" w:w="13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PDP-CA-12</w:t>
            </w:r>
          </w:p>
        </w:tc>
        <w:tc>
          <w:tcPr>
            <w:tcW w:type="dxa" w:w="40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Fuente obligatoria no verificada</w:t>
            </w:r>
          </w:p>
        </w:tc>
        <w:tc>
          <w:tcPr>
            <w:tcW w:type="dxa" w:w="49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Candidato no elegible.</w:t>
            </w:r>
          </w:p>
        </w:tc>
      </w:tr>
      <w:tr>
        <w:trPr>
          <w:cantSplit/>
        </w:trPr>
        <w:tc>
          <w:tcPr>
            <w:tcW w:type="dxa" w:w="13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PDP-CA-13</w:t>
            </w:r>
          </w:p>
        </w:tc>
        <w:tc>
          <w:tcPr>
            <w:tcW w:type="dxa" w:w="403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Borrado no demostrable en un soporte</w:t>
            </w:r>
          </w:p>
        </w:tc>
        <w:tc>
          <w:tcPr>
            <w:tcW w:type="dxa" w:w="49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Operación y salida bloqueadas.</w:t>
            </w:r>
          </w:p>
        </w:tc>
      </w:tr>
      <w:tr>
        <w:trPr>
          <w:cantSplit/>
        </w:trPr>
        <w:tc>
          <w:tcPr>
            <w:tcW w:type="dxa" w:w="13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PDP-CA-14</w:t>
            </w:r>
          </w:p>
        </w:tc>
        <w:tc>
          <w:tcPr>
            <w:tcW w:type="dxa" w:w="40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Carga excede presupuesto</w:t>
            </w:r>
          </w:p>
        </w:tc>
        <w:tc>
          <w:tcPr>
            <w:tcW w:type="dxa" w:w="49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Puerta de experiencia falla.</w:t>
            </w:r>
          </w:p>
        </w:tc>
      </w:tr>
      <w:tr>
        <w:trPr>
          <w:cantSplit/>
        </w:trPr>
        <w:tc>
          <w:tcPr>
            <w:tcW w:type="dxa" w:w="13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PDP-CA-15</w:t>
            </w:r>
          </w:p>
        </w:tc>
        <w:tc>
          <w:tcPr>
            <w:tcW w:type="dxa" w:w="403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Métrica sin denominador externo</w:t>
            </w:r>
          </w:p>
        </w:tc>
        <w:tc>
          <w:tcPr>
            <w:tcW w:type="dxa" w:w="49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Métrica no adjudicable y cierre bloqueado.</w:t>
            </w:r>
          </w:p>
        </w:tc>
      </w:tr>
      <w:tr>
        <w:trPr>
          <w:cantSplit/>
        </w:trPr>
        <w:tc>
          <w:tcPr>
            <w:tcW w:type="dxa" w:w="13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PDP-CA-16</w:t>
            </w:r>
          </w:p>
        </w:tc>
        <w:tc>
          <w:tcPr>
            <w:tcW w:type="dxa" w:w="40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Evidencia no reproduce versión/configuración</w:t>
            </w:r>
          </w:p>
        </w:tc>
        <w:tc>
          <w:tcPr>
            <w:tcW w:type="dxa" w:w="49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Caso no cuenta.</w:t>
            </w:r>
          </w:p>
        </w:tc>
      </w:tr>
      <w:tr>
        <w:trPr>
          <w:cantSplit/>
        </w:trPr>
        <w:tc>
          <w:tcPr>
            <w:tcW w:type="dxa" w:w="13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PDP-CA-17</w:t>
            </w:r>
          </w:p>
        </w:tc>
        <w:tc>
          <w:tcPr>
            <w:tcW w:type="dxa" w:w="403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Cambio de tolerancia tras salida</w:t>
            </w:r>
          </w:p>
        </w:tc>
        <w:tc>
          <w:tcPr>
            <w:tcW w:type="dxa" w:w="49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Ejecución inválida.</w:t>
            </w:r>
          </w:p>
        </w:tc>
      </w:tr>
      <w:tr>
        <w:trPr>
          <w:cantSplit/>
        </w:trPr>
        <w:tc>
          <w:tcPr>
            <w:tcW w:type="dxa" w:w="13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PDP-CA-18</w:t>
            </w:r>
          </w:p>
        </w:tc>
        <w:tc>
          <w:tcPr>
            <w:tcW w:type="dxa" w:w="40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Caso marcado no evaluable para ocultar fallo</w:t>
            </w:r>
          </w:p>
        </w:tc>
        <w:tc>
          <w:tcPr>
            <w:tcW w:type="dxa" w:w="49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Permanece en denominador y bloquea.</w:t>
            </w:r>
          </w:p>
        </w:tc>
      </w:tr>
      <w:tr>
        <w:trPr>
          <w:cantSplit/>
        </w:trPr>
        <w:tc>
          <w:tcPr>
            <w:tcW w:type="dxa" w:w="13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PDP-CA-19</w:t>
            </w:r>
          </w:p>
        </w:tc>
        <w:tc>
          <w:tcPr>
            <w:tcW w:type="dxa" w:w="403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Nueva decisión canónica tras pruebas</w:t>
            </w:r>
          </w:p>
        </w:tc>
        <w:tc>
          <w:tcPr>
            <w:tcW w:type="dxa" w:w="49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Regresión dirigida y nueva versión de candidato.</w:t>
            </w:r>
          </w:p>
        </w:tc>
      </w:tr>
      <w:tr>
        <w:trPr>
          <w:cantSplit/>
        </w:trPr>
        <w:tc>
          <w:tcPr>
            <w:tcW w:type="dxa" w:w="13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PDP-CA-20</w:t>
            </w:r>
          </w:p>
        </w:tc>
        <w:tc>
          <w:tcPr>
            <w:tcW w:type="dxa" w:w="403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Solicitud de aprobación condicional</w:t>
            </w:r>
          </w:p>
        </w:tc>
        <w:tc>
          <w:tcPr>
            <w:tcW w:type="dxa" w:w="49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Acta rechazada; no existe dispensa.</w:t>
            </w:r>
          </w:p>
        </w:tc>
      </w:tr>
      <w:tr>
        <w:tc>
          <w:tcPr>
            <w:tcW w:type="dxa" w:w="136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PDP-CA-21</w:t>
            </w:r>
          </w:p>
        </w:tc>
        <w:tc>
          <w:tcPr>
            <w:tcW w:type="dxa" w:w="4032"/>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Una delegación B08 no entra en RED</w:t>
            </w:r>
          </w:p>
        </w:tc>
        <w:tc>
          <w:tcPr>
            <w:tcW w:type="dxa" w:w="49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PDP-M01/M02 fallan; el denominador no puede congelarse.</w:t>
            </w:r>
          </w:p>
        </w:tc>
      </w:tr>
      <w:tr>
        <w:tc>
          <w:tcPr>
            <w:tcW w:type="dxa" w:w="136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PDP-CA-22</w:t>
            </w:r>
          </w:p>
        </w:tc>
        <w:tc>
          <w:tcPr>
            <w:tcW w:type="dxa" w:w="4032"/>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Dos consumidores usan el mismo intérprete con configuraciones distintas</w:t>
            </w:r>
          </w:p>
        </w:tc>
        <w:tc>
          <w:tcPr>
            <w:tcW w:type="dxa" w:w="49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Cuentan como un solo consumidor; portabilidad no superada.</w:t>
            </w:r>
          </w:p>
        </w:tc>
      </w:tr>
      <w:tr>
        <w:tc>
          <w:tcPr>
            <w:tcW w:type="dxa" w:w="136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PDP-CA-23</w:t>
            </w:r>
          </w:p>
        </w:tc>
        <w:tc>
          <w:tcPr>
            <w:tcW w:type="dxa" w:w="4032"/>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Segunda revisión ve primer veredicto o comparte contexto</w:t>
            </w:r>
          </w:p>
        </w:tc>
        <w:tc>
          <w:tcPr>
            <w:tcW w:type="dxa" w:w="49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No es independiente; el caso crítico permanece abierto.</w:t>
            </w:r>
          </w:p>
        </w:tc>
      </w:tr>
      <w:tr>
        <w:tc>
          <w:tcPr>
            <w:tcW w:type="dxa" w:w="136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PDP-CA-24</w:t>
            </w:r>
          </w:p>
        </w:tc>
        <w:tc>
          <w:tcPr>
            <w:tcW w:type="dxa" w:w="4032"/>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M15/M16 se ejecutan sin ventana, denominador o control prefijados</w:t>
            </w:r>
          </w:p>
        </w:tc>
        <w:tc>
          <w:tcPr>
            <w:tcW w:type="dxa" w:w="49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La métrica longitudinal es inválida y no aporta cierre.</w:t>
            </w:r>
          </w:p>
        </w:tc>
      </w:tr>
      <w:tr>
        <w:tc>
          <w:tcPr>
            <w:tcW w:type="dxa" w:w="136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PDP-CA-25</w:t>
            </w:r>
          </w:p>
        </w:tc>
        <w:tc>
          <w:tcPr>
            <w:tcW w:type="dxa" w:w="4032"/>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Sirius 0.1 no puede ejecutarse en condiciones equivalentes</w:t>
            </w:r>
          </w:p>
        </w:tc>
        <w:tc>
          <w:tcPr>
            <w:tcW w:type="dxa" w:w="4968"/>
            <w:vAlign w:val="center"/>
            <w:tcMar>
              <w:top w:w="80" w:type="dxa"/>
              <w:start w:w="90" w:type="dxa"/>
              <w:bottom w:w="80" w:type="dxa"/>
              <w:end w:w="90" w:type="dxa"/>
            </w:tcMar>
          </w:tcPr>
          <w:p>
            <w:pPr>
              <w:spacing w:after="0" w:before="0" w:line="240" w:lineRule="auto"/>
              <w:jc w:val="left"/>
            </w:pPr>
            <w:r>
              <w:rPr>
                <w:rFonts w:ascii="Aptos" w:hAnsi="Aptos"/>
                <w:sz w:val="16"/>
              </w:rPr>
              <w:t>Se registra NO EJECUTABLE PROPUESTO; sin corrección canónica aprobada de B01, M13/F25 permanece abierto y no se imputa puntuación.</w:t>
            </w:r>
          </w:p>
        </w:tc>
      </w:tr>
      <w:tr>
        <w:tc>
          <w:tcPr>
            <w:tcW w:type="dxa" w:w="136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PDP-CA-26</w:t>
            </w:r>
          </w:p>
        </w:tc>
        <w:tc>
          <w:tcPr>
            <w:tcW w:type="dxa" w:w="4032"/>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Cambio no relacionado intenta invalidar todo el banco</w:t>
            </w:r>
          </w:p>
        </w:tc>
        <w:tc>
          <w:tcPr>
            <w:tcW w:type="dxa" w:w="49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Solo se repite el impacto demostrado; evidencia no afectada se conserva.</w:t>
            </w:r>
          </w:p>
        </w:tc>
      </w:tr>
      <w:tr>
        <w:tc>
          <w:tcPr>
            <w:tcW w:type="dxa" w:w="136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PDP-CA-27</w:t>
            </w:r>
          </w:p>
        </w:tc>
        <w:tc>
          <w:tcPr>
            <w:tcW w:type="dxa" w:w="4032"/>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Banco contiene solo casos adversariales y omite uso ordinario</w:t>
            </w:r>
          </w:p>
        </w:tc>
        <w:tc>
          <w:tcPr>
            <w:tcW w:type="dxa" w:w="49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Cobertura de familia incompleta; no puede cerrar.</w:t>
            </w:r>
          </w:p>
        </w:tc>
      </w:tr>
      <w:tr>
        <w:tc>
          <w:tcPr>
            <w:tcW w:type="dxa" w:w="136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PDP-CA-28</w:t>
            </w:r>
          </w:p>
        </w:tc>
        <w:tc>
          <w:tcPr>
            <w:tcW w:type="dxa" w:w="4032"/>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Fila RED en estado ABIERTA</w:t>
            </w:r>
          </w:p>
        </w:tc>
        <w:tc>
          <w:tcPr>
            <w:tcW w:type="dxa" w:w="49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Permanece en el denominador y bloquea el cierre.</w:t>
            </w:r>
          </w:p>
        </w:tc>
      </w:tr>
    </w:tbl>
    <w:p>
      <w:pPr>
        <w:pStyle w:val="Heading2"/>
        <w:keepNext/>
        <w:spacing w:before="140" w:after="100"/>
      </w:pPr>
      <w:r>
        <w:rPr>
          <w:rFonts w:ascii="Aptos" w:hAnsi="Aptos"/>
          <w:b/>
          <w:i w:val="0"/>
          <w:color w:val="17365D"/>
          <w:sz w:val="27"/>
        </w:rPr>
        <w:t>10. Referencias, tolerancias y adjudicación</w:t>
      </w:r>
    </w:p>
    <w:p>
      <w:pPr>
        <w:pStyle w:val="ListBullet"/>
        <w:spacing w:after="50"/>
        <w:ind w:left="317"/>
      </w:pPr>
      <w:r>
        <w:rPr>
          <w:rFonts w:ascii="Aptos" w:hAnsi="Aptos"/>
          <w:b w:val="0"/>
          <w:i w:val="0"/>
          <w:sz w:val="20"/>
        </w:rPr>
        <w:t>La referencia se prepara antes de ejecutar e incluye elementos esperados, prohibidos, estados, relaciones, omisiones, criticidad y resultado correcto.</w:t>
      </w:r>
    </w:p>
    <w:p>
      <w:pPr>
        <w:pStyle w:val="ListBullet"/>
        <w:spacing w:after="50"/>
        <w:ind w:left="317"/>
      </w:pPr>
      <w:r>
        <w:rPr>
          <w:rFonts w:ascii="Aptos" w:hAnsi="Aptos"/>
        </w:rPr>
        <w:t>Los casos críticos o ambiguos reciben dos adjudicaciones independientes. En un equipo unipersonal, la segunda se realiza en un contexto de revisión separado, sin el primer dictamen ni la etiqueta del candidato y con la referencia congelada. Si no puede demostrarse esa separación, el caso permanece abierto. El usuario resuelve el desacuerdo material final.</w:t>
      </w:r>
    </w:p>
    <w:p>
      <w:pPr>
        <w:pStyle w:val="ListBullet"/>
        <w:spacing w:after="50"/>
        <w:ind w:left="317"/>
      </w:pPr>
      <w:r>
        <w:rPr>
          <w:rFonts w:ascii="Aptos" w:hAnsi="Aptos"/>
        </w:rPr>
        <w:t>El cegamiento se aplica siempre que la salida pueda anonimizarse sin perder evidencia. La identidad del candidato, el primer veredicto y el historial de intentos no se muestran al segundo revisor; la imposibilidad de cegar se registra por caso.</w:t>
      </w:r>
    </w:p>
    <w:p>
      <w:pPr>
        <w:pStyle w:val="ListBullet"/>
        <w:spacing w:after="50"/>
        <w:ind w:left="317"/>
      </w:pPr>
      <w:r>
        <w:rPr>
          <w:rFonts w:ascii="Aptos" w:hAnsi="Aptos"/>
        </w:rPr>
        <w:t>Las tolerancias se gobiernan mediante el Registro de Tolerancias siguiente. Toda regla se congela antes de observar resultados. Un valor dependiente del candidato puede diferirse únicamente cuando la regla de derivación, el punto de congelación y la evidencia exigida ya están aprobados. Una fila ABIERTA bloquea la aprobación del Plan; el PDP no puede cerrarla después de ver resultados.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1F4E78"/>
            <w:tcMar>
              <w:top w:w="90" w:type="dxa"/>
              <w:start w:w="110" w:type="dxa"/>
              <w:bottom w:w="90" w:type="dxa"/>
              <w:end w:w="110" w:type="dxa"/>
            </w:tcMar>
          </w:tcPr>
          <w:p>
            <w:pPr>
              <w:jc w:val="center"/>
            </w:pPr>
            <w:r>
              <w:rPr>
                <w:b/>
                <w:color w:val="FFFFFF"/>
              </w:rPr>
              <w:t>ID</w:t>
            </w:r>
          </w:p>
        </w:tc>
        <w:tc>
          <w:tcPr>
            <w:tcW w:type="dxa" w:w="2556"/>
            <w:vAlign w:val="center"/>
            <w:shd w:fill="1F4E78"/>
            <w:tcMar>
              <w:top w:w="90" w:type="dxa"/>
              <w:start w:w="110" w:type="dxa"/>
              <w:bottom w:w="90" w:type="dxa"/>
              <w:end w:w="110" w:type="dxa"/>
            </w:tcMar>
          </w:tcPr>
          <w:p>
            <w:pPr>
              <w:jc w:val="center"/>
            </w:pPr>
            <w:r>
              <w:rPr>
                <w:b/>
                <w:color w:val="FFFFFF"/>
              </w:rPr>
              <w:t>Tolerancia o criterio</w:t>
            </w:r>
          </w:p>
        </w:tc>
        <w:tc>
          <w:tcPr>
            <w:tcW w:type="dxa" w:w="2556"/>
            <w:vAlign w:val="center"/>
            <w:shd w:fill="1F4E78"/>
            <w:tcMar>
              <w:top w:w="90" w:type="dxa"/>
              <w:start w:w="110" w:type="dxa"/>
              <w:bottom w:w="90" w:type="dxa"/>
              <w:end w:w="110" w:type="dxa"/>
            </w:tcMar>
          </w:tcPr>
          <w:p>
            <w:pPr>
              <w:jc w:val="center"/>
            </w:pPr>
            <w:r>
              <w:rPr>
                <w:b/>
                <w:color w:val="FFFFFF"/>
              </w:rPr>
              <w:t>Regla congelada</w:t>
            </w:r>
          </w:p>
        </w:tc>
        <w:tc>
          <w:tcPr>
            <w:tcW w:type="dxa" w:w="2556"/>
            <w:vAlign w:val="center"/>
            <w:shd w:fill="1F4E78"/>
            <w:tcMar>
              <w:top w:w="90" w:type="dxa"/>
              <w:start w:w="110" w:type="dxa"/>
              <w:bottom w:w="90" w:type="dxa"/>
              <w:end w:w="110" w:type="dxa"/>
            </w:tcMar>
          </w:tcPr>
          <w:p>
            <w:pPr>
              <w:jc w:val="center"/>
            </w:pPr>
            <w:r>
              <w:rPr>
                <w:b/>
                <w:color w:val="FFFFFF"/>
              </w:rPr>
              <w:t>Estado</w:t>
            </w:r>
          </w:p>
        </w:tc>
      </w:tr>
      <w:tr>
        <w:tc>
          <w:tcPr>
            <w:tcW w:type="dxa" w:w="2556"/>
            <w:vAlign w:val="center"/>
            <w:tcMar>
              <w:top w:w="90" w:type="dxa"/>
              <w:start w:w="110" w:type="dxa"/>
              <w:bottom w:w="90" w:type="dxa"/>
              <w:end w:w="110" w:type="dxa"/>
            </w:tcMar>
          </w:tcPr>
          <w:p>
            <w:r>
              <w:t>TOL-001</w:t>
            </w:r>
          </w:p>
        </w:tc>
        <w:tc>
          <w:tcPr>
            <w:tcW w:type="dxa" w:w="2556"/>
            <w:vAlign w:val="center"/>
            <w:tcMar>
              <w:top w:w="90" w:type="dxa"/>
              <w:start w:w="110" w:type="dxa"/>
              <w:bottom w:w="90" w:type="dxa"/>
              <w:end w:w="110" w:type="dxa"/>
            </w:tcMar>
          </w:tcPr>
          <w:p>
            <w:r>
              <w:t>Orden y equivalencia B04/B05</w:t>
            </w:r>
          </w:p>
        </w:tc>
        <w:tc>
          <w:tcPr>
            <w:tcW w:type="dxa" w:w="2556"/>
            <w:vAlign w:val="center"/>
            <w:tcMar>
              <w:top w:w="90" w:type="dxa"/>
              <w:start w:w="110" w:type="dxa"/>
              <w:bottom w:w="90" w:type="dxa"/>
              <w:end w:w="110" w:type="dxa"/>
            </w:tcMar>
          </w:tcPr>
          <w:p>
            <w:r>
              <w:t>Mismos críticos, estados, razones y dependencias. El orden no crítico solo puede variar dentro de una clase de equivalencia prefijada y sin alterar el resultado material. 100 % críticos; ≥95 % global.</w:t>
            </w:r>
          </w:p>
        </w:tc>
        <w:tc>
          <w:tcPr>
            <w:tcW w:type="dxa" w:w="2556"/>
            <w:vAlign w:val="center"/>
            <w:tcMar>
              <w:top w:w="90" w:type="dxa"/>
              <w:start w:w="110" w:type="dxa"/>
              <w:bottom w:w="90" w:type="dxa"/>
              <w:end w:w="110" w:type="dxa"/>
            </w:tcMar>
          </w:tcPr>
          <w:p>
            <w:r>
              <w:t>CONFIRMADA</w:t>
            </w:r>
          </w:p>
        </w:tc>
      </w:tr>
      <w:tr>
        <w:tc>
          <w:tcPr>
            <w:tcW w:type="dxa" w:w="2556"/>
            <w:vAlign w:val="center"/>
            <w:tcMar>
              <w:top w:w="90" w:type="dxa"/>
              <w:start w:w="110" w:type="dxa"/>
              <w:bottom w:w="90" w:type="dxa"/>
              <w:end w:w="110" w:type="dxa"/>
            </w:tcMar>
            <w:shd w:fill="EAF2F8"/>
          </w:tcPr>
          <w:p>
            <w:r>
              <w:t>TOL-002</w:t>
            </w:r>
          </w:p>
        </w:tc>
        <w:tc>
          <w:tcPr>
            <w:tcW w:type="dxa" w:w="2556"/>
            <w:vAlign w:val="center"/>
            <w:tcMar>
              <w:top w:w="90" w:type="dxa"/>
              <w:start w:w="110" w:type="dxa"/>
              <w:bottom w:w="90" w:type="dxa"/>
              <w:end w:w="110" w:type="dxa"/>
            </w:tcMar>
            <w:shd w:fill="EAF2F8"/>
          </w:tcPr>
          <w:p>
            <w:r>
              <w:t>Indistinguibilidad temporal</w:t>
            </w:r>
          </w:p>
        </w:tc>
        <w:tc>
          <w:tcPr>
            <w:tcW w:type="dxa" w:w="2556"/>
            <w:vAlign w:val="center"/>
            <w:tcMar>
              <w:top w:w="90" w:type="dxa"/>
              <w:start w:w="110" w:type="dxa"/>
              <w:bottom w:w="90" w:type="dxa"/>
              <w:end w:w="110" w:type="dxa"/>
            </w:tcMar>
            <w:shd w:fill="EAF2F8"/>
          </w:tcPr>
          <w:p>
            <w:r>
              <w:t>Pares ejecutados con la misma configuración y entorno. Deben caer en la misma banda externa prefijada; cualquier diferencia repetible atribuible a la existencia protegida falla. La banda concreta se congela con el candidato antes de ejecutar.</w:t>
            </w:r>
          </w:p>
        </w:tc>
        <w:tc>
          <w:tcPr>
            <w:tcW w:type="dxa" w:w="2556"/>
            <w:vAlign w:val="center"/>
            <w:tcMar>
              <w:top w:w="90" w:type="dxa"/>
              <w:start w:w="110" w:type="dxa"/>
              <w:bottom w:w="90" w:type="dxa"/>
              <w:end w:w="110" w:type="dxa"/>
            </w:tcMar>
            <w:shd w:fill="EAF2F8"/>
          </w:tcPr>
          <w:p>
            <w:r>
              <w:t>REGLA CONFIRMADA · VALOR DE CANDIDATO</w:t>
            </w:r>
          </w:p>
        </w:tc>
      </w:tr>
      <w:tr>
        <w:tc>
          <w:tcPr>
            <w:tcW w:type="dxa" w:w="2556"/>
            <w:vAlign w:val="center"/>
            <w:tcMar>
              <w:top w:w="90" w:type="dxa"/>
              <w:start w:w="110" w:type="dxa"/>
              <w:bottom w:w="90" w:type="dxa"/>
              <w:end w:w="110" w:type="dxa"/>
            </w:tcMar>
          </w:tcPr>
          <w:p>
            <w:r>
              <w:t>TOL-003</w:t>
            </w:r>
          </w:p>
        </w:tc>
        <w:tc>
          <w:tcPr>
            <w:tcW w:type="dxa" w:w="2556"/>
            <w:vAlign w:val="center"/>
            <w:tcMar>
              <w:top w:w="90" w:type="dxa"/>
              <w:start w:w="110" w:type="dxa"/>
              <w:bottom w:w="90" w:type="dxa"/>
              <w:end w:w="110" w:type="dxa"/>
            </w:tcMar>
          </w:tcPr>
          <w:p>
            <w:r>
              <w:t>Carga e interrupciones</w:t>
            </w:r>
          </w:p>
        </w:tc>
        <w:tc>
          <w:tcPr>
            <w:tcW w:type="dxa" w:w="2556"/>
            <w:vAlign w:val="center"/>
            <w:tcMar>
              <w:top w:w="90" w:type="dxa"/>
              <w:start w:w="110" w:type="dxa"/>
              <w:bottom w:w="90" w:type="dxa"/>
              <w:end w:w="110" w:type="dxa"/>
            </w:tcMar>
          </w:tcPr>
          <w:p>
            <w:r>
              <w:t>Máximo una interrupción ordinaria no solicitada por unidad de trabajo; excepciones solo por privacidad o criticidad y siempre registradas.</w:t>
            </w:r>
          </w:p>
        </w:tc>
        <w:tc>
          <w:tcPr>
            <w:tcW w:type="dxa" w:w="2556"/>
            <w:vAlign w:val="center"/>
            <w:tcMar>
              <w:top w:w="90" w:type="dxa"/>
              <w:start w:w="110" w:type="dxa"/>
              <w:bottom w:w="90" w:type="dxa"/>
              <w:end w:w="110" w:type="dxa"/>
            </w:tcMar>
          </w:tcPr>
          <w:p>
            <w:r>
              <w:t>CONFIRMADA</w:t>
            </w:r>
          </w:p>
        </w:tc>
      </w:tr>
      <w:tr>
        <w:tc>
          <w:tcPr>
            <w:tcW w:type="dxa" w:w="2556"/>
            <w:vAlign w:val="center"/>
            <w:tcMar>
              <w:top w:w="90" w:type="dxa"/>
              <w:start w:w="110" w:type="dxa"/>
              <w:bottom w:w="90" w:type="dxa"/>
              <w:end w:w="110" w:type="dxa"/>
            </w:tcMar>
            <w:shd w:fill="EAF2F8"/>
          </w:tcPr>
          <w:p>
            <w:r>
              <w:t>TOL-004</w:t>
            </w:r>
          </w:p>
        </w:tc>
        <w:tc>
          <w:tcPr>
            <w:tcW w:type="dxa" w:w="2556"/>
            <w:vAlign w:val="center"/>
            <w:tcMar>
              <w:top w:w="90" w:type="dxa"/>
              <w:start w:w="110" w:type="dxa"/>
              <w:bottom w:w="90" w:type="dxa"/>
              <w:end w:w="110" w:type="dxa"/>
            </w:tcMar>
            <w:shd w:fill="EAF2F8"/>
          </w:tcPr>
          <w:p>
            <w:r>
              <w:t>Coste contextual UCC</w:t>
            </w:r>
          </w:p>
        </w:tc>
        <w:tc>
          <w:tcPr>
            <w:tcW w:type="dxa" w:w="2556"/>
            <w:vAlign w:val="center"/>
            <w:tcMar>
              <w:top w:w="90" w:type="dxa"/>
              <w:start w:w="110" w:type="dxa"/>
              <w:bottom w:w="90" w:type="dxa"/>
              <w:end w:w="110" w:type="dxa"/>
            </w:tcMar>
            <w:shd w:fill="EAF2F8"/>
          </w:tcPr>
          <w:p>
            <w:r>
              <w:t>Adaptador monotónico y estable dentro de la ejecución; mismo adaptador para comparar alternativas. Presupuesto objetivo y duro se congelan con el candidato antes de ejecutar.</w:t>
            </w:r>
          </w:p>
        </w:tc>
        <w:tc>
          <w:tcPr>
            <w:tcW w:type="dxa" w:w="2556"/>
            <w:vAlign w:val="center"/>
            <w:tcMar>
              <w:top w:w="90" w:type="dxa"/>
              <w:start w:w="110" w:type="dxa"/>
              <w:bottom w:w="90" w:type="dxa"/>
              <w:end w:w="110" w:type="dxa"/>
            </w:tcMar>
            <w:shd w:fill="EAF2F8"/>
          </w:tcPr>
          <w:p>
            <w:r>
              <w:t>REGLA CONFIRMADA · VALOR DE CANDIDATO</w:t>
            </w:r>
          </w:p>
        </w:tc>
      </w:tr>
      <w:tr>
        <w:tc>
          <w:tcPr>
            <w:tcW w:type="dxa" w:w="2556"/>
            <w:vAlign w:val="center"/>
            <w:tcMar>
              <w:top w:w="90" w:type="dxa"/>
              <w:start w:w="110" w:type="dxa"/>
              <w:bottom w:w="90" w:type="dxa"/>
              <w:end w:w="110" w:type="dxa"/>
            </w:tcMar>
          </w:tcPr>
          <w:p>
            <w:r>
              <w:t>TOL-005</w:t>
            </w:r>
          </w:p>
        </w:tc>
        <w:tc>
          <w:tcPr>
            <w:tcW w:type="dxa" w:w="2556"/>
            <w:vAlign w:val="center"/>
            <w:tcMar>
              <w:top w:w="90" w:type="dxa"/>
              <w:start w:w="110" w:type="dxa"/>
              <w:bottom w:w="90" w:type="dxa"/>
              <w:end w:w="110" w:type="dxa"/>
            </w:tcMar>
          </w:tcPr>
          <w:p>
            <w:r>
              <w:t>Portabilidad semántica</w:t>
            </w:r>
          </w:p>
        </w:tc>
        <w:tc>
          <w:tcPr>
            <w:tcW w:type="dxa" w:w="2556"/>
            <w:vAlign w:val="center"/>
            <w:tcMar>
              <w:top w:w="90" w:type="dxa"/>
              <w:start w:w="110" w:type="dxa"/>
              <w:bottom w:w="90" w:type="dxa"/>
              <w:end w:w="110" w:type="dxa"/>
            </w:tcMar>
          </w:tcPr>
          <w:p>
            <w:r>
              <w:t>Dos consumidores realmente independientes; 100 % de campos críticos y ≥99 % global, incluyendo negaciones, condiciones y permisos reportables.</w:t>
            </w:r>
          </w:p>
        </w:tc>
        <w:tc>
          <w:tcPr>
            <w:tcW w:type="dxa" w:w="2556"/>
            <w:vAlign w:val="center"/>
            <w:tcMar>
              <w:top w:w="90" w:type="dxa"/>
              <w:start w:w="110" w:type="dxa"/>
              <w:bottom w:w="90" w:type="dxa"/>
              <w:end w:w="110" w:type="dxa"/>
            </w:tcMar>
          </w:tcPr>
          <w:p>
            <w:r>
              <w:t>CONFIRMADA</w:t>
            </w:r>
          </w:p>
        </w:tc>
      </w:tr>
      <w:tr>
        <w:tc>
          <w:tcPr>
            <w:tcW w:type="dxa" w:w="2556"/>
            <w:vAlign w:val="center"/>
            <w:tcMar>
              <w:top w:w="90" w:type="dxa"/>
              <w:start w:w="110" w:type="dxa"/>
              <w:bottom w:w="90" w:type="dxa"/>
              <w:end w:w="110" w:type="dxa"/>
            </w:tcMar>
            <w:shd w:fill="EAF2F8"/>
          </w:tcPr>
          <w:p>
            <w:r>
              <w:t>TOL-006</w:t>
            </w:r>
          </w:p>
        </w:tc>
        <w:tc>
          <w:tcPr>
            <w:tcW w:type="dxa" w:w="2556"/>
            <w:vAlign w:val="center"/>
            <w:tcMar>
              <w:top w:w="90" w:type="dxa"/>
              <w:start w:w="110" w:type="dxa"/>
              <w:bottom w:w="90" w:type="dxa"/>
              <w:end w:w="110" w:type="dxa"/>
            </w:tcMar>
            <w:shd w:fill="EAF2F8"/>
          </w:tcPr>
          <w:p>
            <w:r>
              <w:t>Comprensión de operaciones</w:t>
            </w:r>
          </w:p>
        </w:tc>
        <w:tc>
          <w:tcPr>
            <w:tcW w:type="dxa" w:w="2556"/>
            <w:vAlign w:val="center"/>
            <w:tcMar>
              <w:top w:w="90" w:type="dxa"/>
              <w:start w:w="110" w:type="dxa"/>
              <w:bottom w:w="90" w:type="dxa"/>
              <w:end w:w="110" w:type="dxa"/>
            </w:tcMar>
            <w:shd w:fill="EAF2F8"/>
          </w:tcPr>
          <w:p>
            <w:r>
              <w:t>≥95 % en operaciones no destructivas y 100 % en destructivas antes de la confirmación final.</w:t>
            </w:r>
          </w:p>
        </w:tc>
        <w:tc>
          <w:tcPr>
            <w:tcW w:type="dxa" w:w="2556"/>
            <w:vAlign w:val="center"/>
            <w:tcMar>
              <w:top w:w="90" w:type="dxa"/>
              <w:start w:w="110" w:type="dxa"/>
              <w:bottom w:w="90" w:type="dxa"/>
              <w:end w:w="110" w:type="dxa"/>
            </w:tcMar>
            <w:shd w:fill="EAF2F8"/>
          </w:tcPr>
          <w:p>
            <w:r>
              <w:t>CONFIRMADA</w:t>
            </w:r>
          </w:p>
        </w:tc>
      </w:tr>
    </w:tbl>
    <w:p>
      <w:pPr>
        <w:pStyle w:val="ListBullet"/>
        <w:spacing w:after="50"/>
        <w:ind w:left="317"/>
      </w:pPr>
      <w:r>
        <w:rPr>
          <w:rFonts w:ascii="Aptos" w:hAnsi="Aptos"/>
          <w:b w:val="0"/>
          <w:i w:val="0"/>
          <w:sz w:val="20"/>
        </w:rPr>
        <w:t>Una corrección de referencia documenta el error, crea nueva versión del caso y no transforma retrospectivamente un fallo en acierto.</w:t>
      </w:r>
    </w:p>
    <w:p>
      <w:pPr>
        <w:pStyle w:val="ListBullet"/>
        <w:spacing w:after="50"/>
        <w:ind w:left="317"/>
      </w:pPr>
      <w:r>
        <w:rPr>
          <w:rFonts w:ascii="Aptos" w:hAnsi="Aptos"/>
        </w:rPr>
        <w:t>Los no evaluables permanecen en el denominador hasta resolución canónica. Si Sirius 0.1 no puede ejecutarse bajo condiciones equivalentes, el Plan solo puede registrar NO EJECUTABLE PROPUESTO y adjuntar el intento documentado. Ese estado no modifica B01-M13 ni F25. Para que tenga efecto debe existir una corrección o errata canónica de B01, aprobada explícitamente por el usuario y trazada contra la métrica afectada. Hasta entonces, B01-M13/F25 permanecen abiertos y la puerta final no puede cerrarse. Nunca se imputa una puntuación ni se crea una métrica sustituta.</w:t>
      </w:r>
    </w:p>
    <w:p>
      <w:pPr>
        <w:pStyle w:val="Heading2"/>
        <w:keepNext/>
        <w:spacing w:before="140" w:after="100"/>
      </w:pPr>
      <w:r>
        <w:rPr>
          <w:rFonts w:ascii="Aptos" w:hAnsi="Aptos"/>
          <w:b/>
          <w:i w:val="0"/>
          <w:color w:val="17365D"/>
          <w:sz w:val="27"/>
        </w:rPr>
        <w:t>11. Protocolo de ejecución y evidencia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720"/>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Paso</w:t>
            </w:r>
          </w:p>
        </w:tc>
        <w:tc>
          <w:tcPr>
            <w:tcW w:type="dxa" w:w="5112"/>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Acción</w:t>
            </w:r>
          </w:p>
        </w:tc>
        <w:tc>
          <w:tcPr>
            <w:tcW w:type="dxa" w:w="4248"/>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Evidencia obligatoria</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1</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Congelar candidato, corpus, referencias, tolerancias y configuración.</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Manifiesto firmado/versionado.</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2</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Verificar fuentes y prerequisitos del caso.</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Checklist de elegibilidad.</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3</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Restablecer estado inicial controlado.</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Identificador de fixture y huella.</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4</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Ejecutar una sola vez bajo configuración congelada.</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Entrada, salida, tiempos y trazas permitidas.</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5</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Adjudicar según referencia previa.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Revisiones y desacuerdos.</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6</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Aplicar métricas y puertas por caso y familia.</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Cálculo reproducible.</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7</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Registrar incidentes y dependencia de evidencia.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Registro de ejecución.</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8</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Repetir solo por cambio material o defecto del arnés.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Causa, ejecución anterior y nueva.</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9</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Ejecutar regresión dirigida y transversal cuando proceda.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Mapa de impacto.</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10</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Emitir acta solo con todas las puertas superadas.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Acta sin excepciones.</w:t>
            </w:r>
          </w:p>
        </w:tc>
      </w:tr>
    </w:tbl>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Componente de evidencia</w:t>
            </w:r>
          </w:p>
        </w:tc>
        <w:tc>
          <w:tcPr>
            <w:tcW w:type="dxa" w:w="5112"/>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Contenido mínimo</w:t>
            </w:r>
          </w:p>
        </w:tc>
        <w:tc>
          <w:tcPr>
            <w:tcW w:type="dxa" w:w="2088"/>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Prohibición</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Registro de ejecución</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Caso, candidato, configuración, fecha, entrada, salida y resultado.</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No omitir fallos previos.</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Trazas permitidas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Razones, IDs reportables, transformaciones y tiempos necesarios.</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No conservar contenido prohibido.</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Comparación</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Esperado frente a observado y diferencias.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No redefinir esperado.</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Adjudicación</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Revisores, dictámenes, desacuerdo y resolución.</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No crear consenso artificial.</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Puertas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Estado de cada puerta y evidencia vinculada.</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No compensar por media.</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Regresión</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Cambio, impacto, casos repetidos y justificación.</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No repetir todo ni nada sin análisis.</w:t>
            </w:r>
          </w:p>
        </w:tc>
      </w:tr>
      <w:tr>
        <w:trPr>
          <w:cantSplit/>
        </w:trPr>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Fuentes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Identificador y verificación de fuentes obligatorias.</w:t>
            </w:r>
          </w:p>
        </w:tc>
        <w:tc>
          <w:tcPr>
            <w:tcW w:type="dxa" w:w="3408"/>
            <w:vAlign w:val="center"/>
            <w:tcMar>
              <w:top w:w="72" w:type="dxa"/>
              <w:left w:w="72" w:type="dxa"/>
              <w:bottom w:w="72" w:type="dxa"/>
              <w:right w:w="72" w:type="dxa"/>
            </w:tcMar>
          </w:tcPr>
          <w:p>
            <w:pPr>
              <w:spacing w:after="0" w:before="0" w:line="240" w:lineRule="auto"/>
            </w:pPr>
            <w:r/>
            <w:r>
              <w:rPr>
                <w:rFonts w:ascii="Aptos" w:hAnsi="Aptos"/>
                <w:b w:val="0"/>
                <w:i w:val="0"/>
                <w:sz w:val="15"/>
              </w:rPr>
              <w:t>No usar fuente no verificada para cerrar.</w:t>
            </w:r>
          </w:p>
        </w:tc>
      </w:tr>
      <w:tr>
        <w:trPr>
          <w:cantSplit/>
        </w:trPr>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Cierre</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Alcance, versiones, corpus, resultados y aprobación explícita.</w:t>
            </w:r>
          </w:p>
        </w:tc>
        <w:tc>
          <w:tcPr>
            <w:tcW w:type="dxa" w:w="3408"/>
            <w:vAlign w:val="center"/>
            <w:tcMar>
              <w:top w:w="72" w:type="dxa"/>
              <w:left w:w="72" w:type="dxa"/>
              <w:bottom w:w="72" w:type="dxa"/>
              <w:right w:w="72" w:type="dxa"/>
            </w:tcMar>
            <w:shd w:fill="E7E6E6"/>
          </w:tcPr>
          <w:p>
            <w:pPr>
              <w:spacing w:after="0" w:before="0" w:line="240" w:lineRule="auto"/>
            </w:pPr>
            <w:r/>
            <w:r>
              <w:rPr>
                <w:rFonts w:ascii="Aptos" w:hAnsi="Aptos"/>
                <w:b w:val="0"/>
                <w:i w:val="0"/>
                <w:sz w:val="15"/>
              </w:rPr>
              <w:t>Sin dispensa condicional.</w:t>
            </w:r>
          </w:p>
        </w:tc>
      </w:tr>
    </w:tbl>
    <w:p>
      <w:pPr>
        <w:pStyle w:val="Heading2"/>
        <w:keepNext/>
        <w:spacing w:before="140" w:after="100"/>
      </w:pPr>
      <w:r>
        <w:rPr>
          <w:rFonts w:ascii="Aptos" w:hAnsi="Aptos"/>
          <w:b/>
          <w:i w:val="0"/>
          <w:color w:val="17365D"/>
          <w:sz w:val="27"/>
        </w:rPr>
        <w:t>12. Registro de métricas heredadas y métricas del Plan</w:t>
      </w:r>
    </w:p>
    <w:p>
      <w:pPr>
        <w:spacing w:after="80" w:line="259" w:lineRule="auto"/>
      </w:pPr>
      <w:r>
        <w:rPr>
          <w:rFonts w:ascii="Aptos" w:hAnsi="Aptos"/>
          <w:b w:val="0"/>
          <w:i w:val="0"/>
          <w:sz w:val="21"/>
        </w:rPr>
        <w:t>Las métricas de cada bloque conservan su fórmula y umbral canónicos. El anexo A las reproduce como índice operativo. Las siguientes métricas controlan el propio Plan y su puerta de salida.</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blHeader w:val="true"/>
        </w:trPr>
        <w:tc>
          <w:tcPr>
            <w:tcW w:type="dxa" w:w="1152"/>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ID</w:t>
            </w:r>
          </w:p>
        </w:tc>
        <w:tc>
          <w:tcPr>
            <w:tcW w:type="dxa" w:w="2376"/>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Métrica</w:t>
            </w:r>
          </w:p>
        </w:tc>
        <w:tc>
          <w:tcPr>
            <w:tcW w:type="dxa" w:w="5400"/>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Cálculo</w:t>
            </w:r>
          </w:p>
        </w:tc>
        <w:tc>
          <w:tcPr>
            <w:tcW w:type="dxa" w:w="1224"/>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Umbral</w:t>
            </w:r>
          </w:p>
        </w:tc>
      </w:tr>
      <w:tr>
        <w:trPr>
          <w:cantSplit/>
        </w:trPr>
        <w:tc>
          <w:tcPr>
            <w:tcW w:type="dxa" w:w="115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PDP-M01</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Cobertura RED</w:t>
            </w:r>
          </w:p>
        </w:tc>
        <w:tc>
          <w:tcPr>
            <w:tcW w:type="dxa" w:w="5400"/>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6"/>
              </w:rPr>
              <w:t>Filas RED con caso, familia, métrica/puerta y evidencia / 79</w:t>
            </w:r>
          </w:p>
        </w:tc>
        <w:tc>
          <w:tcPr>
            <w:tcW w:type="dxa" w:w="1224"/>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100 %</w:t>
            </w:r>
          </w:p>
        </w:tc>
      </w:tr>
      <w:tr>
        <w:trPr>
          <w:cantSplit/>
        </w:trPr>
        <w:tc>
          <w:tcPr>
            <w:tcW w:type="dxa" w:w="115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PDP-M02</w:t>
            </w:r>
          </w:p>
        </w:tc>
        <w:tc>
          <w:tcPr>
            <w:tcW w:type="dxa" w:w="23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Integridad RED</w:t>
            </w:r>
          </w:p>
        </w:tc>
        <w:tc>
          <w:tcPr>
            <w:tcW w:type="dxa" w:w="5400"/>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Filas omitidas, fusionadas o descontadas</w:t>
            </w:r>
          </w:p>
        </w:tc>
        <w:tc>
          <w:tcPr>
            <w:tcW w:type="dxa" w:w="1224"/>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0</w:t>
            </w:r>
          </w:p>
        </w:tc>
      </w:tr>
      <w:tr>
        <w:trPr>
          <w:cantSplit/>
        </w:trPr>
        <w:tc>
          <w:tcPr>
            <w:tcW w:type="dxa" w:w="115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PDP-M03</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Cobertura de corpus</w:t>
            </w:r>
          </w:p>
        </w:tc>
        <w:tc>
          <w:tcPr>
            <w:tcW w:type="dxa" w:w="5400"/>
            <w:vAlign w:val="center"/>
            <w:tcMar>
              <w:top w:w="80" w:type="dxa"/>
              <w:left w:w="72" w:type="dxa"/>
              <w:bottom w:w="80" w:type="dxa"/>
              <w:right w:w="72" w:type="dxa"/>
              <w:start w:w="90" w:type="dxa"/>
              <w:end w:w="90" w:type="dxa"/>
            </w:tcMar>
          </w:tcPr>
          <w:p>
            <w:pPr>
              <w:spacing w:after="0" w:before="0" w:line="240" w:lineRule="auto"/>
              <w:jc w:val="left"/>
            </w:pPr>
            <w:r>
              <w:rPr>
                <w:rFonts w:ascii="Aptos" w:hAnsi="Aptos"/>
                <w:sz w:val="16"/>
              </w:rPr>
              <w:t>Familias con todos sus casos asignados, al menos un positivo, un negativo y un adversarial, y evidencia reproducible / 25</w:t>
            </w:r>
          </w:p>
        </w:tc>
        <w:tc>
          <w:tcPr>
            <w:tcW w:type="dxa" w:w="1224"/>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100 %</w:t>
            </w:r>
          </w:p>
        </w:tc>
      </w:tr>
      <w:tr>
        <w:trPr>
          <w:cantSplit/>
        </w:trPr>
        <w:tc>
          <w:tcPr>
            <w:tcW w:type="dxa" w:w="115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PDP-M04</w:t>
            </w:r>
          </w:p>
        </w:tc>
        <w:tc>
          <w:tcPr>
            <w:tcW w:type="dxa" w:w="23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Cobertura de casos heredados</w:t>
            </w:r>
          </w:p>
        </w:tc>
        <w:tc>
          <w:tcPr>
            <w:tcW w:type="dxa" w:w="5400"/>
            <w:vAlign w:val="center"/>
            <w:tcMar>
              <w:top w:w="80" w:type="dxa"/>
              <w:left w:w="72" w:type="dxa"/>
              <w:bottom w:w="80" w:type="dxa"/>
              <w:right w:w="72" w:type="dxa"/>
              <w:start w:w="90" w:type="dxa"/>
              <w:end w:w="90" w:type="dxa"/>
            </w:tcMar>
            <w:shd w:fill="E7E6E6"/>
          </w:tcPr>
          <w:p>
            <w:pPr>
              <w:spacing w:after="0" w:before="0" w:line="240" w:lineRule="auto"/>
              <w:jc w:val="left"/>
            </w:pPr>
            <w:r>
              <w:rPr>
                <w:rFonts w:ascii="Aptos" w:hAnsi="Aptos"/>
                <w:sz w:val="16"/>
              </w:rPr>
            </w:r>
            <w:r>
              <w:rPr>
                <w:rFonts w:ascii="Aptos" w:hAnsi="Aptos"/>
                <w:b w:val="0"/>
                <w:sz w:val="16"/>
              </w:rPr>
              <w:t>Casos heredados adoptados / 276 y transversales materializados / 28</w:t>
            </w:r>
          </w:p>
        </w:tc>
        <w:tc>
          <w:tcPr>
            <w:tcW w:type="dxa" w:w="1224"/>
            <w:vAlign w:val="center"/>
            <w:tcMar>
              <w:top w:w="80" w:type="dxa"/>
              <w:left w:w="72" w:type="dxa"/>
              <w:bottom w:w="80" w:type="dxa"/>
              <w:right w:w="72" w:type="dxa"/>
              <w:start w:w="90" w:type="dxa"/>
              <w:end w:w="90" w:type="dxa"/>
            </w:tcMar>
            <w:shd w:fill="E7E6E6"/>
          </w:tcPr>
          <w:p>
            <w:pPr>
              <w:spacing w:after="0" w:before="0" w:line="240" w:lineRule="auto"/>
              <w:jc w:val="left"/>
            </w:pPr>
            <w:r>
              <w:rPr>
                <w:rFonts w:ascii="Aptos" w:hAnsi="Aptos"/>
                <w:sz w:val="16"/>
              </w:rPr>
            </w:r>
            <w:r>
              <w:rPr>
                <w:rFonts w:ascii="Aptos" w:hAnsi="Aptos"/>
                <w:b w:val="0"/>
                <w:sz w:val="16"/>
              </w:rPr>
              <w:t>100 % en ambos denominadores</w:t>
            </w:r>
          </w:p>
        </w:tc>
      </w:tr>
      <w:tr>
        <w:trPr>
          <w:cantSplit/>
        </w:trPr>
        <w:tc>
          <w:tcPr>
            <w:tcW w:type="dxa" w:w="115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PDP-M05</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Referencias prefijadas</w:t>
            </w:r>
          </w:p>
        </w:tc>
        <w:tc>
          <w:tcPr>
            <w:tcW w:type="dxa" w:w="5400"/>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Casos con referencia congelada / total</w:t>
            </w:r>
          </w:p>
        </w:tc>
        <w:tc>
          <w:tcPr>
            <w:tcW w:type="dxa" w:w="1224"/>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100 %</w:t>
            </w:r>
          </w:p>
        </w:tc>
      </w:tr>
      <w:tr>
        <w:trPr>
          <w:cantSplit/>
        </w:trPr>
        <w:tc>
          <w:tcPr>
            <w:tcW w:type="dxa" w:w="115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PDP-M06</w:t>
            </w:r>
          </w:p>
        </w:tc>
        <w:tc>
          <w:tcPr>
            <w:tcW w:type="dxa" w:w="23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Reproducibilidad</w:t>
            </w:r>
          </w:p>
        </w:tc>
        <w:tc>
          <w:tcPr>
            <w:tcW w:type="dxa" w:w="5400"/>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Casos reproducibles con versión/configuración/evidencia / total</w:t>
            </w:r>
          </w:p>
        </w:tc>
        <w:tc>
          <w:tcPr>
            <w:tcW w:type="dxa" w:w="1224"/>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100 %</w:t>
            </w:r>
          </w:p>
        </w:tc>
      </w:tr>
      <w:tr>
        <w:trPr>
          <w:cantSplit/>
        </w:trPr>
        <w:tc>
          <w:tcPr>
            <w:tcW w:type="dxa" w:w="115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PDP-M07</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Integridad de repeticiones</w:t>
            </w:r>
          </w:p>
        </w:tc>
        <w:tc>
          <w:tcPr>
            <w:tcW w:type="dxa" w:w="5400"/>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Repeticiones sin causa o ejecuciones ocultadas</w:t>
            </w:r>
          </w:p>
        </w:tc>
        <w:tc>
          <w:tcPr>
            <w:tcW w:type="dxa" w:w="1224"/>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0</w:t>
            </w:r>
          </w:p>
        </w:tc>
      </w:tr>
      <w:tr>
        <w:trPr>
          <w:cantSplit/>
        </w:trPr>
        <w:tc>
          <w:tcPr>
            <w:tcW w:type="dxa" w:w="115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PDP-M08</w:t>
            </w:r>
          </w:p>
        </w:tc>
        <w:tc>
          <w:tcPr>
            <w:tcW w:type="dxa" w:w="23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Adjudicación crítica</w:t>
            </w:r>
          </w:p>
        </w:tc>
        <w:tc>
          <w:tcPr>
            <w:tcW w:type="dxa" w:w="5400"/>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Críticos con doble revisión independiente / adjudicables</w:t>
            </w:r>
          </w:p>
        </w:tc>
        <w:tc>
          <w:tcPr>
            <w:tcW w:type="dxa" w:w="1224"/>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100 %</w:t>
            </w:r>
          </w:p>
        </w:tc>
      </w:tr>
      <w:tr>
        <w:trPr>
          <w:cantSplit/>
        </w:trPr>
        <w:tc>
          <w:tcPr>
            <w:tcW w:type="dxa" w:w="115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PDP-M09</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Mínimos por familia</w:t>
            </w:r>
          </w:p>
        </w:tc>
        <w:tc>
          <w:tcPr>
            <w:tcW w:type="dxa" w:w="5400"/>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t>Familias que alcanzan su umbral / 25; toda familia no ejecutada cuenta como no superada</w:t>
            </w:r>
          </w:p>
        </w:tc>
        <w:tc>
          <w:tcPr>
            <w:tcW w:type="dxa" w:w="1224"/>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100 %</w:t>
            </w:r>
          </w:p>
        </w:tc>
      </w:tr>
      <w:tr>
        <w:trPr>
          <w:cantSplit/>
        </w:trPr>
        <w:tc>
          <w:tcPr>
            <w:tcW w:type="dxa" w:w="115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PDP-M10</w:t>
            </w:r>
          </w:p>
        </w:tc>
        <w:tc>
          <w:tcPr>
            <w:tcW w:type="dxa" w:w="23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Puertas absolutas</w:t>
            </w:r>
          </w:p>
        </w:tc>
        <w:tc>
          <w:tcPr>
            <w:tcW w:type="dxa" w:w="5400"/>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Puertas fallidas</w:t>
            </w:r>
          </w:p>
        </w:tc>
        <w:tc>
          <w:tcPr>
            <w:tcW w:type="dxa" w:w="1224"/>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0</w:t>
            </w:r>
          </w:p>
        </w:tc>
      </w:tr>
      <w:tr>
        <w:trPr>
          <w:cantSplit/>
        </w:trPr>
        <w:tc>
          <w:tcPr>
            <w:tcW w:type="dxa" w:w="115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PDP-M11</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Trazabilidad de salida</w:t>
            </w:r>
          </w:p>
        </w:tc>
        <w:tc>
          <w:tcPr>
            <w:tcW w:type="dxa" w:w="5400"/>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Decisiones con RF→CA→métrica/puerta→evidencia→resultado / total</w:t>
            </w:r>
          </w:p>
        </w:tc>
        <w:tc>
          <w:tcPr>
            <w:tcW w:type="dxa" w:w="1224"/>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100 %</w:t>
            </w:r>
          </w:p>
        </w:tc>
      </w:tr>
      <w:tr>
        <w:trPr>
          <w:cantSplit/>
        </w:trPr>
        <w:tc>
          <w:tcPr>
            <w:tcW w:type="dxa" w:w="115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PDP-M12</w:t>
            </w:r>
          </w:p>
        </w:tc>
        <w:tc>
          <w:tcPr>
            <w:tcW w:type="dxa" w:w="237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Estabilidad del candidato</w:t>
            </w:r>
          </w:p>
        </w:tc>
        <w:tc>
          <w:tcPr>
            <w:tcW w:type="dxa" w:w="5400"/>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Cambios materiales no reflejados durante ejecución</w:t>
            </w:r>
          </w:p>
        </w:tc>
        <w:tc>
          <w:tcPr>
            <w:tcW w:type="dxa" w:w="1224"/>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0</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PDP-M13</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Adjudicación ciega</w:t>
            </w:r>
          </w:p>
        </w:tc>
        <w:tc>
          <w:tcPr>
            <w:tcW w:type="dxa" w:w="5400"/>
            <w:vAlign w:val="center"/>
            <w:tcMar>
              <w:top w:w="80" w:type="dxa"/>
              <w:start w:w="90" w:type="dxa"/>
              <w:bottom w:w="80" w:type="dxa"/>
              <w:end w:w="90" w:type="dxa"/>
            </w:tcMar>
          </w:tcPr>
          <w:p>
            <w:pPr>
              <w:spacing w:after="0" w:before="0" w:line="240" w:lineRule="auto"/>
              <w:jc w:val="left"/>
            </w:pPr>
            <w:r>
              <w:rPr>
                <w:rFonts w:ascii="Aptos" w:hAnsi="Aptos"/>
                <w:sz w:val="16"/>
              </w:rPr>
              <w:t>Críticos cegables con segunda revisión sin etiqueta ni primer veredicto / críticos cegables; además, críticos declarados no cegables / críticos totales con justificación individual</w:t>
            </w:r>
          </w:p>
        </w:tc>
        <w:tc>
          <w:tcPr>
            <w:tcW w:type="dxa" w:w="1224"/>
            <w:vAlign w:val="center"/>
            <w:tcMar>
              <w:top w:w="80" w:type="dxa"/>
              <w:start w:w="90" w:type="dxa"/>
              <w:bottom w:w="80" w:type="dxa"/>
              <w:end w:w="90" w:type="dxa"/>
            </w:tcMar>
          </w:tcPr>
          <w:p>
            <w:pPr>
              <w:spacing w:after="0" w:before="0" w:line="240" w:lineRule="auto"/>
              <w:jc w:val="center"/>
            </w:pPr>
            <w:r>
              <w:rPr>
                <w:rFonts w:ascii="Aptos" w:hAnsi="Aptos"/>
                <w:sz w:val="16"/>
              </w:rPr>
              <w:t>100 % de cegables; 100 % de no cegables justificados; ninguna reducción oportunista del conjunto cegable</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PDP-M14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Comprensión previa</w:t>
            </w:r>
          </w:p>
        </w:tc>
        <w:tc>
          <w:tcPr>
            <w:tcW w:type="dxa" w:w="540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Operaciones destructivas con efecto, alcance, reversibilidad y consecuencia correctamente identificados / intentos</w:t>
            </w:r>
          </w:p>
        </w:tc>
        <w:tc>
          <w:tcPr>
            <w:tcW w:type="dxa" w:w="122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100 % destructivas</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PDP-M15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Integridad longitudinal</w:t>
            </w:r>
          </w:p>
        </w:tc>
        <w:tc>
          <w:tcPr>
            <w:tcW w:type="dxa" w:w="540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M15/M16 con ventana, denominador, control y oportunidades prefijadas / ejecuciones longitudinales</w:t>
            </w:r>
          </w:p>
        </w:tc>
        <w:tc>
          <w:tcPr>
            <w:tcW w:type="dxa" w:w="122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100 %</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PDP-M16</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Inventario de casos</w:t>
            </w:r>
          </w:p>
        </w:tc>
        <w:tc>
          <w:tcPr>
            <w:tcW w:type="dxa" w:w="540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Casos identificables en el manifiesto / 304</w:t>
            </w:r>
          </w:p>
        </w:tc>
        <w:tc>
          <w:tcPr>
            <w:tcW w:type="dxa" w:w="122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100 %</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PDP-M17</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Estado RED</w:t>
            </w:r>
          </w:p>
        </w:tc>
        <w:tc>
          <w:tcPr>
            <w:tcW w:type="dxa" w:w="540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Filas ABIERTAS o descartadas sin autoridad</w:t>
            </w:r>
          </w:p>
        </w:tc>
        <w:tc>
          <w:tcPr>
            <w:tcW w:type="dxa" w:w="122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0</w:t>
            </w:r>
          </w:p>
        </w:tc>
      </w:tr>
    </w:tbl>
    <w:p>
      <w:pPr>
        <w:pStyle w:val="Heading2"/>
        <w:keepNext/>
        <w:spacing w:before="140" w:after="100"/>
      </w:pPr>
      <w:r>
        <w:rPr>
          <w:rFonts w:ascii="Aptos" w:hAnsi="Aptos"/>
          <w:b/>
          <w:i w:val="0"/>
          <w:color w:val="17365D"/>
          <w:sz w:val="27"/>
        </w:rPr>
        <w:t>13. Puertas absolutas</w:t>
      </w:r>
    </w:p>
    <w:p>
      <w:pPr>
        <w:pStyle w:val="ListBullet"/>
        <w:spacing w:after="50"/>
        <w:ind w:left="317"/>
      </w:pPr>
      <w:r>
        <w:rPr>
          <w:rFonts w:ascii="Aptos" w:hAnsi="Aptos"/>
          <w:b w:val="0"/>
          <w:i w:val="0"/>
          <w:sz w:val="20"/>
        </w:rPr>
        <w:t>Contaminación entre proyectos o identidades fusionadas incorrectamente.</w:t>
      </w:r>
    </w:p>
    <w:p>
      <w:pPr>
        <w:pStyle w:val="ListBullet"/>
        <w:spacing w:after="50"/>
        <w:ind w:left="317"/>
      </w:pPr>
      <w:r>
        <w:rPr>
          <w:rFonts w:ascii="Aptos" w:hAnsi="Aptos"/>
          <w:b w:val="0"/>
          <w:i w:val="0"/>
          <w:sz w:val="20"/>
        </w:rPr>
        <w:t>Fuga de privacidad o canal lateral observable.</w:t>
      </w:r>
    </w:p>
    <w:p>
      <w:pPr>
        <w:pStyle w:val="ListBullet"/>
        <w:spacing w:after="50"/>
        <w:ind w:left="317"/>
      </w:pPr>
      <w:r>
        <w:rPr>
          <w:rFonts w:ascii="Aptos" w:hAnsi="Aptos"/>
          <w:b w:val="0"/>
          <w:i w:val="0"/>
          <w:sz w:val="20"/>
        </w:rPr>
        <w:t>Falsa vigencia, conflicto oculto o snapshot fraudulento.</w:t>
      </w:r>
    </w:p>
    <w:p>
      <w:pPr>
        <w:pStyle w:val="ListBullet"/>
        <w:spacing w:after="50"/>
        <w:ind w:left="317"/>
      </w:pPr>
      <w:r>
        <w:rPr>
          <w:rFonts w:ascii="Aptos" w:hAnsi="Aptos"/>
          <w:b w:val="0"/>
          <w:i w:val="0"/>
          <w:sz w:val="20"/>
        </w:rPr>
        <w:t>Consolidación o escritura canónica silenciosa.</w:t>
      </w:r>
    </w:p>
    <w:p>
      <w:pPr>
        <w:pStyle w:val="ListBullet"/>
        <w:spacing w:after="50"/>
        <w:ind w:left="317"/>
      </w:pPr>
      <w:r>
        <w:rPr>
          <w:rFonts w:ascii="Aptos" w:hAnsi="Aptos"/>
          <w:b w:val="0"/>
          <w:i w:val="0"/>
          <w:sz w:val="20"/>
        </w:rPr>
        <w:t>Uso de contenido eliminado, no persistido, no utilizable o sin soporte.</w:t>
      </w:r>
    </w:p>
    <w:p>
      <w:pPr>
        <w:pStyle w:val="ListBullet"/>
        <w:spacing w:after="50"/>
        <w:ind w:left="317"/>
      </w:pPr>
      <w:r>
        <w:rPr>
          <w:rFonts w:ascii="Aptos" w:hAnsi="Aptos"/>
          <w:b w:val="0"/>
          <w:i w:val="0"/>
          <w:sz w:val="20"/>
        </w:rPr>
        <w:t>Borrado no garantizable o reconstruible bajo control de Sirius.</w:t>
      </w:r>
    </w:p>
    <w:p>
      <w:pPr>
        <w:pStyle w:val="ListBullet"/>
        <w:spacing w:after="50"/>
        <w:ind w:left="317"/>
      </w:pPr>
      <w:r>
        <w:rPr>
          <w:rFonts w:ascii="Aptos" w:hAnsi="Aptos"/>
          <w:b w:val="0"/>
          <w:i w:val="0"/>
          <w:sz w:val="20"/>
        </w:rPr>
        <w:t>Promesa falsa sobre exportaciones o copias externas.</w:t>
      </w:r>
    </w:p>
    <w:p>
      <w:pPr>
        <w:pStyle w:val="ListBullet"/>
        <w:spacing w:after="50"/>
        <w:ind w:left="317"/>
      </w:pPr>
      <w:r>
        <w:rPr>
          <w:rFonts w:ascii="Aptos" w:hAnsi="Aptos"/>
          <w:b w:val="0"/>
          <w:i w:val="0"/>
          <w:sz w:val="20"/>
        </w:rPr>
        <w:t>Pérdida crítica de procedencia, negación, condición, ámbito o tiempo.</w:t>
      </w:r>
    </w:p>
    <w:p>
      <w:pPr>
        <w:pStyle w:val="ListBullet"/>
        <w:spacing w:after="50"/>
        <w:ind w:left="317"/>
      </w:pPr>
      <w:r>
        <w:rPr>
          <w:rFonts w:ascii="Aptos" w:hAnsi="Aptos"/>
          <w:b w:val="0"/>
          <w:i w:val="0"/>
          <w:sz w:val="20"/>
        </w:rPr>
        <w:t>Exportación semánticamente corrupta o reimportación con autoridad automática.</w:t>
      </w:r>
    </w:p>
    <w:p>
      <w:pPr>
        <w:pStyle w:val="ListBullet"/>
        <w:spacing w:after="50"/>
        <w:ind w:left="317"/>
      </w:pPr>
      <w:r>
        <w:rPr>
          <w:rFonts w:ascii="Aptos" w:hAnsi="Aptos"/>
          <w:b w:val="0"/>
          <w:i w:val="0"/>
          <w:sz w:val="20"/>
        </w:rPr>
        <w:t>Omisión crítica por límite, selección, resumen o vista.</w:t>
      </w:r>
    </w:p>
    <w:p>
      <w:pPr>
        <w:pStyle w:val="ListBullet"/>
        <w:spacing w:after="50"/>
        <w:ind w:left="317"/>
      </w:pPr>
      <w:r>
        <w:rPr>
          <w:rFonts w:ascii="Aptos" w:hAnsi="Aptos"/>
          <w:b w:val="0"/>
          <w:i w:val="0"/>
          <w:sz w:val="20"/>
        </w:rPr>
        <w:t>Referencia o tolerancia cambiada después de observar la salida.</w:t>
      </w:r>
    </w:p>
    <w:p>
      <w:pPr>
        <w:pStyle w:val="ListBullet"/>
        <w:spacing w:after="50"/>
        <w:ind w:left="317"/>
      </w:pPr>
      <w:r>
        <w:rPr>
          <w:rFonts w:ascii="Aptos" w:hAnsi="Aptos"/>
          <w:b w:val="0"/>
          <w:i w:val="0"/>
          <w:sz w:val="20"/>
        </w:rPr>
        <w:t>Repetición oportunista u ocultación de ejecuciones anteriores.</w:t>
      </w:r>
    </w:p>
    <w:p>
      <w:pPr>
        <w:pStyle w:val="ListBullet"/>
        <w:spacing w:after="50"/>
        <w:ind w:left="317"/>
      </w:pPr>
      <w:r>
        <w:rPr>
          <w:rFonts w:ascii="Aptos" w:hAnsi="Aptos"/>
          <w:b w:val="0"/>
          <w:i w:val="0"/>
          <w:sz w:val="20"/>
        </w:rPr>
        <w:t>Trazabilidad, corpus o delegaciones incompletos.</w:t>
      </w:r>
    </w:p>
    <w:p>
      <w:pPr>
        <w:pStyle w:val="ListBullet"/>
        <w:spacing w:after="50"/>
        <w:ind w:left="317"/>
      </w:pPr>
      <w:r>
        <w:rPr>
          <w:rFonts w:ascii="Aptos" w:hAnsi="Aptos"/>
          <w:b w:val="0"/>
          <w:i w:val="0"/>
          <w:sz w:val="20"/>
        </w:rPr>
        <w:t>Confirmación destructiva incomprendida o lote heterogéneo opaco.</w:t>
      </w:r>
    </w:p>
    <w:p>
      <w:pPr>
        <w:pStyle w:val="ListBullet"/>
        <w:spacing w:after="50"/>
        <w:ind w:left="317"/>
      </w:pPr>
      <w:r>
        <w:rPr>
          <w:rFonts w:ascii="Aptos" w:hAnsi="Aptos"/>
          <w:b w:val="0"/>
          <w:i w:val="0"/>
          <w:sz w:val="20"/>
        </w:rPr>
        <w:t>Carga o interrupciones fuera del presupuesto aprobado.</w:t>
      </w:r>
    </w:p>
    <w:p>
      <w:pPr>
        <w:pStyle w:val="ListBullet"/>
        <w:spacing w:after="50"/>
        <w:ind w:left="317"/>
      </w:pPr>
      <w:r>
        <w:rPr>
          <w:rFonts w:ascii="Aptos" w:hAnsi="Aptos"/>
          <w:b w:val="0"/>
          <w:i w:val="0"/>
          <w:sz w:val="20"/>
        </w:rPr>
        <w:t>Fuente obligatoria no verificada.</w:t>
      </w:r>
    </w:p>
    <w:p>
      <w:pPr>
        <w:pStyle w:val="ListBullet"/>
        <w:spacing w:after="50"/>
        <w:ind w:left="317"/>
      </w:pPr>
      <w:r>
        <w:rPr>
          <w:rFonts w:ascii="Aptos" w:hAnsi="Aptos"/>
          <w:b w:val="0"/>
          <w:i w:val="0"/>
          <w:sz w:val="20"/>
        </w:rPr>
        <w:t>Hallazgo CRÍTICO o IMPORTANTE abierto.</w:t>
      </w:r>
    </w:p>
    <w:p>
      <w:pPr>
        <w:pStyle w:val="ListBullet"/>
        <w:spacing w:after="50"/>
        <w:ind w:left="317"/>
      </w:pPr>
      <w:r>
        <w:rPr>
          <w:rFonts w:ascii="Aptos" w:hAnsi="Aptos"/>
          <w:b w:val="0"/>
          <w:i w:val="0"/>
          <w:sz w:val="20"/>
        </w:rPr>
        <w:t>Candidato, configuración o evidencia no reproducibles.</w:t>
      </w:r>
    </w:p>
    <w:p>
      <w:pPr>
        <w:pStyle w:val="ListBullet"/>
      </w:pPr>
      <w:r>
        <w:rPr>
          <w:rFonts w:ascii="Aptos" w:hAnsi="Aptos"/>
        </w:rPr>
        <w:t>Manipulación, omisión o estado no resuelto del denominador externo RED.</w:t>
      </w:r>
    </w:p>
    <w:p>
      <w:pPr>
        <w:pStyle w:val="ListBullet"/>
      </w:pPr>
      <w:r>
        <w:rPr>
          <w:rFonts w:ascii="Aptos" w:hAnsi="Aptos"/>
        </w:rPr>
        <w:t>Aprobación condicional, dispensa o excepción no prevista por una fuente canónica aprobada.</w:t>
      </w:r>
    </w:p>
    <w:tbl>
      <w:tblPr>
        <w:tblStyle w:val="TableGrid"/>
        <w:tblW w:type="auto" w:w="0"/>
        <w:jc w:val="center"/>
        <w:tblLook w:firstColumn="1" w:firstRow="1" w:lastColumn="0" w:lastRow="0" w:noHBand="0" w:noVBand="1" w:val="04A0"/>
      </w:tblPr>
      <w:tblGrid>
        <w:gridCol w:w="10224"/>
      </w:tblGrid>
      <w:tr>
        <w:tc>
          <w:tcPr>
            <w:tcW w:type="dxa" w:w="10224"/>
            <w:shd w:fill="F4CCCC"/>
            <w:tcMar>
              <w:top w:w="110" w:type="dxa"/>
              <w:left w:w="110" w:type="dxa"/>
              <w:bottom w:w="110" w:type="dxa"/>
              <w:right w:w="110" w:type="dxa"/>
            </w:tcMar>
            <w:vAlign w:val="center"/>
          </w:tcPr>
          <w:p>
            <w:pPr>
              <w:spacing w:after="0"/>
            </w:pPr>
            <w:r/>
            <w:r>
              <w:rPr>
                <w:rFonts w:ascii="Aptos" w:hAnsi="Aptos"/>
                <w:b/>
                <w:i w:val="0"/>
                <w:color w:val="17365D"/>
                <w:sz w:val="18"/>
              </w:rPr>
              <w:t>SIN COMPENSACIÓN</w:t>
              <w:br/>
            </w:r>
            <w:r>
              <w:rPr>
                <w:rFonts w:ascii="Aptos" w:hAnsi="Aptos"/>
                <w:b w:val="0"/>
                <w:i w:val="0"/>
                <w:sz w:val="18"/>
              </w:rPr>
              <w:t>Una sola puerta fallida bloquea la aprobación. Ninguna media, nota global, mejora subjetiva o comparación favorable puede compensarla.</w:t>
            </w:r>
          </w:p>
        </w:tc>
      </w:tr>
    </w:tbl>
    <w:p>
      <w:pPr>
        <w:pStyle w:val="Heading2"/>
        <w:keepNext/>
        <w:spacing w:before="140" w:after="100"/>
      </w:pPr>
      <w:r>
        <w:rPr>
          <w:rFonts w:ascii="Aptos" w:hAnsi="Aptos"/>
          <w:b/>
          <w:i w:val="0"/>
          <w:color w:val="17365D"/>
          <w:sz w:val="27"/>
        </w:rPr>
        <w:t>14. Cambios, regresión y repetición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blHeader w:val="true"/>
        </w:trPr>
        <w:tc>
          <w:tcPr>
            <w:tcW w:type="dxa" w:w="2952"/>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Cambio</w:t>
            </w:r>
          </w:p>
        </w:tc>
        <w:tc>
          <w:tcPr>
            <w:tcW w:type="dxa" w:w="3816"/>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Evidencia invalidada</w:t>
            </w:r>
          </w:p>
        </w:tc>
        <w:tc>
          <w:tcPr>
            <w:tcW w:type="dxa" w:w="3096"/>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Acción mínima</w:t>
            </w:r>
          </w:p>
        </w:tc>
      </w:tr>
      <w:tr>
        <w:trPr>
          <w:cantSplit/>
        </w:trPr>
        <w:tc>
          <w:tcPr>
            <w:tcW w:type="dxa" w:w="295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Requisito o decisión canónica</w:t>
            </w:r>
          </w:p>
        </w:tc>
        <w:tc>
          <w:tcPr>
            <w:tcW w:type="dxa" w:w="381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Casos y métricas relacionados, más transversales.</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Actualizar Plan y repetir impacto.</w:t>
            </w:r>
          </w:p>
        </w:tc>
      </w:tr>
      <w:tr>
        <w:trPr>
          <w:cantSplit/>
        </w:trPr>
        <w:tc>
          <w:tcPr>
            <w:tcW w:type="dxa" w:w="295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Arquitectura con cambio observable</w:t>
            </w:r>
          </w:p>
        </w:tc>
        <w:tc>
          <w:tcPr>
            <w:tcW w:type="dxa" w:w="381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Familias afectadas y puertas.</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Regresión dirigida + smoke transversal.</w:t>
            </w:r>
          </w:p>
        </w:tc>
      </w:tr>
      <w:tr>
        <w:trPr>
          <w:cantSplit/>
        </w:trPr>
        <w:tc>
          <w:tcPr>
            <w:tcW w:type="dxa" w:w="295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Implementación interna sin cambio contractual</w:t>
            </w:r>
          </w:p>
        </w:tc>
        <w:tc>
          <w:tcPr>
            <w:tcW w:type="dxa" w:w="381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Casos del componente y puertas asociadas.</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Regresión basada en riesgo.</w:t>
            </w:r>
          </w:p>
        </w:tc>
      </w:tr>
      <w:tr>
        <w:trPr>
          <w:cantSplit/>
        </w:trPr>
        <w:tc>
          <w:tcPr>
            <w:tcW w:type="dxa" w:w="295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Corpus o referencia</w:t>
            </w:r>
          </w:p>
        </w:tc>
        <w:tc>
          <w:tcPr>
            <w:tcW w:type="dxa" w:w="381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Toda ejecución que use esa versión.</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Nueva versión y reejecución.</w:t>
            </w:r>
          </w:p>
        </w:tc>
      </w:tr>
      <w:tr>
        <w:trPr>
          <w:cantSplit/>
        </w:trPr>
        <w:tc>
          <w:tcPr>
            <w:tcW w:type="dxa" w:w="295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Tolerancia</w:t>
            </w:r>
          </w:p>
        </w:tc>
        <w:tc>
          <w:tcPr>
            <w:tcW w:type="dxa" w:w="381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Toda familia afectada.</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Reauditar la tolerancia y repetir.</w:t>
            </w:r>
          </w:p>
        </w:tc>
      </w:tr>
      <w:tr>
        <w:trPr>
          <w:cantSplit/>
        </w:trPr>
        <w:tc>
          <w:tcPr>
            <w:tcW w:type="dxa" w:w="295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Defecto del arnés</w:t>
            </w:r>
          </w:p>
        </w:tc>
        <w:tc>
          <w:tcPr>
            <w:tcW w:type="dxa" w:w="381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Ejecuciones dependientes del defecto.</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Conservar anteriores y repetir.</w:t>
            </w:r>
          </w:p>
        </w:tc>
      </w:tr>
      <w:tr>
        <w:trPr>
          <w:cantSplit/>
        </w:trPr>
        <w:tc>
          <w:tcPr>
            <w:tcW w:type="dxa" w:w="2952"/>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Fuente obligatoria</w:t>
            </w:r>
          </w:p>
        </w:tc>
        <w:tc>
          <w:tcPr>
            <w:tcW w:type="dxa" w:w="381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Conclusiones y casos que dependan de ella.</w:t>
            </w:r>
          </w:p>
        </w:tc>
        <w:tc>
          <w:tcPr>
            <w:tcW w:type="dxa" w:w="309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Reverificar y repetir si cambia.</w:t>
            </w:r>
          </w:p>
        </w:tc>
      </w:tr>
      <w:tr>
        <w:trPr>
          <w:cantSplit/>
        </w:trPr>
        <w:tc>
          <w:tcPr>
            <w:tcW w:type="dxa" w:w="2952"/>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Borrado/privacidad</w:t>
            </w:r>
          </w:p>
        </w:tc>
        <w:tc>
          <w:tcPr>
            <w:tcW w:type="dxa" w:w="381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Puertas y pares diferenciales relacionados.</w:t>
            </w:r>
          </w:p>
        </w:tc>
        <w:tc>
          <w:tcPr>
            <w:tcW w:type="dxa" w:w="30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Regresión obligatoria de seguridad.</w:t>
            </w:r>
          </w:p>
        </w:tc>
      </w:tr>
      <w:tr>
        <w:tc>
          <w:tcPr>
            <w:tcW w:type="dxa" w:w="2952"/>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Cambio demostrado no relacionado</w:t>
            </w:r>
          </w:p>
        </w:tc>
        <w:tc>
          <w:tcPr>
            <w:tcW w:type="dxa" w:w="3816"/>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Evidencia de familias sin dependencia afectada.</w:t>
            </w:r>
          </w:p>
        </w:tc>
        <w:tc>
          <w:tcPr>
            <w:tcW w:type="dxa" w:w="3096"/>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Conservar evidencia solo con mapa de impacto revisado; no repetir por rutina.</w:t>
            </w:r>
          </w:p>
        </w:tc>
      </w:tr>
    </w:tbl>
    <w:p>
      <w:pPr>
        <w:pStyle w:val="Heading2"/>
        <w:keepNext/>
        <w:spacing w:before="140" w:after="100"/>
      </w:pPr>
      <w:r>
        <w:rPr>
          <w:rFonts w:ascii="Aptos" w:hAnsi="Aptos"/>
          <w:b/>
          <w:i w:val="0"/>
          <w:color w:val="17365D"/>
          <w:sz w:val="27"/>
        </w:rPr>
        <w:t>15. Candidato de salida y acta final</w:t>
      </w:r>
    </w:p>
    <w:p>
      <w:pPr>
        <w:spacing w:after="80" w:line="259" w:lineRule="auto"/>
      </w:pPr>
      <w:r>
        <w:rPr>
          <w:rFonts w:ascii="Aptos" w:hAnsi="Aptos"/>
          <w:b w:val="0"/>
          <w:i w:val="0"/>
          <w:sz w:val="21"/>
        </w:rPr>
        <w:t>La puerta final solo puede abrirse cuando exista un candidato estable y todos los artefactos siguientes estén congelados: producto canónico B01–B08 y CT; Plan v1.0; Arquitectura aprobada; implementación identificada; corpus; referencias; configuración; fuentes; resultados; evidencias; hallazgos cerrados.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Campo del acta</w:t>
            </w:r>
          </w:p>
        </w:tc>
        <w:tc>
          <w:tcPr>
            <w:tcW w:type="dxa" w:w="6192"/>
            <w:vAlign w:val="center"/>
            <w:tcMar>
              <w:top w:w="72" w:type="dxa"/>
              <w:left w:w="72" w:type="dxa"/>
              <w:bottom w:w="72" w:type="dxa"/>
              <w:right w:w="72"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Condición</w:t>
            </w:r>
          </w:p>
        </w:tc>
      </w:tr>
      <w:tr>
        <w:trPr>
          <w:cantSplit/>
        </w:trPr>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Versión y alcance</w:t>
            </w:r>
          </w:p>
        </w:tc>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Identidad inequívoca de Sirius 0.2 y exclusiones declaradas.</w:t>
            </w:r>
          </w:p>
        </w:tc>
      </w:tr>
      <w:tr>
        <w:trPr>
          <w:cantSplit/>
        </w:trPr>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Artefactos canónicos</w:t>
            </w:r>
          </w:p>
        </w:tc>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Versiones exactas y estado aprobado.</w:t>
            </w:r>
          </w:p>
        </w:tc>
      </w:tr>
      <w:tr>
        <w:trPr>
          <w:cantSplit/>
        </w:trPr>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Candidato</w:t>
            </w:r>
          </w:p>
        </w:tc>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Implementación y configuración congeladas.</w:t>
            </w:r>
          </w:p>
        </w:tc>
      </w:tr>
      <w:tr>
        <w:trPr>
          <w:cantSplit/>
        </w:trPr>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Corpus y referencias</w:t>
            </w:r>
          </w:p>
        </w:tc>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Versiones, familias y tolerancias.</w:t>
            </w:r>
          </w:p>
        </w:tc>
      </w:tr>
      <w:tr>
        <w:trPr>
          <w:cantSplit/>
        </w:trPr>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Resultados</w:t>
            </w:r>
          </w:p>
        </w:tc>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Métricas globales y por familia.</w:t>
            </w:r>
          </w:p>
        </w:tc>
      </w:tr>
      <w:tr>
        <w:trPr>
          <w:cantSplit/>
        </w:trPr>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Puertas</w:t>
            </w:r>
          </w:p>
        </w:tc>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Todas superadas; cero excepción.</w:t>
            </w:r>
          </w:p>
        </w:tc>
      </w:tr>
      <w:tr>
        <w:trPr>
          <w:cantSplit/>
        </w:trPr>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Fuentes</w:t>
            </w:r>
          </w:p>
        </w:tc>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Obligatorias verificadas.</w:t>
            </w:r>
          </w:p>
        </w:tc>
      </w:tr>
      <w:tr>
        <w:trPr>
          <w:cantSplit/>
        </w:trPr>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Hallazgos</w:t>
            </w:r>
          </w:p>
        </w:tc>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Cero críticos/importantes abiertos.</w:t>
            </w:r>
          </w:p>
        </w:tc>
      </w:tr>
      <w:tr>
        <w:trPr>
          <w:cantSplit/>
        </w:trPr>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Evidencia</w:t>
            </w:r>
          </w:p>
        </w:tc>
        <w:tc>
          <w:tcPr>
            <w:tcW w:type="dxa" w:w="5112"/>
            <w:vAlign w:val="center"/>
            <w:tcMar>
              <w:top w:w="72" w:type="dxa"/>
              <w:left w:w="72" w:type="dxa"/>
              <w:bottom w:w="72" w:type="dxa"/>
              <w:right w:w="72" w:type="dxa"/>
            </w:tcMar>
          </w:tcPr>
          <w:p>
            <w:pPr>
              <w:spacing w:after="0" w:before="0" w:line="240" w:lineRule="auto"/>
            </w:pPr>
            <w:r/>
            <w:r>
              <w:rPr>
                <w:rFonts w:ascii="Aptos" w:hAnsi="Aptos"/>
                <w:b w:val="0"/>
                <w:i w:val="0"/>
                <w:sz w:val="16"/>
              </w:rPr>
              <w:t>Reproducible y vinculada.</w:t>
            </w:r>
          </w:p>
        </w:tc>
      </w:tr>
      <w:tr>
        <w:trPr>
          <w:cantSplit/>
        </w:trPr>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Aprobación</w:t>
            </w:r>
          </w:p>
        </w:tc>
        <w:tc>
          <w:tcPr>
            <w:tcW w:type="dxa" w:w="5112"/>
            <w:vAlign w:val="center"/>
            <w:tcMar>
              <w:top w:w="72" w:type="dxa"/>
              <w:left w:w="72" w:type="dxa"/>
              <w:bottom w:w="72" w:type="dxa"/>
              <w:right w:w="72" w:type="dxa"/>
            </w:tcMar>
            <w:shd w:fill="E7E6E6"/>
          </w:tcPr>
          <w:p>
            <w:pPr>
              <w:spacing w:after="0" w:before="0" w:line="240" w:lineRule="auto"/>
            </w:pPr>
            <w:r/>
            <w:r>
              <w:rPr>
                <w:rFonts w:ascii="Aptos" w:hAnsi="Aptos"/>
                <w:b w:val="0"/>
                <w:i w:val="0"/>
                <w:sz w:val="16"/>
              </w:rPr>
              <w:t>Declaración explícita del usuario con fecha.</w:t>
            </w:r>
          </w:p>
        </w:tc>
      </w:tr>
    </w:tbl>
    <w:p>
      <w:pPr>
        <w:pStyle w:val="Heading1"/>
        <w:keepNext/>
      </w:pPr>
      <w:r>
        <w:rPr>
          <w:rFonts w:ascii="Aptos" w:hAnsi="Aptos"/>
        </w:rPr>
        <w:t>16. Cierre de auditorías y corrección final</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15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Hallazgo</w:t>
            </w:r>
          </w:p>
        </w:tc>
        <w:tc>
          <w:tcPr>
            <w:tcW w:type="dxa" w:w="1800"/>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Estado</w:t>
            </w:r>
          </w:p>
        </w:tc>
        <w:tc>
          <w:tcPr>
            <w:tcW w:type="dxa" w:w="6840"/>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Corrección verificable</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C-1</w:t>
            </w:r>
          </w:p>
        </w:tc>
        <w:tc>
          <w:tcPr>
            <w:tcW w:type="dxa" w:w="180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CERRADO</w:t>
            </w:r>
          </w:p>
        </w:tc>
        <w:tc>
          <w:tcPr>
            <w:tcW w:type="dxa" w:w="6840"/>
            <w:vAlign w:val="center"/>
            <w:tcMar>
              <w:top w:w="80" w:type="dxa"/>
              <w:start w:w="90" w:type="dxa"/>
              <w:bottom w:w="80" w:type="dxa"/>
              <w:end w:w="90" w:type="dxa"/>
            </w:tcMar>
          </w:tcPr>
          <w:p>
            <w:pPr>
              <w:spacing w:after="0" w:before="0" w:line="240" w:lineRule="auto"/>
              <w:jc w:val="center"/>
            </w:pPr>
            <w:r>
              <w:rPr>
                <w:rFonts w:ascii="Aptos" w:hAnsi="Aptos"/>
                <w:sz w:val="16"/>
              </w:rPr>
              <w:t>Regla B01–B08+CT; 16 filas B08; denominador 79.</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I-1</w:t>
            </w:r>
          </w:p>
        </w:tc>
        <w:tc>
          <w:tcPr>
            <w:tcW w:type="dxa" w:w="180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CERRADO</w:t>
            </w:r>
          </w:p>
        </w:tc>
        <w:tc>
          <w:tcPr>
            <w:tcW w:type="dxa" w:w="684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Obligaciones heterogéneas desagregadas; agrupación solo por mandato idéntico.</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I-2</w:t>
            </w:r>
          </w:p>
        </w:tc>
        <w:tc>
          <w:tcPr>
            <w:tcW w:type="dxa" w:w="180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CERRADO</w:t>
            </w:r>
          </w:p>
        </w:tc>
        <w:tc>
          <w:tcPr>
            <w:tcW w:type="dxa" w:w="684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Localizadores B06/B07 cotejados; no resurrección RF-23, identidad RF-01/17, relaciones RF-15–17, snapshots RF-10–14.</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I-3</w:t>
            </w:r>
          </w:p>
        </w:tc>
        <w:tc>
          <w:tcPr>
            <w:tcW w:type="dxa" w:w="180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CERRADO</w:t>
            </w:r>
          </w:p>
        </w:tc>
        <w:tc>
          <w:tcPr>
            <w:tcW w:type="dxa" w:w="684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Anexo B asigna caso, familia, métrica/puerta, evidencia y estado por cada fila.</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I-4</w:t>
            </w:r>
          </w:p>
        </w:tc>
        <w:tc>
          <w:tcPr>
            <w:tcW w:type="dxa" w:w="180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CERRADO</w:t>
            </w:r>
          </w:p>
        </w:tc>
        <w:tc>
          <w:tcPr>
            <w:tcW w:type="dxa" w:w="684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276 casos heredados + 28 transversales = 304; B01 declarado sin CA numerados.</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I-5</w:t>
            </w:r>
          </w:p>
        </w:tc>
        <w:tc>
          <w:tcPr>
            <w:tcW w:type="dxa" w:w="1800"/>
            <w:vAlign w:val="center"/>
            <w:tcMar>
              <w:top w:w="80" w:type="dxa"/>
              <w:start w:w="90" w:type="dxa"/>
              <w:bottom w:w="80" w:type="dxa"/>
              <w:end w:w="90" w:type="dxa"/>
            </w:tcMar>
          </w:tcPr>
          <w:p>
            <w:pPr>
              <w:spacing w:after="0" w:before="0" w:line="240" w:lineRule="auto"/>
              <w:jc w:val="center"/>
            </w:pPr>
            <w:r>
              <w:rPr>
                <w:rFonts w:ascii="Aptos" w:hAnsi="Aptos"/>
                <w:sz w:val="16"/>
              </w:rPr>
              <w:t>CERRADO</w:t>
            </w:r>
            <w:r>
              <w:rPr>
                <w:rFonts w:ascii="Aptos" w:hAnsi="Aptos"/>
                <w:b w:val="0"/>
                <w:sz w:val="16"/>
              </w:rPr>
            </w:r>
          </w:p>
        </w:tc>
        <w:tc>
          <w:tcPr>
            <w:tcW w:type="dxa" w:w="684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Ejecución incremental, revisión separada, protocolo longitudinal y tratamiento explícito de 0.1 no ejecutable.</w:t>
            </w:r>
          </w:p>
        </w:tc>
      </w:tr>
      <w:tr>
        <w:tc>
          <w:tcPr>
            <w:tcW w:type="dxa" w:w="11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m1–m5</w:t>
            </w:r>
          </w:p>
        </w:tc>
        <w:tc>
          <w:tcPr>
            <w:tcW w:type="dxa" w:w="180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CERRADOS</w:t>
            </w:r>
          </w:p>
        </w:tc>
        <w:tc>
          <w:tcPr>
            <w:tcW w:type="dxa" w:w="684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Puertas añadidas, B02 declarado sin métricas numeradas, métricas de cegamiento/comprensión, estado RED y familias corregidas.</w:t>
            </w:r>
          </w:p>
        </w:tc>
      </w:tr>
      <w:tr>
        <w:tc>
          <w:tcPr>
            <w:tcW w:type="dxa" w:w="3408"/>
            <w:vAlign w:val="center"/>
          </w:tcPr>
          <w:p>
            <w:r>
              <w:t>H-1</w:t>
            </w:r>
          </w:p>
        </w:tc>
        <w:tc>
          <w:tcPr>
            <w:tcW w:type="dxa" w:w="3408"/>
            <w:vAlign w:val="center"/>
          </w:tcPr>
          <w:p>
            <w:r>
              <w:t>CERRADO</w:t>
            </w:r>
          </w:p>
        </w:tc>
        <w:tc>
          <w:tcPr>
            <w:tcW w:type="dxa" w:w="3408"/>
            <w:vAlign w:val="center"/>
          </w:tcPr>
          <w:p>
            <w:r>
              <w:t>Las 79 filas del Anexo B fueron cotejadas contra el Anexo A; se corrigieron las métricas que no medían la obligación delegada.</w:t>
            </w:r>
          </w:p>
        </w:tc>
      </w:tr>
      <w:tr>
        <w:tc>
          <w:tcPr>
            <w:tcW w:type="dxa" w:w="3408"/>
            <w:vAlign w:val="center"/>
          </w:tcPr>
          <w:p>
            <w:r>
              <w:t>H-2</w:t>
            </w:r>
          </w:p>
        </w:tc>
        <w:tc>
          <w:tcPr>
            <w:tcW w:type="dxa" w:w="3408"/>
            <w:vAlign w:val="center"/>
          </w:tcPr>
          <w:p>
            <w:r>
              <w:t>CERRADO</w:t>
            </w:r>
          </w:p>
        </w:tc>
        <w:tc>
          <w:tcPr>
            <w:tcW w:type="dxa" w:w="3408"/>
            <w:vAlign w:val="center"/>
          </w:tcPr>
          <w:p>
            <w:r>
              <w:t>Mínimo canónico por familia definido; PDP-M09 usa denominador fijo 25 y toda familia no ejecutada falla.</w:t>
            </w:r>
          </w:p>
        </w:tc>
      </w:tr>
      <w:tr>
        <w:tc>
          <w:tcPr>
            <w:tcW w:type="dxa" w:w="3408"/>
            <w:vAlign w:val="center"/>
          </w:tcPr>
          <w:p>
            <w:r>
              <w:t>H-3</w:t>
            </w:r>
          </w:p>
        </w:tc>
        <w:tc>
          <w:tcPr>
            <w:tcW w:type="dxa" w:w="3408"/>
            <w:vAlign w:val="center"/>
          </w:tcPr>
          <w:p>
            <w:r>
              <w:t>CERRADO</w:t>
            </w:r>
          </w:p>
        </w:tc>
        <w:tc>
          <w:tcPr>
            <w:tcW w:type="dxa" w:w="3408"/>
            <w:vAlign w:val="center"/>
          </w:tcPr>
          <w:p>
            <w:r>
              <w:t>Alta RED-079 para la matriz completa de catorce operaciones; denominador actualizado a 79.</w:t>
            </w:r>
          </w:p>
        </w:tc>
      </w:tr>
      <w:tr>
        <w:tc>
          <w:tcPr>
            <w:tcW w:type="dxa" w:w="3408"/>
            <w:vAlign w:val="center"/>
          </w:tcPr>
          <w:p>
            <w:r>
              <w:t>H-4</w:t>
            </w:r>
          </w:p>
        </w:tc>
        <w:tc>
          <w:tcPr>
            <w:tcW w:type="dxa" w:w="3408"/>
            <w:vAlign w:val="center"/>
          </w:tcPr>
          <w:p>
            <w:r>
              <w:t>CERRADO</w:t>
            </w:r>
          </w:p>
        </w:tc>
        <w:tc>
          <w:tcPr>
            <w:tcW w:type="dxa" w:w="3408"/>
            <w:vAlign w:val="center"/>
          </w:tcPr>
          <w:p>
            <w:r>
              <w:t>NO EJECUTABLE solo puede adquirir efecto mediante corrección canónica aprobada de B01; el Plan no rebaja M13/F25.</w:t>
            </w:r>
          </w:p>
        </w:tc>
      </w:tr>
      <w:tr>
        <w:tc>
          <w:tcPr>
            <w:tcW w:type="dxa" w:w="3408"/>
            <w:vAlign w:val="center"/>
          </w:tcPr>
          <w:p>
            <w:r>
              <w:t>m-a–m-e</w:t>
            </w:r>
          </w:p>
        </w:tc>
        <w:tc>
          <w:tcPr>
            <w:tcW w:type="dxa" w:w="3408"/>
            <w:vAlign w:val="center"/>
          </w:tcPr>
          <w:p>
            <w:r>
              <w:t>CERRADOS</w:t>
            </w:r>
          </w:p>
        </w:tc>
        <w:tc>
          <w:tcPr>
            <w:tcW w:type="dxa" w:w="3408"/>
            <w:vAlign w:val="center"/>
          </w:tcPr>
          <w:p>
            <w:r>
              <w:t>Puertas integradas; cegamiento no viable reportado; escala 0–4; viabilidad repuntuada; Registro de Tolerancias añadido.</w:t>
            </w:r>
          </w:p>
        </w:tc>
      </w:tr>
    </w:tbl>
    <w:p>
      <w:pPr>
        <w:pStyle w:val="Heading1"/>
        <w:keepNext/>
      </w:pPr>
      <w:r>
        <w:rPr>
          <w:rFonts w:ascii="Aptos" w:hAnsi="Aptos"/>
        </w:rPr>
        <w:t>17. Investigación avanzada</w:t>
      </w:r>
    </w:p>
    <w:p>
      <w:pPr/>
      <w:r>
        <w:rPr>
          <w:rFonts w:ascii="Aptos" w:hAnsi="Aptos"/>
          <w:sz w:val="21"/>
        </w:rPr>
        <w:t>La investigación se limita a prácticas de evaluación, reproducibilidad y medición útiles para ejecutar el contrato ya aprobado; no introduce arquitectura.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ID</w:t>
            </w:r>
          </w:p>
        </w:tc>
        <w:tc>
          <w:tcPr>
            <w:tcW w:type="dxa" w:w="655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t>Conclusión aplicada a PDP-1.0</w:t>
            </w:r>
          </w:p>
        </w:tc>
        <w:tc>
          <w:tcPr>
            <w:tcW w:type="dxa" w:w="2520"/>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Fuente primaria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F01</w:t>
            </w:r>
          </w:p>
        </w:tc>
        <w:tc>
          <w:tcPr>
            <w:tcW w:type="dxa" w:w="65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Los objetivos, benchmarks, ejecución y reporte deben declararse antes de evaluar; la transparencia del proceso es parte de la validez.</w:t>
            </w:r>
          </w:p>
        </w:tc>
        <w:tc>
          <w:tcPr>
            <w:tcW w:type="dxa" w:w="25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NIST AI 800-2 (borrador público, 2026).</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F02</w:t>
            </w:r>
          </w:p>
        </w:tc>
        <w:tc>
          <w:tcPr>
            <w:tcW w:type="dxa" w:w="65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El rendimiento sobre un banco fijo no equivale a generalización. Sirius debe informar resultado del corpus y no convertirlo en afirmación universal.</w:t>
            </w:r>
          </w:p>
        </w:tc>
        <w:tc>
          <w:tcPr>
            <w:tcW w:type="dxa" w:w="25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NIST AI 800-3, DOI 10.6028/NIST.AI.800-3.</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F03</w:t>
            </w:r>
          </w:p>
        </w:tc>
        <w:tc>
          <w:tcPr>
            <w:tcW w:type="dxa" w:w="65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Una evaluación útil puede combinar pruebas automatizadas, red-team, anotación y cuestionarios de uso; cada evidencia conserva su nivel y limitación.</w:t>
            </w:r>
          </w:p>
        </w:tc>
        <w:tc>
          <w:tcPr>
            <w:tcW w:type="dxa" w:w="25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NIST AI 700-2 ARIA Pilot, DOI 10.6028/NIST.AI.700-2.</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F04</w:t>
            </w:r>
          </w:p>
        </w:tc>
        <w:tc>
          <w:tcPr>
            <w:tcW w:type="dxa" w:w="65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Los diseños de caso único requieren mediciones repetidas, referencia previa y reglas explícitas de evidencia; una observación aislada no sostiene utilidad diferida.</w:t>
            </w:r>
          </w:p>
        </w:tc>
        <w:tc>
          <w:tcPr>
            <w:tcW w:type="dxa" w:w="25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WWC Single-Case Design Technical Documentation.</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F05</w:t>
            </w:r>
          </w:p>
        </w:tc>
        <w:tc>
          <w:tcPr>
            <w:tcW w:type="dxa" w:w="65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El cegamiento del evaluador reduce sesgo cuando el juicio puede verse influido por conocer la condición; si no es viable debe documentarse.</w:t>
            </w:r>
          </w:p>
        </w:tc>
        <w:tc>
          <w:tcPr>
            <w:tcW w:type="dxa" w:w="25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AHRQ/NCBI Risk of Bias guidance.</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F06</w:t>
            </w:r>
          </w:p>
        </w:tc>
        <w:tc>
          <w:tcPr>
            <w:tcW w:type="dxa" w:w="65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La unidad reproducible es la ejecución completa, incluidos fallos, errores y exclusiones; cambiar reglas de reporte puede alterar materialmente la puntuación.</w:t>
            </w:r>
          </w:p>
        </w:tc>
        <w:tc>
          <w:tcPr>
            <w:tcW w:type="dxa" w:w="25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Rollout Cards (2026), arXiv:2605.12131.</w:t>
            </w:r>
          </w:p>
        </w:tc>
      </w:tr>
    </w:tbl>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9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ID</w:t>
            </w:r>
          </w:p>
        </w:tc>
        <w:tc>
          <w:tcPr>
            <w:tcW w:type="dxa" w:w="6120"/>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Referencia</w:t>
            </w:r>
          </w:p>
        </w:tc>
        <w:tc>
          <w:tcPr>
            <w:tcW w:type="dxa" w:w="295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Estado/uso</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S01</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NIST AI 800-2 · Practices for Automated Benchmark Evaluations of Language Models</w:t>
            </w:r>
          </w:p>
        </w:tc>
        <w:tc>
          <w:tcPr>
            <w:tcW w:type="dxa" w:w="29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Borrador público 2026; NIST/CAISI.</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S02</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Keller et al. · Expanding the AI Evaluation Toolbox with Statistical Models</w:t>
            </w:r>
          </w:p>
        </w:tc>
        <w:tc>
          <w:tcPr>
            <w:tcW w:type="dxa" w:w="29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NIST AI 800-3; DOI 10.6028/NIST.AI.800-3.</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S03</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Amironesei et al. · ARIA Pilot Evaluation Report</w:t>
            </w:r>
          </w:p>
        </w:tc>
        <w:tc>
          <w:tcPr>
            <w:tcW w:type="dxa" w:w="29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NIST AI 700-2; DOI 10.6028/NIST.AI.700-2.</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S04</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What Works Clearinghouse · Single-Case Design Technical Documentation</w:t>
            </w:r>
          </w:p>
        </w:tc>
        <w:tc>
          <w:tcPr>
            <w:tcW w:type="dxa" w:w="29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Institute of Education Sciences, 2010.</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S05</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AHRQ/NCBI · Risk of Bias and Inter-Rater Reliability Guidance</w:t>
            </w:r>
          </w:p>
        </w:tc>
        <w:tc>
          <w:tcPr>
            <w:tcW w:type="dxa" w:w="29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NCBI Bookshelf NBK92290.</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S06</w:t>
            </w:r>
          </w:p>
        </w:tc>
        <w:tc>
          <w:tcPr>
            <w:tcW w:type="dxa" w:w="612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Masters, Liu &amp; Albrecht · Rollout Cards</w:t>
            </w:r>
          </w:p>
        </w:tc>
        <w:tc>
          <w:tcPr>
            <w:tcW w:type="dxa" w:w="295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arXiv:2605.12131, 2026.</w:t>
            </w:r>
          </w:p>
        </w:tc>
      </w:tr>
    </w:tbl>
    <w:p>
      <w:pPr>
        <w:pStyle w:val="Heading1"/>
        <w:keepNext/>
      </w:pPr>
      <w:r>
        <w:rPr>
          <w:rFonts w:ascii="Aptos" w:hAnsi="Aptos"/>
        </w:rPr>
        <w:t>18. Ejecutabilidad unipersonal y protocolos acotados</w:t>
      </w:r>
    </w:p>
    <w:p>
      <w:pPr>
        <w:pStyle w:val="Heading2"/>
        <w:keepNext/>
      </w:pPr>
      <w:r>
        <w:rPr>
          <w:rFonts w:ascii="Aptos" w:hAnsi="Aptos"/>
        </w:rPr>
        <w:t>18.1 Banco obligatorio y ejecución incremental</w:t>
      </w:r>
    </w:p>
    <w:p>
      <w:pPr/>
      <w:r>
        <w:rPr>
          <w:rFonts w:ascii="Aptos" w:hAnsi="Aptos"/>
          <w:sz w:val="21"/>
        </w:rPr>
        <w:t>El banco obligatorio contiene 304 casos identificables. Puede materializarse y ejecutarse por familias durante el desarrollo. La evidencia se reutiliza solo si el mapa de impacto demuestra que el candidato, configuración, referencia y dependencias relevantes permanecen idénticos; las puertas de privacidad, borrado, aislamiento y persistencia forman siempre el smoke transversal.</w:t>
      </w:r>
    </w:p>
    <w:p>
      <w:pPr>
        <w:pStyle w:val="Heading2"/>
        <w:keepNext/>
      </w:pPr>
      <w:r>
        <w:rPr>
          <w:rFonts w:ascii="Aptos" w:hAnsi="Aptos"/>
        </w:rPr>
        <w:t>18.2 Independencia en un equipo de una persona</w:t>
      </w:r>
    </w:p>
    <w:p>
      <w:pPr/>
      <w:r>
        <w:rPr>
          <w:rFonts w:ascii="Aptos" w:hAnsi="Aptos"/>
          <w:sz w:val="21"/>
        </w:rPr>
        <w:t>La primera adjudicación la realiza el Ingeniero o revisor primario. La segunda se ejecuta en una sesión o agente separado que recibe únicamente la ficha congelada, la salida anonimizada y la rúbrica, sin el primer dictamen ni la etiqueta del candidato. El usuario resuelve discrepancias. Si no puede demostrarse separación real, el caso crítico queda abierto.</w:t>
      </w:r>
    </w:p>
    <w:p>
      <w:pPr>
        <w:pStyle w:val="Heading2"/>
        <w:keepNext/>
      </w:pPr>
      <w:r>
        <w:rPr>
          <w:rFonts w:ascii="Aptos" w:hAnsi="Aptos"/>
        </w:rPr>
        <w:t>18.3 Protocolo longitudinal mínimo</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Métrica</w:t>
            </w:r>
          </w:p>
        </w:tc>
        <w:tc>
          <w:tcPr>
            <w:tcW w:type="dxa" w:w="5976"/>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Protocolo mínimo prefijado</w:t>
            </w:r>
          </w:p>
        </w:tc>
        <w:tc>
          <w:tcPr>
            <w:tcW w:type="dxa" w:w="2088"/>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Cierre</w:t>
            </w:r>
          </w:p>
        </w:tc>
      </w:tr>
      <w:tr>
        <w:tc>
          <w:tcPr>
            <w:tcW w:type="dxa" w:w="180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B03-M15 · Utilidad diferida</w:t>
            </w:r>
          </w:p>
        </w:tc>
        <w:tc>
          <w:tcPr>
            <w:tcW w:type="dxa" w:w="5976"/>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Mínimo 8 oportunidades de reutilización separadas de la confirmación por al menos 24 horas, distribuidas en 3 familias de tarea y 2 proyectos; comparación pareada con control sin memoria y referencia previa.</w:t>
            </w:r>
          </w:p>
        </w:tc>
        <w:tc>
          <w:tcPr>
            <w:tcW w:type="dxa" w:w="208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Mejora frente a control D; se informan todos los pares.</w:t>
            </w:r>
          </w:p>
        </w:tc>
      </w:tr>
      <w:tr>
        <w:tc>
          <w:tcPr>
            <w:tcW w:type="dxa" w:w="180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B03-M16 · Arrepentimiento</w:t>
            </w:r>
          </w:p>
        </w:tc>
        <w:tc>
          <w:tcPr>
            <w:tcW w:type="dxa" w:w="5976"/>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Mínimo 20 recuerdos ordinarios confirmados; cada uno se observa 30 días o hasta 3 oportunidades de reutilización, lo que ocurra antes. Toda corrección/eliminación atribuible a mala sugerencia cuenta.</w:t>
            </w:r>
          </w:p>
        </w:tc>
        <w:tc>
          <w:tcPr>
            <w:tcW w:type="dxa" w:w="208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≤5 % ordinarias; 0 en críticos de seguridad.</w:t>
            </w:r>
          </w:p>
        </w:tc>
      </w:tr>
      <w:tr>
        <w:tc>
          <w:tcPr>
            <w:tcW w:type="dxa" w:w="180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B01-M13 / F25</w:t>
            </w:r>
          </w:p>
        </w:tc>
        <w:tc>
          <w:tcPr>
            <w:tcW w:type="dxa" w:w="5976"/>
            <w:vAlign w:val="center"/>
            <w:tcMar>
              <w:top w:w="80" w:type="dxa"/>
              <w:start w:w="90" w:type="dxa"/>
              <w:bottom w:w="80" w:type="dxa"/>
              <w:end w:w="90" w:type="dxa"/>
            </w:tcMar>
          </w:tcPr>
          <w:p>
            <w:pPr>
              <w:spacing w:after="0" w:before="0" w:line="240" w:lineRule="auto"/>
              <w:jc w:val="center"/>
            </w:pPr>
            <w:r>
              <w:rPr>
                <w:rFonts w:ascii="Aptos" w:hAnsi="Aptos"/>
                <w:sz w:val="16"/>
              </w:rPr>
              <w:t>Primero se intenta ejecutar Sirius 0.1 congelada bajo condiciones equivalentes. Si no es técnicamente posible, se documenta el intento y se registra NO EJECUTABLE PROPUESTO. Solo una corrección canónica de B01, aprobada por el usuario, puede declarar la no aplicabilidad o sustituir la obligación; el Plan no tiene esa autoridad.</w:t>
            </w:r>
          </w:p>
        </w:tc>
        <w:tc>
          <w:tcPr>
            <w:tcW w:type="dxa" w:w="2088"/>
            <w:vAlign w:val="center"/>
            <w:tcMar>
              <w:top w:w="80" w:type="dxa"/>
              <w:start w:w="90" w:type="dxa"/>
              <w:bottom w:w="80" w:type="dxa"/>
              <w:end w:w="90" w:type="dxa"/>
            </w:tcMar>
          </w:tcPr>
          <w:p>
            <w:pPr>
              <w:spacing w:after="0" w:before="0" w:line="240" w:lineRule="auto"/>
              <w:jc w:val="center"/>
            </w:pPr>
            <w:r>
              <w:rPr>
                <w:rFonts w:ascii="Aptos" w:hAnsi="Aptos"/>
                <w:sz w:val="16"/>
              </w:rPr>
              <w:t>Sin corrección canónica aprobada, B01-M13/F25 permanece abierto y bloquea el cierre. No se imputa resultado y no se crea métrica sustituta.</w:t>
            </w:r>
          </w:p>
        </w:tc>
      </w:tr>
    </w:tbl>
    <w:p>
      <w:pPr>
        <w:pStyle w:val="Heading1"/>
        <w:keepNext/>
      </w:pPr>
      <w:r>
        <w:rPr>
          <w:rFonts w:ascii="Aptos" w:hAnsi="Aptos"/>
        </w:rPr>
        <w:t>19. Comparación de alternativas</w:t>
      </w:r>
    </w:p>
    <w:p>
      <w:pPr/>
      <w:r>
        <w:rPr>
          <w:rFonts w:ascii="Aptos" w:hAnsi="Aptos"/>
          <w:sz w:val="21"/>
        </w:rPr>
        <w:t>Escala 0–4. Total = Σ[(nota ÷ 4) × peso]. R1, R2 y R3 son puertas: 0–1 elimina la alternativa.</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864"/>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Criterio</w:t>
            </w:r>
          </w:p>
        </w:tc>
        <w:tc>
          <w:tcPr>
            <w:tcW w:type="dxa" w:w="7704"/>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Descripción</w:t>
            </w:r>
          </w:p>
        </w:tc>
        <w:tc>
          <w:tcPr>
            <w:tcW w:type="dxa" w:w="1008"/>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Peso</w:t>
            </w:r>
          </w:p>
        </w:tc>
      </w:tr>
      <w:tr>
        <w:tc>
          <w:tcPr>
            <w:tcW w:type="dxa" w:w="86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R1</w:t>
            </w:r>
          </w:p>
        </w:tc>
        <w:tc>
          <w:tcPr>
            <w:tcW w:type="dxa" w:w="770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Integridad de denominadores y puertas</w:t>
            </w:r>
          </w:p>
        </w:tc>
        <w:tc>
          <w:tcPr>
            <w:tcW w:type="dxa" w:w="100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20</w:t>
            </w:r>
          </w:p>
        </w:tc>
      </w:tr>
      <w:tr>
        <w:tc>
          <w:tcPr>
            <w:tcW w:type="dxa" w:w="86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R2</w:t>
            </w:r>
          </w:p>
        </w:tc>
        <w:tc>
          <w:tcPr>
            <w:tcW w:type="dxa" w:w="770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Cobertura y trazabilidad</w:t>
            </w:r>
          </w:p>
        </w:tc>
        <w:tc>
          <w:tcPr>
            <w:tcW w:type="dxa" w:w="100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15</w:t>
            </w:r>
          </w:p>
        </w:tc>
      </w:tr>
      <w:tr>
        <w:tc>
          <w:tcPr>
            <w:tcW w:type="dxa" w:w="86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R3</w:t>
            </w:r>
          </w:p>
        </w:tc>
        <w:tc>
          <w:tcPr>
            <w:tcW w:type="dxa" w:w="770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Reproducibilidad y no manipulación</w:t>
            </w:r>
          </w:p>
        </w:tc>
        <w:tc>
          <w:tcPr>
            <w:tcW w:type="dxa" w:w="100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15</w:t>
            </w:r>
          </w:p>
        </w:tc>
      </w:tr>
      <w:tr>
        <w:tc>
          <w:tcPr>
            <w:tcW w:type="dxa" w:w="86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R4</w:t>
            </w:r>
          </w:p>
        </w:tc>
        <w:tc>
          <w:tcPr>
            <w:tcW w:type="dxa" w:w="770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Viabilidad unipersonal</w:t>
            </w:r>
          </w:p>
        </w:tc>
        <w:tc>
          <w:tcPr>
            <w:tcW w:type="dxa" w:w="100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15</w:t>
            </w:r>
          </w:p>
        </w:tc>
      </w:tr>
      <w:tr>
        <w:tc>
          <w:tcPr>
            <w:tcW w:type="dxa" w:w="86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R5</w:t>
            </w:r>
          </w:p>
        </w:tc>
        <w:tc>
          <w:tcPr>
            <w:tcW w:type="dxa" w:w="770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Medición longitudinal y utilidad</w:t>
            </w:r>
          </w:p>
        </w:tc>
        <w:tc>
          <w:tcPr>
            <w:tcW w:type="dxa" w:w="100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10</w:t>
            </w:r>
          </w:p>
        </w:tc>
      </w:tr>
      <w:tr>
        <w:tc>
          <w:tcPr>
            <w:tcW w:type="dxa" w:w="86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R6</w:t>
            </w:r>
          </w:p>
        </w:tc>
        <w:tc>
          <w:tcPr>
            <w:tcW w:type="dxa" w:w="770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Regresión y reutilización de evidencia</w:t>
            </w:r>
          </w:p>
        </w:tc>
        <w:tc>
          <w:tcPr>
            <w:tcW w:type="dxa" w:w="100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10</w:t>
            </w:r>
          </w:p>
        </w:tc>
      </w:tr>
      <w:tr>
        <w:tc>
          <w:tcPr>
            <w:tcW w:type="dxa" w:w="86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R7</w:t>
            </w:r>
          </w:p>
        </w:tc>
        <w:tc>
          <w:tcPr>
            <w:tcW w:type="dxa" w:w="770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Simplicidad/coste de adopción</w:t>
            </w:r>
          </w:p>
        </w:tc>
        <w:tc>
          <w:tcPr>
            <w:tcW w:type="dxa" w:w="100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10</w:t>
            </w:r>
          </w:p>
        </w:tc>
      </w:tr>
      <w:tr>
        <w:tc>
          <w:tcPr>
            <w:tcW w:type="dxa" w:w="86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R8</w:t>
            </w:r>
          </w:p>
        </w:tc>
        <w:tc>
          <w:tcPr>
            <w:tcW w:type="dxa" w:w="7704"/>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Neutralidad tecnológica</w:t>
            </w:r>
          </w:p>
        </w:tc>
        <w:tc>
          <w:tcPr>
            <w:tcW w:type="dxa" w:w="1008"/>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5</w:t>
            </w:r>
          </w:p>
        </w:tc>
      </w:tr>
    </w:tbl>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3240"/>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Alternativa</w:t>
            </w:r>
          </w:p>
        </w:tc>
        <w:tc>
          <w:tcPr>
            <w:tcW w:type="dxa" w:w="187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Notas R1–R8</w:t>
            </w:r>
          </w:p>
        </w:tc>
        <w:tc>
          <w:tcPr>
            <w:tcW w:type="dxa" w:w="1080"/>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Total</w:t>
            </w:r>
          </w:p>
        </w:tc>
        <w:tc>
          <w:tcPr>
            <w:tcW w:type="dxa" w:w="367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6"/>
              </w:rPr>
            </w:r>
            <w:r>
              <w:rPr>
                <w:rFonts w:ascii="Aptos" w:hAnsi="Aptos"/>
                <w:b/>
                <w:color w:val="FFFFFF"/>
                <w:sz w:val="16"/>
              </w:rPr>
              <w:t>Lectura</w:t>
            </w:r>
          </w:p>
        </w:tc>
      </w:tr>
      <w:tr>
        <w:tc>
          <w:tcPr>
            <w:tcW w:type="dxa" w:w="324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A · Ejecución monolítica al final</w:t>
            </w:r>
          </w:p>
        </w:tc>
        <w:tc>
          <w:tcPr>
            <w:tcW w:type="dxa" w:w="187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4, 4, 3, 1, 2, 2, 2, 4</w:t>
            </w:r>
          </w:p>
        </w:tc>
        <w:tc>
          <w:tcPr>
            <w:tcW w:type="dxa" w:w="108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70,00</w:t>
            </w:r>
          </w:p>
        </w:tc>
        <w:tc>
          <w:tcPr>
            <w:tcW w:type="dxa" w:w="367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Cobertura alta, pero impracticable y con retrabajo tardío.</w:t>
            </w:r>
          </w:p>
        </w:tc>
      </w:tr>
      <w:tr>
        <w:tc>
          <w:tcPr>
            <w:tcW w:type="dxa" w:w="324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B · Banco completo congelado + ejecución incremental</w:t>
            </w:r>
          </w:p>
        </w:tc>
        <w:tc>
          <w:tcPr>
            <w:tcW w:type="dxa" w:w="1872"/>
            <w:vAlign w:val="center"/>
            <w:tcMar>
              <w:top w:w="80" w:type="dxa"/>
              <w:start w:w="90" w:type="dxa"/>
              <w:bottom w:w="80" w:type="dxa"/>
              <w:end w:w="90" w:type="dxa"/>
            </w:tcMar>
          </w:tcPr>
          <w:p>
            <w:pPr>
              <w:spacing w:after="0" w:before="0" w:line="240" w:lineRule="auto"/>
              <w:jc w:val="center"/>
            </w:pPr>
            <w:r>
              <w:rPr>
                <w:rFonts w:ascii="Aptos" w:hAnsi="Aptos"/>
                <w:sz w:val="16"/>
              </w:rPr>
              <w:t>4, 4, 4, 3, 4, 4, 3, 4</w:t>
            </w:r>
          </w:p>
        </w:tc>
        <w:tc>
          <w:tcPr>
            <w:tcW w:type="dxa" w:w="1080"/>
            <w:vAlign w:val="center"/>
            <w:tcMar>
              <w:top w:w="80" w:type="dxa"/>
              <w:start w:w="90" w:type="dxa"/>
              <w:bottom w:w="80" w:type="dxa"/>
              <w:end w:w="90" w:type="dxa"/>
            </w:tcMar>
          </w:tcPr>
          <w:p>
            <w:pPr>
              <w:spacing w:after="0" w:before="0" w:line="240" w:lineRule="auto"/>
              <w:jc w:val="left"/>
            </w:pPr>
            <w:r>
              <w:rPr>
                <w:rFonts w:ascii="Aptos" w:hAnsi="Aptos"/>
                <w:sz w:val="16"/>
              </w:rPr>
              <w:t>93,75</w:t>
            </w:r>
          </w:p>
        </w:tc>
        <w:tc>
          <w:tcPr>
            <w:tcW w:type="dxa" w:w="3672"/>
            <w:vAlign w:val="center"/>
            <w:tcMar>
              <w:top w:w="80" w:type="dxa"/>
              <w:start w:w="90" w:type="dxa"/>
              <w:bottom w:w="80" w:type="dxa"/>
              <w:end w:w="90" w:type="dxa"/>
            </w:tcMar>
          </w:tcPr>
          <w:p>
            <w:pPr>
              <w:spacing w:after="0" w:before="0" w:line="240" w:lineRule="auto"/>
              <w:jc w:val="center"/>
            </w:pPr>
            <w:r>
              <w:rPr>
                <w:rFonts w:ascii="Aptos" w:hAnsi="Aptos"/>
                <w:sz w:val="16"/>
              </w:rPr>
              <w:t>Mantiene todas las puertas y reparte el coste mediante impacto y evidencia reutilizable, con una penalización real por carga unipersonal y complejidad.</w:t>
            </w:r>
          </w:p>
        </w:tc>
      </w:tr>
      <w:tr>
        <w:tc>
          <w:tcPr>
            <w:tcW w:type="dxa" w:w="324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C · Subconjunto basado en riesgo</w:t>
            </w:r>
          </w:p>
        </w:tc>
        <w:tc>
          <w:tcPr>
            <w:tcW w:type="dxa" w:w="187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3, 2, 3, 4, 2, 3, 4, 4</w:t>
            </w:r>
          </w:p>
        </w:tc>
        <w:tc>
          <w:tcPr>
            <w:tcW w:type="dxa" w:w="108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76,25</w:t>
            </w:r>
          </w:p>
        </w:tc>
        <w:tc>
          <w:tcPr>
            <w:tcW w:type="dxa" w:w="367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Viable, pero puede dejar obligaciones sin evidencia completa.</w:t>
            </w:r>
          </w:p>
        </w:tc>
      </w:tr>
      <w:tr>
        <w:tc>
          <w:tcPr>
            <w:tcW w:type="dxa" w:w="3240"/>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D · Validación manual ad hoc</w:t>
            </w:r>
          </w:p>
        </w:tc>
        <w:tc>
          <w:tcPr>
            <w:tcW w:type="dxa" w:w="187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2, 2, 2, 3, 2, 1, 4, 4</w:t>
            </w:r>
          </w:p>
        </w:tc>
        <w:tc>
          <w:tcPr>
            <w:tcW w:type="dxa" w:w="1080"/>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58,75</w:t>
            </w:r>
          </w:p>
        </w:tc>
        <w:tc>
          <w:tcPr>
            <w:tcW w:type="dxa" w:w="3672"/>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Simple, pero no reproduce denominadores, regresión ni cierre.</w:t>
            </w:r>
          </w:p>
        </w:tc>
      </w:tr>
    </w:tbl>
    <w:tbl>
      <w:tblPr>
        <w:tblStyle w:val="TableGrid"/>
        <w:tblW w:type="auto" w:w="0"/>
        <w:jc w:val="center"/>
        <w:tblLayout w:type="autofit"/>
        <w:tblLook w:firstColumn="1" w:firstRow="1" w:lastColumn="0" w:lastRow="0" w:noHBand="0" w:noVBand="1" w:val="04A0"/>
      </w:tblPr>
      <w:tblGrid>
        <w:gridCol w:w="10224"/>
      </w:tblGrid>
      <w:tr>
        <w:tc>
          <w:tcPr>
            <w:tcW w:type="dxa" w:w="10224"/>
            <w:vAlign w:val="center"/>
            <w:tcMar>
              <w:top w:w="80" w:type="dxa"/>
              <w:start w:w="90" w:type="dxa"/>
              <w:bottom w:w="80" w:type="dxa"/>
              <w:end w:w="90" w:type="dxa"/>
            </w:tcMar>
            <w:shd w:fill="E2F0D9"/>
          </w:tcPr>
          <w:p>
            <w:pPr>
              <w:spacing w:after="0" w:before="0" w:line="240" w:lineRule="auto"/>
              <w:jc w:val="left"/>
            </w:pPr>
            <w:r>
              <w:t>DECISIÓN APROBADA · Alternativa B. Congela el banco completo, permite ejecución incremental por familia y reutiliza evidencia solo con un mapa de impacto auditable. No reduce casos, familias ni puertas.</w:t>
            </w:r>
            <w:r>
              <w:rPr>
                <w:rFonts w:ascii="Aptos" w:hAnsi="Aptos"/>
                <w:b/>
                <w:sz w:val="19"/>
              </w:rPr>
            </w:r>
          </w:p>
        </w:tc>
      </w:tr>
    </w:tbl>
    <w:p>
      <w:pPr>
        <w:pStyle w:val="Heading2"/>
        <w:keepNext/>
        <w:spacing w:before="140" w:after="100"/>
      </w:pPr>
      <w:r>
        <w:rPr>
          <w:rFonts w:ascii="Aptos" w:hAnsi="Aptos"/>
        </w:rPr>
        <w:t>20. Cuestiones de materialización y resoluciones cerradas</w:t>
      </w:r>
    </w:p>
    <w:tbl>
      <w:tblPr>
        <w:tblStyle w:val="TableGrid"/>
        <w:tblW w:type="auto" w:w="0"/>
        <w:jc w:val="center"/>
        <w:tblLayout w:type="fixed"/>
        <w:tblLook w:firstColumn="1" w:firstRow="1" w:lastColumn="0" w:lastRow="0" w:noHBand="0" w:noVBand="1" w:val="04A0"/>
      </w:tblPr>
      <w:tblGrid>
        <w:gridCol w:w="5112"/>
        <w:gridCol w:w="5112"/>
      </w:tblGrid>
      <w:tr>
        <w:trPr>
          <w:tblHeader w:val="true"/>
          <w:tblHeader w:val="true"/>
        </w:trPr>
        <w:tc>
          <w:tcPr>
            <w:tcW w:type="dxa" w:w="1296"/>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ID</w:t>
            </w:r>
          </w:p>
        </w:tc>
        <w:tc>
          <w:tcPr>
            <w:tcW w:type="dxa" w:w="8568"/>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Pregunta material</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PDP-Q01</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t>¿El denominador RED-1.0 incluye todas las delegaciones normativas y ninguna fila artificial?</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PDP-Q02</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¿La incorporación por referencia de los casos aprobados es suficiente o alguno exige materialización textual inmediata?</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PDP-Q03</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t>RESUELTA — Las tolerancias conductuales y sus puntos de congelación quedan en el Registro TOL-001–TOL-006; ningún valor puede fijarse después de observar resultados.</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PDP-Q04</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¿El corpus de 25 familias cubre todas las puertas sin duplicar innecesariamente casos?</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PDP-Q05</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¿Cómo debe construirse el control congelado de Sirius 0.1 para la comparación adicional sin reabrir ese hito?</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PDP-Q06</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¿Qué casos requieren adjudicación ciega y cuáles no permiten cegamiento real?</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PDP-Q07</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¿Qué cambios de Arquitectura se consideran materiales para invalidar evidencia?</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PDP-Q08</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t>RESUELTA — La banda temporal concreta se congela con el candidato; los pares usan el mismo entorno y cualquier diferencia repetible atribuible al contenido protegido falla.</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PDP-Q09</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¿Cómo se demuestra no reconstruibilidad de borrado sin conservar contenido revelador?</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PDP-Q10</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¿Qué prueba mínima demuestra independencia real de dos consumidores de portabilidad?</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PDP-Q11</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¿Qué evidencia puede automatizarse sin sustituir la adjudicación humana?</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PDP-Q12</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¿Cómo se evita que el tamaño del banco convierta la validación en una barrera impracticable para un proyecto unipersonal?</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PDP-Q13</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7"/>
              </w:rPr>
            </w:r>
            <w:r>
              <w:rPr>
                <w:rFonts w:ascii="Aptos" w:hAnsi="Aptos"/>
                <w:b w:val="0"/>
                <w:sz w:val="17"/>
              </w:rPr>
              <w:t>¿Qué granularidad mínima evita ocultar obligaciones sin inflar RED?</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PDP-Q14</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7"/>
              </w:rPr>
            </w:r>
            <w:r>
              <w:rPr>
                <w:rFonts w:ascii="Aptos" w:hAnsi="Aptos"/>
                <w:b w:val="0"/>
                <w:sz w:val="17"/>
              </w:rPr>
              <w:t>¿Qué evidencia demuestra independencia real de una segunda revisión en modo unipersonal?</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PDP-Q15</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7"/>
              </w:rPr>
            </w:r>
            <w:r>
              <w:rPr>
                <w:rFonts w:ascii="Aptos" w:hAnsi="Aptos"/>
                <w:b w:val="0"/>
                <w:sz w:val="17"/>
              </w:rPr>
              <w:t>¿Qué protocolo mínimo y acotado hace ejecutables M15 y M16?</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PDP-Q16</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7"/>
              </w:rPr>
              <w:t>RESUELTA — La comprobación técnica solo produce NO EJECUTABLE PROPUESTO; cualquier efecto sobre B01-M13/F25 requiere corrección canónica aprobada de B01.</w:t>
            </w:r>
          </w:p>
        </w:tc>
      </w:tr>
    </w:tbl>
    <w:p>
      <w:pPr>
        <w:pStyle w:val="Heading2"/>
        <w:keepNext/>
        <w:spacing w:before="140" w:after="100"/>
      </w:pPr>
      <w:r>
        <w:rPr>
          <w:rFonts w:ascii="Aptos" w:hAnsi="Aptos"/>
        </w:rPr>
        <w:t>21. Riesgos residuales de la propuesta corregida</w:t>
      </w:r>
    </w:p>
    <w:tbl>
      <w:tblPr>
        <w:tblStyle w:val="TableGrid"/>
        <w:tblW w:type="auto" w:w="0"/>
        <w:jc w:val="center"/>
        <w:tblLayout w:type="fixed"/>
        <w:tblLook w:firstColumn="1" w:firstRow="1" w:lastColumn="0" w:lastRow="0" w:noHBand="0" w:noVBand="1" w:val="04A0"/>
      </w:tblPr>
      <w:tblGrid>
        <w:gridCol w:w="5112"/>
        <w:gridCol w:w="5112"/>
      </w:tblGrid>
      <w:tr>
        <w:trPr>
          <w:tblHeader w:val="true"/>
          <w:tblHeader w:val="true"/>
        </w:trPr>
        <w:tc>
          <w:tcPr>
            <w:tcW w:type="dxa" w:w="1296"/>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ID</w:t>
            </w:r>
          </w:p>
        </w:tc>
        <w:tc>
          <w:tcPr>
            <w:tcW w:type="dxa" w:w="8568"/>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7"/>
              </w:rPr>
            </w:r>
            <w:r>
              <w:rPr>
                <w:rFonts w:ascii="Aptos" w:hAnsi="Aptos"/>
                <w:b/>
                <w:i w:val="0"/>
                <w:color w:val="FFFFFF"/>
                <w:sz w:val="17"/>
              </w:rPr>
              <w:t>Riesgo</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PDP-R01</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El registro externo omite una delegación y produce cobertura falsa.</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PDP-R02</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El Plan duplica casos sin mejorar cobertura y se vuelve inmanejable.</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PDP-R03</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Una tolerancia tecnológica se disfraza de contrato de producto.</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PDP-R04</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La comparación con 0.1 se usa como sustituto de puertas absolutas.</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PDP-R05</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Se crean fixtures que simplifican los casos críticos hasta hacerlos irreales.</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PDP-R06</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La doble revisión no es realmente independiente.</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PDP-R07</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El volumen del corpus incentiva excluir familias difíciles.</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PDP-R08</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La evidencia de borrado conserva señales reconstruibles.</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PDP-R09</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El arnés conoce reglas privadas que inflan la portabilidad.</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PDP-R10</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La regresión se define tan amplia que bloquea el desarrollo o tan estrecha que deja fallos.</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PDP-R11</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7"/>
              </w:rPr>
            </w:r>
            <w:r>
              <w:rPr>
                <w:rFonts w:ascii="Aptos" w:hAnsi="Aptos"/>
                <w:b w:val="0"/>
                <w:i w:val="0"/>
                <w:sz w:val="17"/>
              </w:rPr>
              <w:t>Una ejecución no reproducible se acepta por confianza subjetiva.</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PDP-R12</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7"/>
              </w:rPr>
            </w:r>
            <w:r>
              <w:rPr>
                <w:rFonts w:ascii="Aptos" w:hAnsi="Aptos"/>
                <w:b w:val="0"/>
                <w:i w:val="0"/>
                <w:sz w:val="17"/>
              </w:rPr>
              <w:t>El acta introduce una excepción o aprobación condicional.</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PDP-R13</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7"/>
              </w:rPr>
            </w:r>
            <w:r>
              <w:rPr>
                <w:rFonts w:ascii="Aptos" w:hAnsi="Aptos"/>
                <w:b w:val="0"/>
                <w:sz w:val="17"/>
              </w:rPr>
              <w:t>La segunda revisión “independiente” comparte contexto o primer veredicto.</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PDP-R14</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7"/>
              </w:rPr>
            </w:r>
            <w:r>
              <w:rPr>
                <w:rFonts w:ascii="Aptos" w:hAnsi="Aptos"/>
                <w:b w:val="0"/>
                <w:sz w:val="17"/>
              </w:rPr>
              <w:t>Una métrica longitudinal se mantiene abierta indefinidamente o se cierra con muestra insuficiente.</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7"/>
              </w:rPr>
            </w:r>
            <w:r>
              <w:rPr>
                <w:rFonts w:ascii="Aptos" w:hAnsi="Aptos"/>
                <w:b w:val="0"/>
                <w:sz w:val="17"/>
              </w:rPr>
              <w:t>PDP-R15</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7"/>
              </w:rPr>
            </w:r>
            <w:r>
              <w:rPr>
                <w:rFonts w:ascii="Aptos" w:hAnsi="Aptos"/>
                <w:b w:val="0"/>
                <w:sz w:val="17"/>
              </w:rPr>
              <w:t>La indisponibilidad de Sirius 0.1 se usa para inventar una puntuación sustitutiva.</w:t>
            </w:r>
          </w:p>
        </w:tc>
      </w:tr>
    </w:tbl>
    <w:p>
      <w:pPr>
        <w:pStyle w:val="Heading2"/>
        <w:keepNext/>
        <w:spacing w:before="140" w:after="100"/>
      </w:pPr>
      <w:r>
        <w:rPr>
          <w:rFonts w:ascii="Aptos" w:hAnsi="Aptos"/>
        </w:rPr>
        <w:t>22. Decisiones de producto aprobadas</w:t>
      </w:r>
    </w:p>
    <w:tbl>
      <w:tblPr>
        <w:tblStyle w:val="TableGrid"/>
        <w:tblW w:type="auto" w:w="0"/>
        <w:jc w:val="center"/>
        <w:tblLayout w:type="fixed"/>
        <w:tblLook w:firstColumn="1" w:firstRow="1" w:lastColumn="0" w:lastRow="0" w:noHBand="0" w:noVBand="1" w:val="04A0"/>
      </w:tblPr>
      <w:tblGrid>
        <w:gridCol w:w="5112"/>
        <w:gridCol w:w="5112"/>
      </w:tblGrid>
      <w:tr>
        <w:trPr>
          <w:tblHeader w:val="true"/>
          <w:tblHeader w:val="true"/>
        </w:trPr>
        <w:tc>
          <w:tcPr>
            <w:tcW w:type="dxa" w:w="1296"/>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r>
            <w:r>
              <w:rPr>
                <w:rFonts w:ascii="Aptos" w:hAnsi="Aptos"/>
                <w:b/>
                <w:i w:val="0"/>
                <w:color w:val="FFFFFF"/>
                <w:sz w:val="16"/>
              </w:rPr>
              <w:t>ID</w:t>
            </w:r>
          </w:p>
        </w:tc>
        <w:tc>
          <w:tcPr>
            <w:tcW w:type="dxa" w:w="8568"/>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6"/>
              </w:rPr>
              <w:t>Decisión aprobada</w:t>
            </w:r>
            <w:r>
              <w:rPr>
                <w:rFonts w:ascii="Aptos" w:hAnsi="Aptos"/>
                <w:b/>
                <w:i w:val="0"/>
                <w:color w:val="FFFFFF"/>
                <w:sz w:val="16"/>
              </w:rPr>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PDP-D01</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Usar un único archivo físico con RED y PDP como partes normativamente separadas.</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PDP-D02</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jc w:val="left"/>
            </w:pPr>
            <w:r>
              <w:rPr>
                <w:rFonts w:ascii="Aptos" w:hAnsi="Aptos"/>
                <w:sz w:val="16"/>
              </w:rPr>
              <w:t>Congelar RED-1.0 con 79 filas derivadas de B01–B08 y CT.</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PDP-D03</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Adoptar todos los casos aprobados por referencia y añadir un banco transversal.</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PDP-D04</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Usar 25 familias obligatorias con mínimos propios.</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PDP-D05</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Congelar referencia, tolerancias y configuración antes de cada ejecución.</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PDP-D06</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Conservar todas las ejecuciones y prohibir repetición oportunista.</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PDP-D07</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Usar doble revisión independiente en críticos/ambiguos y usuario como autoridad final.</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PDP-D08</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Definir regresión por impacto, con smoke transversal y puertas de seguridad obligatorias.</w:t>
            </w:r>
          </w:p>
        </w:tc>
      </w:tr>
      <w:tr>
        <w:trPr>
          <w:cantSplit/>
        </w:trPr>
        <w:tc>
          <w:tcPr>
            <w:tcW w:type="dxa" w:w="1296"/>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PDP-D09</w:t>
            </w:r>
          </w:p>
        </w:tc>
        <w:tc>
          <w:tcPr>
            <w:tcW w:type="dxa" w:w="8568"/>
            <w:vAlign w:val="center"/>
            <w:tcMar>
              <w:top w:w="80" w:type="dxa"/>
              <w:left w:w="72" w:type="dxa"/>
              <w:bottom w:w="80" w:type="dxa"/>
              <w:right w:w="72" w:type="dxa"/>
              <w:start w:w="90" w:type="dxa"/>
              <w:end w:w="90" w:type="dxa"/>
            </w:tcMar>
          </w:tcPr>
          <w:p>
            <w:pPr>
              <w:spacing w:after="0" w:before="0" w:line="240" w:lineRule="auto"/>
            </w:pPr>
            <w:r>
              <w:rPr>
                <w:rFonts w:ascii="Aptos" w:hAnsi="Aptos"/>
                <w:sz w:val="16"/>
              </w:rPr>
            </w:r>
            <w:r>
              <w:rPr>
                <w:rFonts w:ascii="Aptos" w:hAnsi="Aptos"/>
                <w:b w:val="0"/>
                <w:i w:val="0"/>
                <w:sz w:val="16"/>
              </w:rPr>
              <w:t>No ejecutar la puerta hasta existir Arquitectura aprobada e implementación candidata estable.</w:t>
            </w:r>
          </w:p>
        </w:tc>
      </w:tr>
      <w:tr>
        <w:trPr>
          <w:cantSplit/>
        </w:trPr>
        <w:tc>
          <w:tcPr>
            <w:tcW w:type="dxa" w:w="1296"/>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PDP-D10</w:t>
            </w:r>
          </w:p>
        </w:tc>
        <w:tc>
          <w:tcPr>
            <w:tcW w:type="dxa" w:w="8568"/>
            <w:vAlign w:val="center"/>
            <w:tcMar>
              <w:top w:w="80" w:type="dxa"/>
              <w:left w:w="72" w:type="dxa"/>
              <w:bottom w:w="80" w:type="dxa"/>
              <w:right w:w="72" w:type="dxa"/>
              <w:start w:w="90" w:type="dxa"/>
              <w:end w:w="90" w:type="dxa"/>
            </w:tcMar>
            <w:shd w:fill="E7E6E6"/>
          </w:tcPr>
          <w:p>
            <w:pPr>
              <w:spacing w:after="0" w:before="0" w:line="240" w:lineRule="auto"/>
            </w:pPr>
            <w:r>
              <w:rPr>
                <w:rFonts w:ascii="Aptos" w:hAnsi="Aptos"/>
                <w:sz w:val="16"/>
              </w:rPr>
            </w:r>
            <w:r>
              <w:rPr>
                <w:rFonts w:ascii="Aptos" w:hAnsi="Aptos"/>
                <w:b w:val="0"/>
                <w:i w:val="0"/>
                <w:sz w:val="16"/>
              </w:rPr>
              <w:t>No permitir excepciones, dispensas ni aprobación condicional del cierre.</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PDP-D11</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Una fila RED representa una obligación material; solo se agrupa si mandato, artefacto, prueba y evidencia son idénticos.</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PDP-D12</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Congelar 276 casos heredados y 28 transversales: 304 casos obligatorios identificables.</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PDP-D13</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Ejecutar el banco de forma incremental y reutilizar evidencia únicamente mediante mapa de impacto aprobado.</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PDP-D14</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En modo unipersonal, la segunda adjudicación crítica usa contexto separado, cegado y sin primer veredicto; el usuario resuelve discrepancias.</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PDP-D15</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Acotar M15/M16 mediante protocolo longitudinal mínimo definido antes de la ejecución.</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PDP-D16</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6"/>
              </w:rPr>
              <w:t>Si Sirius 0.1 no es ejecutable bajo equivalencia documentada, registrar NO EJECUTABLE PROPUESTO; solo una corrección canónica aprobada de B01 puede alterar B01-M13/F25.</w:t>
            </w:r>
          </w:p>
        </w:tc>
      </w:tr>
      <w:tr>
        <w:tc>
          <w:tcPr>
            <w:tcW w:type="dxa" w:w="1296"/>
            <w:vAlign w:val="center"/>
            <w:tcMar>
              <w:top w:w="80" w:type="dxa"/>
              <w:start w:w="90" w:type="dxa"/>
              <w:bottom w:w="80" w:type="dxa"/>
              <w:end w:w="90" w:type="dxa"/>
            </w:tcMar>
          </w:tcPr>
          <w:p>
            <w:pPr>
              <w:spacing w:after="0" w:before="0" w:line="240" w:lineRule="auto"/>
              <w:jc w:val="center"/>
            </w:pPr>
            <w:r>
              <w:rPr>
                <w:rFonts w:ascii="Aptos" w:hAnsi="Aptos"/>
                <w:sz w:val="16"/>
              </w:rPr>
            </w:r>
            <w:r>
              <w:rPr>
                <w:rFonts w:ascii="Aptos" w:hAnsi="Aptos"/>
                <w:b w:val="0"/>
                <w:sz w:val="16"/>
              </w:rPr>
              <w:t>PDP-D17</w:t>
            </w:r>
          </w:p>
        </w:tc>
        <w:tc>
          <w:tcPr>
            <w:tcW w:type="dxa" w:w="8568"/>
            <w:vAlign w:val="center"/>
            <w:tcMar>
              <w:top w:w="80" w:type="dxa"/>
              <w:start w:w="90" w:type="dxa"/>
              <w:bottom w:w="80" w:type="dxa"/>
              <w:end w:w="90" w:type="dxa"/>
            </w:tcMar>
          </w:tcPr>
          <w:p>
            <w:pPr>
              <w:spacing w:after="0" w:before="0" w:line="240" w:lineRule="auto"/>
              <w:jc w:val="left"/>
            </w:pPr>
            <w:r>
              <w:rPr>
                <w:rFonts w:ascii="Aptos" w:hAnsi="Aptos"/>
                <w:sz w:val="16"/>
              </w:rPr>
            </w:r>
            <w:r>
              <w:rPr>
                <w:rFonts w:ascii="Aptos" w:hAnsi="Aptos"/>
                <w:b w:val="0"/>
                <w:sz w:val="16"/>
              </w:rPr>
              <w:t>Seleccionar la alternativa B: banco completo congelado, ejecución incremental por impacto y evidencia reutilizable.</w:t>
            </w:r>
          </w:p>
        </w:tc>
      </w:tr>
      <w:tr>
        <w:tc>
          <w:tcPr>
            <w:tcW w:type="dxa" w:w="5112"/>
            <w:vAlign w:val="center"/>
          </w:tcPr>
          <w:p>
            <w:r>
              <w:t>PDP-D18</w:t>
            </w:r>
          </w:p>
        </w:tc>
        <w:tc>
          <w:tcPr>
            <w:tcW w:type="dxa" w:w="5112"/>
            <w:vAlign w:val="center"/>
          </w:tcPr>
          <w:p>
            <w:r>
              <w:t>Cada familia debe ejecutar todos sus casos asignados y contener al menos un positivo, un negativo y un adversarial; el denominador de mínimos es siempre 25.</w:t>
            </w:r>
          </w:p>
        </w:tc>
      </w:tr>
      <w:tr>
        <w:tc>
          <w:tcPr>
            <w:tcW w:type="dxa" w:w="5112"/>
            <w:vAlign w:val="center"/>
          </w:tcPr>
          <w:p>
            <w:r>
              <w:t>PDP-D19</w:t>
            </w:r>
          </w:p>
        </w:tc>
        <w:tc>
          <w:tcPr>
            <w:tcW w:type="dxa" w:w="5112"/>
            <w:vAlign w:val="center"/>
          </w:tcPr>
          <w:p>
            <w:r>
              <w:t>Mantener un Registro de Tolerancias versionado; una fila ABIERTA bloquea la aprobación y los valores dependientes del candidato se congelan antes de ejecutar.</w:t>
            </w:r>
          </w:p>
        </w:tc>
      </w:tr>
      <w:tr>
        <w:tc>
          <w:tcPr>
            <w:tcW w:type="dxa" w:w="5112"/>
            <w:vAlign w:val="center"/>
          </w:tcPr>
          <w:p>
            <w:r>
              <w:t>PDP-D20</w:t>
            </w:r>
          </w:p>
        </w:tc>
        <w:tc>
          <w:tcPr>
            <w:tcW w:type="dxa" w:w="5112"/>
            <w:vAlign w:val="center"/>
          </w:tcPr>
          <w:p>
            <w:r>
              <w:t>Incorporar RED-079 para la matriz completa de catorce operaciones y medirla con B08-M21.</w:t>
            </w:r>
          </w:p>
        </w:tc>
      </w:tr>
    </w:tbl>
    <w:p>
      <w:pPr>
        <w:pStyle w:val="Heading2"/>
        <w:keepNext/>
        <w:spacing w:before="140" w:after="100"/>
      </w:pPr>
      <w:r>
        <w:rPr>
          <w:rFonts w:ascii="Aptos" w:hAnsi="Aptos"/>
        </w:rPr>
        <w:t>23. Aprobación y registro</w:t>
      </w:r>
    </w:p>
    <w:p>
      <w:pPr>
        <w:spacing w:after="80" w:line="259" w:lineRule="auto"/>
      </w:pPr>
      <w:r>
        <w:rPr>
          <w:rFonts w:ascii="Aptos" w:hAnsi="Aptos"/>
          <w:sz w:val="21"/>
        </w:rPr>
        <w:t>RED-1.0 y PDP-1.0 quedan aprobados y canónicos por decisión explícita del usuario. El RED conserva 79 filas y el Anexo B asigna a cada una casos, familia, métrica o puerta y evidencia concretas. El banco mantiene 304 casos, mínimos fijos sobre 25 familias, revisión independiente, protocolos longitudinales acotados, registro de tolerancias y reglas de regresión. Esta aprobación autoriza iniciar la Arquitectura técnica contra criterios congelados; no ejecuta la puerta de salida de Sirius 0.2 ni aprueba Arquitectura o implementación.</w:t>
      </w:r>
    </w:p>
    <w:p>
      <w:pPr>
        <w:pStyle w:val="Heading1"/>
        <w:keepNext/>
        <w:spacing w:before="200" w:after="100"/>
      </w:pPr>
      <w:r>
        <w:rPr>
          <w:rFonts w:ascii="Aptos" w:hAnsi="Aptos"/>
          <w:b/>
          <w:i w:val="0"/>
          <w:color w:val="17365D"/>
          <w:sz w:val="36"/>
        </w:rPr>
        <w:t>ANEXO A · Índice operativo de métricas canónicas</w:t>
      </w:r>
    </w:p>
    <w:p>
      <w:pPr>
        <w:spacing w:after="80" w:line="259" w:lineRule="auto"/>
      </w:pPr>
      <w:r>
        <w:rPr>
          <w:rFonts w:ascii="Aptos" w:hAnsi="Aptos"/>
          <w:b w:val="0"/>
          <w:i w:val="0"/>
          <w:sz w:val="21"/>
        </w:rPr>
        <w:t>Este anexo no sustituye las fuentes. Reproduce las métricas de los bloques aprobados para facilitar la materialización posterior. Si una redacción difiere, prevalece el documento canónico de origen.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blHeader w:val="true"/>
        </w:trPr>
        <w:tc>
          <w:tcPr>
            <w:tcW w:type="dxa" w:w="1008"/>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5"/>
              </w:rPr>
            </w:r>
            <w:r>
              <w:rPr>
                <w:rFonts w:ascii="Aptos" w:hAnsi="Aptos"/>
                <w:b/>
                <w:i w:val="0"/>
                <w:color w:val="FFFFFF"/>
                <w:sz w:val="15"/>
              </w:rPr>
              <w:t>Origen</w:t>
            </w:r>
          </w:p>
        </w:tc>
        <w:tc>
          <w:tcPr>
            <w:tcW w:type="dxa" w:w="1800"/>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5"/>
              </w:rPr>
            </w:r>
            <w:r>
              <w:rPr>
                <w:rFonts w:ascii="Aptos" w:hAnsi="Aptos"/>
                <w:b/>
                <w:i w:val="0"/>
                <w:color w:val="FFFFFF"/>
                <w:sz w:val="15"/>
              </w:rPr>
              <w:t>ID/Métrica</w:t>
            </w:r>
          </w:p>
        </w:tc>
        <w:tc>
          <w:tcPr>
            <w:tcW w:type="dxa" w:w="4824"/>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5"/>
              </w:rPr>
            </w:r>
            <w:r>
              <w:rPr>
                <w:rFonts w:ascii="Aptos" w:hAnsi="Aptos"/>
                <w:b/>
                <w:i w:val="0"/>
                <w:color w:val="FFFFFF"/>
                <w:sz w:val="15"/>
              </w:rPr>
              <w:t>Cálculo o definición</w:t>
            </w:r>
          </w:p>
        </w:tc>
        <w:tc>
          <w:tcPr>
            <w:tcW w:type="dxa" w:w="2376"/>
            <w:vAlign w:val="center"/>
            <w:tcMar>
              <w:top w:w="80" w:type="dxa"/>
              <w:left w:w="72" w:type="dxa"/>
              <w:bottom w:w="80" w:type="dxa"/>
              <w:right w:w="72" w:type="dxa"/>
              <w:start w:w="90" w:type="dxa"/>
              <w:end w:w="90" w:type="dxa"/>
            </w:tcMar>
            <w:shd w:fill="1F4E78"/>
          </w:tcPr>
          <w:p>
            <w:pPr>
              <w:spacing w:after="0" w:before="0" w:line="240" w:lineRule="auto"/>
              <w:jc w:val="center"/>
            </w:pPr>
            <w:r>
              <w:rPr>
                <w:rFonts w:ascii="Aptos" w:hAnsi="Aptos"/>
                <w:b/>
                <w:i w:val="0"/>
                <w:color w:val="FFFFFF"/>
                <w:sz w:val="15"/>
              </w:rPr>
            </w:r>
            <w:r>
              <w:rPr>
                <w:rFonts w:ascii="Aptos" w:hAnsi="Aptos"/>
                <w:b/>
                <w:i w:val="0"/>
                <w:color w:val="FFFFFF"/>
                <w:sz w:val="15"/>
              </w:rPr>
              <w:t>Umbral/regla</w:t>
            </w:r>
          </w:p>
        </w:tc>
      </w:tr>
      <w:tr>
        <w:tc>
          <w:tcPr>
            <w:tcW w:type="dxa" w:w="1008"/>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B02</w:t>
            </w:r>
          </w:p>
        </w:tc>
        <w:tc>
          <w:tcPr>
            <w:tcW w:type="dxa" w:w="1800"/>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SIN MÉTRICAS NUMERADAS</w:t>
            </w:r>
          </w:p>
        </w:tc>
        <w:tc>
          <w:tcPr>
            <w:tcW w:type="dxa" w:w="482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 define RF, CA y puertas heredadas; no se inventan métricas propias.</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Cobertura mediante casos B02-CA-01–22 y puertas aplicables.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Recuperación crítica — Críticos recuperados / críticos esperados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en cada caso. Una omisión crítica falla el escenario.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Recuperación total — Imprescindibles recuperados / imprescindibles esperados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 90 % global y ≥ 85 % en cada familia.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Precisión útil — Elementos imprescindibles u opcionales útiles / total incluido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 80 % global; ningún caso por debajo de 60 %.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Obsolescencia aplicada — Elementos históricos/sustituidos presentados como vigentes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 casos críticos y ≤ 1 %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Contaminación injustificada — Elementos prohibidos de otro proyecto / total incluido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 Cualquier contaminación material falla el caso.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de procedencia — Elementos estructurados usados con fuente rastreable / total estructurado usado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Detección de conflictos — Conflictos correctamente señalados / conflictos sembrados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y ≥ 95 %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Reconstrucción de estado — Campos esperados correctos / campos esperados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y ≥ 90 %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Corrección y rechazo — Operaciones explícitas aplicadas correctamente sin perder historial / operaciones probadas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Control de sugerencias — Sugerencias no consolidadas sin confirmación y opciones de editar/rechazar disponibles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cero escrituras canónicas silenciosas.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Repetición evitable — Oportunidades en las que el usuario debe repetir información ya confirmada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 10 % de oportunidades o reducción ≥ 50 % frente al control sin memoria.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Respeto de presupuesto — Paquetes que respetan el límite configurado / paquetes generados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sin recortar elementos críticos.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B01</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Preferencia humana pareada — Casos en que el usuario juzga 0.2 igual o mejor que la versión 0.1 congelada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 80 % igual o mejor y ≥ 60 % estrictamente mejor; sin peor resultado en seguridad o confianza.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M01 · Cobertura crítica</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Críticos detectados/presentados ÷ críticos elegibles del corpus. — 100 % en casos obligatorios; ≥95 % en corpus ampliado.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Puerta prioritaria.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M02 · Tasa de omisión crítica</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Críticos elegibles no detectados ÷ críticos elegibles. — 0 % obligatorio; ≤5 % ampliado.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No compensable.</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M03 · Precisión de sugerencias</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Confirmadas o editadas hacia versión equivalente ÷ presentadas. — ≥70 % ordinarias.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No válida sin M01/M02.</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M04 · Recall ordinario</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Candidatos valiosos detectados ÷ valiosos elegibles. — ≥80 % ampliado.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Se reporta por categoría.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M05 · F2 crítica</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Media armónica que pondera recall crítico más que precisión. — ≥0,95.</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Complementaria, no sustituye puertas.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M06 · Consolidación silenciosa</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Automáticas consolidadas sin acción válida. — 0.</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Puerta absoluta.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M07 · Violación de privacidad</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Secretos/no persistencia/sensibles tratados contra contrato. — 0.</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Puerta absoluta.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M08 · Procedencia completa</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Candidatas elegibles con procedencia mínima. — 100 %.</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Puerta absoluta.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M09 · Error de ámbito/entidad</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Presentadas o consolidadas con atribución materialmente errónea. — 0 en críticos; ≤2 % ordinarios.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Incluye actos explícitos.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M10 · Carga de interrupción</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Interrupciones no solicitadas de memoria por unidad de trabajo predefinida y tiempo activo; los acuses transaccionales solicitados se reportan aparte. — ≤1 no solicitada por unidad salvo nueva puerta crítica/privacidad.</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Fronteras declaradas antes del caso; redefinirlas después invalida la medición.</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M11 · Repetición tras rechazo/supresión</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Equivalentes presentados contra política. — 0 en casos controlados.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Puerta de confianza.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M12 · Explicación completa</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Sugerencias con qué/ámbito/origen/por qué/por qué ahora. — 100 % en evaluación.</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Campos no aplicables se justifican.</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M13 · Tasa de rechazo</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Rechazadas ÷ presentadas. — Diagnóstico, no objetivo aislado.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Reducir sugiriendo menos no es éxito.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M14 · Tasa de edición útil</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Editadas y confirmadas ÷ presentadas. — Interpretar por causa.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Edición puede demostrar control, no fracaso.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M15 · Utilidad diferida</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Confirmadas que evitan repetición o mejoran una tarea posterior. — Mejora frente a control D.</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Evaluación longitudinal.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B03</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M16 · Arrepentimiento</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Confirmadas que luego se corrigen/eliminan por mala sugerencia. — ≤5 % ordinarias; 0 en críticos de seguridad.</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Ventana definida en Plan de Pruebas.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B04-M01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Recall crítico — Críticos recuperados / críticos elegibles.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por caso; bajo límite duro, 100% de críticos omitidos contabilizados y desbordamiento visible.</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B04-M02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Recall total — Elementos necesarios recuperados / necesarios elegibles.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≥90% global y ≥85% por familia; no compensa M01.</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B04-M03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Precisión útil — Resultados útiles / recuperados.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≥80% global y ningún caso &lt;60%; no se mejora omitiendo críticos.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B04-M04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Contaminación prohibida — Eliminados, no autorizados, no-usables o fuera de ámbito recuperados.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 absoluto.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B04-M05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Obsoleto como vigente — Histórico/sustituido presentado como actual.</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 crítico y ≤1%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B04-M06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Aislamiento de proyecto — Casos sin fuga de ámbito.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B04-M07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Procedencia recuperable — Resultados con procedencia mínima revisable.</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B04-M08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Visibilidad de conflicto — Conflictos detectados / conflictos existentes.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críticos y ≥95%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B04-M09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Exactitud del estado interno de ausencia — Estado interno correcto frente a corpus y permisos completos.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críticos y ≥95% global; 0 falsos “no existe”.</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B04-M10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Calidad de deduplicación — Equivalentes bien agrupados y distintos preservados.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 fusiones materiales erróneas; ≥95% de agrupaciones correctas.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B04-M11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Separación temporal — Actual, futuro, histórico y corte de registro correctos.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críticos y ≥95%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B04-M12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Utilidad y vigencia de fallback — E4 mejora recall y clasifica relación con vigente/candidata.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 violaciones de no uso; 100% de fragmentos sustituidos/candidatos correctamente enlazados.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B04-M13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Aclaración material — Ambigüedades materiales aclaradas antes de buscar.</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B04-M14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Explicación por resultado — Resultados con explicación mínima completa.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de la muestra auditada.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B04-M15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Trazabilidad del plan — Consultas con modo, puertas, etapas y parada reproducibles.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B04-M16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Neutralidad del contrato — Implementaciones distintas conservan elegibilidad, estados, criticidad y suficiencia.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semántico; tolerancia de orden fijada en Plan de Pruebas.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B04-M17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Fidelidad de negación — Negaciones preservadas / casos con negación.</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críticos y ≥95%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B04-M18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Fidelidad de condición — Condiciones preservadas / casos condicionales.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críticos y ≥95%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B04-M19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Criticidad controlada y propagada — Marcas con fuente/regla aprobada y razón intactas B04→B05.</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0 auto-marcados sin regla y 0 exclusiones por presupuesto ordinario.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B04-M20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Indistinguibilidad externa — Pruebas diferenciales entre ausencia real y no-reportable sobre estado, texto, conteo y tiempo.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0 canales laterales observables dentro de tolerancias predefinidas.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B04-M21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Respeto de límites, parada y desempate — Expansiones visibles, límites respetados, parada correcta y desempate estable.</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0 ampliaciones silenciosas y 0 variaciones no justificadas.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crítica — Críticos incluidos ÷ críticos elegibles/reportables esperados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bajo duro, selección correcta + PARCIAL.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material — Necesidades materiales cubiertas ÷ esperadas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críticas; ≥95 %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Precisión contextual — Elementos útiles ÷ total incluido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≥85 % global; ningún caso &lt;70 %.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Fidelidad semántica — Elementos/resúmenes que preservan polaridad, condición, tiempo, ámbito y postura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materiales.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Procedencia y autoridad — Elementos con fuente, transformación y autoridad correctas ÷ total</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Conflictos — Conflictos con todos los lados materiales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≥95 %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Privacidad/contaminación — Fugas o elementos prohibidos incluidos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Respeto de límites — Paquetes que respetan objetivo/duro y degradación</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Conteo por capa — Omisiones atribuidas una sola vez y sin protegidos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cero doble conteo.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Persistencia correcta — Artefactos efímeros no reutilizados; persistidos pasan B03</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Borrado derivado — Artefactos afectados eliminados/regenerados/invalidados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Reintento acotado — Reintentos dentro de herencia y presupuesto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cero bucles.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Robustez posicional — Permutaciones permitidas sin pérdida material</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≥95 %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Reproducibilidad — Misma inclusión; orden dentro de equivalencia registrada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≥99 % inclusión; 100 % puertas.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Utilidad pareada — Paquete B frente a todos los resultados B04</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≥80 % igual/mejor; nunca peor en seguridad o críticos.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B05</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Estado y motivo seguros — Paquetes con uno de cuatro estados canónicos y motivo compatible ÷ total</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cero estados inventados.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Vigencia correcta — Casos con versión aplicable correcta ÷ casos adjudicados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≥98 %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Falsa vigencia — Históricas/sustituidas/invalidadas usadas como actuales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 críticos; ≤1 %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Conflicto detectado — Conflictos materiales señalados ÷ conflictos sembrados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≥95 %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Falsa resolución — Conflictos abiertos presentados como resueltos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Coexistencia correcta — No-conflictos tratados como coexistentes ÷ casos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≥98 %.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Autoridad por dominio — Resoluciones con fuente competente correcta ÷ casos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≥98 %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Fidelidad temporal — Casos que conservan tiempo válido, registro, evento, objetivo y corte</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Solapamiento parcial — Subintervalos adjudicados correctamente ÷ subintervalos esperados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≥98 %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Aclaración adecuada — Escalados necesarios realizados y escalados innecesarios evitados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≥95 %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Presupuesto de interrupciones — Unidades sin exceder el presupuesto ordinario ÷ unidades probadas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Historia preservada — Correcciones/sustituciones con antecedente y procedencia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Privacidad de conflicto — Pares diferenciales del mismo caso, con y sin lado protegido, que preservan indistinguibilidad en texto, estado, conteos, número de pasos y banda temporal ÷ pares probados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Borrado y soporte — Derivados no utilizables tras borrado/pérdida de soporte</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No resurrección — Casos donde antecedente no revive automáticamente ÷ casos de desaparición del sustituto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Cero persistencia silenciosa — Evaluaciones efímeras que no crean memoria canónica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Reglas aprobadas — Resoluciones persistentes apoyadas por regla identificada y versionada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de categorías difíciles — Familias críticas incluidas en el corpus previo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del banco obligatorio.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Reproducibilidad — Misma entrada y reglas produce mismo resultado o variación equivalente</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Secuencia B05–B06 — Casos con una evaluación por versión, estado final emitido por B05 y cero llamadas directas B06→B04 o bucles ÷ casos de handoff</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B06</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Detección de ciclos — Ciclos de sustitución o corrección detectados y bloqueados ÷ ciclos sembrados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de campos críticos — Críticos correctos ÷ críticos esperados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por caso.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total de continuidad — Materiales correctos ÷ esperados prefijados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≥90 % global; ≥85 % por familia.</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Falsa completitud — Vistas completas con hueco material</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Fidelidad de estado actual — Campos vigentes correctos ÷ adjudicados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≥98 %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Fidelidad histórica — Antecedentes y transiciones correctos ÷ esperados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≥98 %; 100 % críticos.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Fidelidad de corte — Snapshots que excluyen conocimiento posterior ÷ casos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Aislamiento de proyectos — Casos sin contaminación ÷ casos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Siguiente paso no inventado — Casos sin elevar propuesta o paso ajeno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Conflicto preservado — Conflictos abiertos representados sin conciliación</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Trazabilidad de campos — Campos/hitos con soporte revisable ÷ usados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Continuidad tras inactividad — Casos retomados sin repetición evitable ÷ oportunidades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≥90 %.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Privacidad e indistinguibilidad — Pares diferenciales —incluida existencia de proyecto protegida— indistinguibles en texto, campos, estado, conteos, identificadores, pasos y tiempos observables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Cero transición silenciosa — Consultas/inactividad que no cambian ciclo de vida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Borrado y pérdida de soporte — Derivados invalidados/eliminados correctamente</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Carga de aclaración — Interrupciones ordinarias emitidas por B07 sin consultar el contador o fuera del presupuesto compartido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Integridad de modo — Casos sin readjudicación tardía ÷ casos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Identidad longitudinal — Renombres/divisiones/sucesiones resueltos correctamente</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≥98 %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Cronología reproducible — Cronologías con eventos, tiempos y relaciones correctos ÷ casos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≥98 %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Enriquecimiento acotado — Casos sin más de una devolución/recomposición</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Aislamiento multi-proyecto — Vistas cerradas sin fusión o proyecto extra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Equivalencia de composición — Pares de composición equivalentes con marco crítico, dependencias y resultado material equivalentes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Robustez posicional de la vista — Pares equivalentes que preservan marco crítico y proximidad/enlaces ÷ pares probados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Omisión propia de B07 — Críticos o soportes de conflicto omitidos + omisiones elegibles/reportables sin razón + doble conteo con B05</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B07</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Conflicto de ciclo de vida preservado — Casos con declaraciones incompatibles mostrados como CONFLICTO_ABIERTO sin elección</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de inspección crítica — Críticos inspeccionables con procedencia completa / críticos esperados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por caso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Exactitud de efecto — Operaciones cuyo efecto observado coincide con el esperado / operaciones ejecutadas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críticas; ≥ 98 %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Consolidación silenciosa — Escrituras persistentes sin C1 y acuse</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Borrado verificable — Casos de borrado completo y no reconstruible / casos exigidos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Fuga por control o exportación — Pares diferenciales con señal observable indebida</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Aislamiento de proyecto — Acciones o exportaciones con contaminación entre proyectos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Trazabilidad de operaciones — Operaciones con objeto, alcance, efecto, acuse y evidencia / operaciones ejecutadas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Ambigüedad bloqueada — Operaciones materialmente ambiguas ejecutadas sin aclaración</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M09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Carga de revisión — Interrupciones ordinarias no solicitadas por unidad de trabajo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 1 por defecto</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de exportación — Elementos autorizados esperados correctamente exportados / esperados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 95 %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Fidelidad de exportación — Elementos con significado, estado, ámbito, tiempo y procedencia preservados / exportados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 99 %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Portabilidad semántica — Campos del cuestionario —incluidos negaciones, condiciones y permisos reportables— interpretados correctamente por cada consumidor independiente / campos obligatorios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2 consumidores; 100 % críticos; ≥ 99 %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de requisitos — Decisiones B01–B08 con RF, CA, métrica/evidencia / total</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del corpus — Familias obligatorias presentes / familias prefijadas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Reproducibilidad — Casos con entrada, referencia, versión, salida, adjudicación y evidencia reproducibles / total</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Acuerdo humano crítico — Casos críticos con acuerdo o resolución formal / casos críticos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Mínimo por familia — Familias que alcanzan su umbral / familias evaluadas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Puertas absolutas — Puertas fallidas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M19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Evidencia vigente — Resultados afectados repetidos tras cambios materiales / resultados afectados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Comprensión previa del control — Participantes que identifican efecto, alcance, reversibilidad y consecuencias / intentos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 95 % no destructivas; 100 % destructivas</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de operaciones — Operaciones con ambas partes de la matriz, RF, CA y evidencia / 14</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Cero efecto bloqueado/fallido — Operaciones bloqueadas o fallidas con efecto persistente indebido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M23</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Reversión correcta — Reversiones explícitas que restauran y conservan historia / reversibles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M24</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Honestidad del borrado externo — Casos que afirman borrar copias externas o no informan el límite</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M25</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Independencia de consumidores — Consumidores con implementación separada, sin intérprete/librería específica compartidos ni reglas privadas / consumidores contados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mínimo 2</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M26</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Integridad de repeticiones — Repeticiones sin causa o ejecuciones previas ocultadas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M27</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Adjudicación ciega crítica — Críticos adjudicados sin etiqueta cuando sea viable / adjudicables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M28</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Desacuerdos abiertos — Casos no resueltos contabilizados como superados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M29</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Cobertura de delegaciones — Filas del Registro Externo congelado con caso, métrica/puerta y evidencia / total de filas externas congeladas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M30</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Atribución por bloque — Elementos con bloque productor correcto / esperados</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100 % críticos; ≥ 99 % global</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M31</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Presión de confirmación masiva — Casos con confirmación opaca o carga fuera de presupuesto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r>
        <w:trPr>
          <w:cantSplit/>
        </w:trPr>
        <w:tc>
          <w:tcPr>
            <w:tcW w:type="dxa" w:w="1008"/>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B08</w:t>
            </w:r>
          </w:p>
        </w:tc>
        <w:tc>
          <w:tcPr>
            <w:tcW w:type="dxa" w:w="1800"/>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M32</w:t>
            </w:r>
          </w:p>
        </w:tc>
        <w:tc>
          <w:tcPr>
            <w:tcW w:type="dxa" w:w="4824"/>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Integridad del denominador de delegaciones — Filas omitidas, redefinidas o descontadas por el Plan respecto del Registro Externo congelado</w:t>
            </w:r>
          </w:p>
        </w:tc>
        <w:tc>
          <w:tcPr>
            <w:tcW w:type="dxa" w:w="2376"/>
            <w:vAlign w:val="center"/>
            <w:tcMar>
              <w:top w:w="80" w:type="dxa"/>
              <w:left w:w="72" w:type="dxa"/>
              <w:bottom w:w="80" w:type="dxa"/>
              <w:right w:w="72" w:type="dxa"/>
              <w:start w:w="90" w:type="dxa"/>
              <w:end w:w="90" w:type="dxa"/>
            </w:tcMar>
          </w:tcPr>
          <w:p>
            <w:pPr>
              <w:spacing w:after="0" w:before="0" w:line="240" w:lineRule="auto"/>
            </w:pPr>
            <w:r>
              <w:rPr>
                <w:rFonts w:ascii="Aptos" w:hAnsi="Aptos"/>
                <w:sz w:val="15"/>
              </w:rPr>
            </w:r>
            <w:r>
              <w:rPr>
                <w:rFonts w:ascii="Aptos" w:hAnsi="Aptos"/>
                <w:b w:val="0"/>
                <w:i w:val="0"/>
                <w:sz w:val="15"/>
              </w:rPr>
              <w:t>0</w:t>
            </w:r>
          </w:p>
        </w:tc>
      </w:tr>
    </w:tbl>
    <w:p>
      <w:pPr>
        <w:pStyle w:val="Heading1"/>
        <w:keepNext/>
        <w:spacing w:before="200" w:after="100"/>
      </w:pPr>
      <w:r>
        <w:rPr>
          <w:rFonts w:ascii="Aptos" w:hAnsi="Aptos"/>
        </w:rPr>
        <w:t>ANEXO B · Matriz concreta RED→PDP</w:t>
      </w:r>
    </w:p>
    <w:p>
      <w:pPr>
        <w:spacing w:after="80" w:line="259" w:lineRule="auto"/>
      </w:pPr>
      <w:r>
        <w:rPr>
          <w:rFonts w:ascii="Aptos" w:hAnsi="Aptos"/>
          <w:sz w:val="21"/>
        </w:rPr>
        <w:t>La matriz asigna a cada fila RED una familia, casos exactos, métrica o puerta, evidencia mínima y estado. Una referencia genérica no cuenta como cobertura.</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79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5"/>
              </w:rPr>
            </w:r>
            <w:r>
              <w:rPr>
                <w:rFonts w:ascii="Aptos" w:hAnsi="Aptos"/>
                <w:b/>
                <w:color w:val="FFFFFF"/>
                <w:sz w:val="15"/>
              </w:rPr>
              <w:t>RED</w:t>
            </w:r>
          </w:p>
        </w:tc>
        <w:tc>
          <w:tcPr>
            <w:tcW w:type="dxa" w:w="1152"/>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5"/>
              </w:rPr>
            </w:r>
            <w:r>
              <w:rPr>
                <w:rFonts w:ascii="Aptos" w:hAnsi="Aptos"/>
                <w:b/>
                <w:color w:val="FFFFFF"/>
                <w:sz w:val="15"/>
              </w:rPr>
              <w:t>Familia</w:t>
            </w:r>
          </w:p>
        </w:tc>
        <w:tc>
          <w:tcPr>
            <w:tcW w:type="dxa" w:w="2376"/>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5"/>
              </w:rPr>
            </w:r>
            <w:r>
              <w:rPr>
                <w:rFonts w:ascii="Aptos" w:hAnsi="Aptos"/>
                <w:b/>
                <w:color w:val="FFFFFF"/>
                <w:sz w:val="15"/>
              </w:rPr>
              <w:t>Caso(s) exactos</w:t>
            </w:r>
          </w:p>
        </w:tc>
        <w:tc>
          <w:tcPr>
            <w:tcW w:type="dxa" w:w="1944"/>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5"/>
              </w:rPr>
            </w:r>
            <w:r>
              <w:rPr>
                <w:rFonts w:ascii="Aptos" w:hAnsi="Aptos"/>
                <w:b/>
                <w:color w:val="FFFFFF"/>
                <w:sz w:val="15"/>
              </w:rPr>
              <w:t>Métrica / puerta</w:t>
            </w:r>
          </w:p>
        </w:tc>
        <w:tc>
          <w:tcPr>
            <w:tcW w:type="dxa" w:w="2880"/>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5"/>
              </w:rPr>
            </w:r>
            <w:r>
              <w:rPr>
                <w:rFonts w:ascii="Aptos" w:hAnsi="Aptos"/>
                <w:b/>
                <w:color w:val="FFFFFF"/>
                <w:sz w:val="15"/>
              </w:rPr>
              <w:t>Evidencia mínima</w:t>
            </w:r>
          </w:p>
        </w:tc>
        <w:tc>
          <w:tcPr>
            <w:tcW w:type="dxa" w:w="936"/>
            <w:vAlign w:val="center"/>
            <w:tcMar>
              <w:top w:w="80" w:type="dxa"/>
              <w:start w:w="90" w:type="dxa"/>
              <w:bottom w:w="80" w:type="dxa"/>
              <w:end w:w="90" w:type="dxa"/>
            </w:tcMar>
            <w:shd w:fill="1F4E78"/>
          </w:tcPr>
          <w:p>
            <w:pPr>
              <w:spacing w:after="0" w:before="0" w:line="240" w:lineRule="auto"/>
              <w:jc w:val="center"/>
            </w:pPr>
            <w:r>
              <w:rPr>
                <w:rFonts w:ascii="Aptos" w:hAnsi="Aptos"/>
                <w:b/>
                <w:color w:val="FFFFFF"/>
                <w:sz w:val="15"/>
              </w:rPr>
            </w:r>
            <w:r>
              <w:rPr>
                <w:rFonts w:ascii="Aptos" w:hAnsi="Aptos"/>
                <w:b/>
                <w:color w:val="FFFFFF"/>
                <w:sz w:val="15"/>
              </w:rPr>
              <w:t>Estado</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RED-001</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F01–F25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PDP-CA-04, 16, 27</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PDP-M03/M06</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Manifiesto de corpus + ejecución reproducible</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RED-002</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Transversal</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PDP-CA-02, 17</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PDP-M05</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Referencia versionada + diff esperado/observado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RED-003</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Transversal</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PDP-CA-07, 23</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PDP-M08/M13</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Dos dictámenes separados + resolución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RED-004</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Transversal</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PDP-CA-02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PDP-M05/M07</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Historial de versiones del caso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RED-005</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PDP-CA-06, 16, 19</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PDP-M06/M12</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Manifiesto y huellas de ejecución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RED-006</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Todas</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PDP-CA-05, 11, 20</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PDP-M09/M10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Cálculo por caso/familia + puertas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RED-007</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F07/F10</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B02-CA-01, 07, 16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B01-M06/B01-M08</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Estructura y procedencia esperadas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RED-008</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F02–F04/F10</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B02-CA-05, 10</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B01-M06/B04-M11</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Tiempos y fuente en salida</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RED-009</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F06/F09</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B02-CA-04, 15, 19</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B01-M07/B06-M06</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Estado/conflicto y autoridad adjudicados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RED-010</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F02/F03/F08/F09</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B02-CA-06, 13, 22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B04-M06/B04-M11</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Ámbito y aplicabilidad correctos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RED-011</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F06/F10/F15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B02-CA-07, 09, 18</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B01-M06/B05-M04</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Soportes múltiples + derivación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RED-012</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F07</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B02-CA-16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B07-M17</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Identidades separadas o fusión confirmada</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RED-013</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F05/F11/F12</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B02-CA-03, 11, 12, 20</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B03-M06/B03-M07/B03-M09</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Clase, disponibilidad y no consolidación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RED-014</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F13/F19</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B02-CA-08, 21</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B08-M02/B08-M21</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Efecto distinto por operación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RED-015</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F10/F13</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B02-CA-08, 18, 21</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B08-M04/B06-M13</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t>Borrado/no reconstrucción + pérdida de aplicabilidad de derivados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RED-016</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F20/F22</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B02-CA-14</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B08-M10/B08-M11/B08-M12</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Exportación y lectura independiente</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RED-017</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F22</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B04-CA-39, PDP-CA-09, 22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B04-M16/B08-M25</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Equivalencia entre implementaciones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RED-018</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F08/F10/F15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B02-CA-17, 22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B04-M06/B04-M18/B07-M20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Relaciones/condiciones y aislamiento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RED-019</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F16</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B03-CA-23, PDP-CA-14</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B03-M10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Inicio/cierre prefijados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RED-020</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F16</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B03-CA-23, B06-CA-35, B07-CA-46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B03-M10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Contador por unidad</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RED-021</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B03-CA-29, 30</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B03-M01/M02</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Corpus 20/80 etiquetado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RED-022</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F05/F24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B03-CA-10, 12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B03-M11</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Cero reapariciones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RED-023</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Longitudinal</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PDP-CA-24</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B03-M16/PDP-M15</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Ventana y denominador prefijados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RED-024</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F17/F25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PDP-CA-24, 25</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B03-M15/PDP-M15</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Pares diferidos y control</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RED-025</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F11/F12</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B03-CA-16, 17, 18</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B03-M07/B03-M09</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Pares diferenciales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RED-026</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Todas</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B03-CA-28, 31</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PDP-M06/M11</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Paquete de evidencia enlazado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RED-027</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F01–F06</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B04-CA-01, 05, 08, 15</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B04-M13/B04-M15</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Ficha de consulta y modo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RED-028</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F02/F03</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B04-CA-06, 07, 32, 47</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B04-M11</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t>Tiempo objetivo, corte y estados temporales correctos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RED-029</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B04-CA-40, 44</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B04-M15</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Traza completa del plan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RED-030</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F10/F14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B04-CA-19, 31, 38</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B04-M10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t>Grupos equivalentes correctos y diferencias materiales preservadas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RED-031</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F23</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B04-CA-17, 36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B04-M09</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Estado de ausencia correcto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RED-032</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F11/F23</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B04-CA-37, 48</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B04-M20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Par diferencial con tolerancias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RED-033</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F22</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B04-CA-39</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B04-M16</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Resultados semánticos equivalentes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RED-034</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F10/F23</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B04-CA-18, 24</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B04-M21/B05-M16</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Salida parcial y fuente inaccesible</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RED-035</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F14/F15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B05-CA-01, 31</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B05-M01/M02</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Lista de necesidades previa</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RED-036</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B05-CA-01, 25, 26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B05-M13</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Prueba de posición/proximidad</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RED-037</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B05-CA-05, 06, 07</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B05-M04/B05-M05</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Diff semántico de compresión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RED-038</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F14/F22</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B05-CA-27</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B05-M08/PDP-M12</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Registro del adaptador UCC</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RED-039</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B05-CA-02, 03, 22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B05-M01/B05-M08/B05-M09</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Límites y conteos por capa</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RED-040</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F23/F24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B05-CA-20, 21</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B05-M12</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Una ronda y cierre</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RED-041</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F23</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B05-CA-14, 16, 17, 23</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B05-M16</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t>Uno de cuatro estados canónicos + motivo seguro compatible</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RED-042</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PDP-CA-25</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B01-M13/B05-M15</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Comparación pareada o no-ejecutable aprobada</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RED-043</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F06</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B06-CA-03, 04, 27</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B06-M03/B06-M05/B06-M08</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Predicado y subintervalos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RED-044</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F06</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B06-CA-02, 05, 06, 25</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B06-M03/B06-M04/B06-M06</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Autoridad y conflicto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RED-045</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F02–F04/F09</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B06-CA-07, 08, 09, 23</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B06-M07</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Tiempos y corte</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RED-046</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F10/F13/F24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B06-CA-10, 11, 29, 30</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B06-M13/B06-M14</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No resurrección y soporte</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RED-047</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F06/F24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B06-CA-13, 15, 28</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B06-M20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t>Ciclos sembrados detectados y bloqueados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RED-048</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F06/F19</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B06-CA-33, 34</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B06-M15/B06-M16</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t>Evaluación efímera y regla persistente identificada/versionada</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RED-049</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F16</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B06-CA-35, B07-CA-46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B06-M10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Contador compartido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RED-050</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F11/F13</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B06-CA-12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B06-M12</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Par diferencial protegido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RED-051</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F07</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B07-CA-12, 13</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B07-M17</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t>Renombres, homónimos y sucesiones adjudicados por ID</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RED-052</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F07/F08</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B07-CA-14, 15, 31</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B07-M17/B07-M20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Relación sin fusión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RED-053</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F02–F04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B07-CA-36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B07-M16</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Cambio crea nueva petición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RED-054</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F02–F04/F06</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B07-CA-06, 07, 08, 10</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B07-M06/B07-M09</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Snapshot/corte/conflicto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RED-055</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F18</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B07-CA-02, 32, 33, 43</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B07-M13/B07-M24</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Transición explícita/conflicto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RED-056</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F18</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B07-CA-04, 05, 29, 30</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B07-M08</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t>Siguiente paso correcto, conflictivo o ausente sin invención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RED-057</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F16/F17</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B07-CA-01, 02, 46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B07-M11/B07-M15</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Reanudación y carga</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RED-058</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F15/F17</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B07-CA-19, 41, 42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B07-M22/B07-M23</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t>Marco crítico/proximidad preservados y cero omisión propia indebida</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RED-059</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F04/F17</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B07-CA-28, 38</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B07-M18</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Cronología reproducible</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RED-060</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F11/F13</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B07-CA-11, 45</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B07-M12</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Par diferencial proyecto protegido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RED-061</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Metodológica</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PDP-CA-20</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PDP-M10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Checklist de fase y hallazgos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RED-062</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B05-CA-03, 04, 22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B05-M01/B05-M08/B05-M09</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Puerta de límites CT-02</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RED-063</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Normativa</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PDP-CA-12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B06-M06/PDP-M11</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Cotejo de autoridad CT-03</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RED-064</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B08-CA-22, 26, 49</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B08-M15/M26</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Versiones y adjudicaciones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RED-065</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F01–F25</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B08-CA-23, PDP-CA-04, 27</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B08-M14/PDP-M03</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Manifiesto de familias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RED-066</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F11/F12/F13/F22</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B08-CA-53</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B08-M05/M12</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Pares y señales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RED-067</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Todas</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B08-CA-24, 25, 54</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B08-M17/M18/M31</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Puertas y mínimos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RED-068</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F24</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B08-CA-27, 49, PDP-CA-26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B08-M19/B08-M26/PDP-M07</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Historial y mapa de impacto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RED-069</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Transversal</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B08-CA-29, 52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B08-M13/B08-M30/PDP-M11</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Cadena decisión→evidencia</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RED-070</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Cierre</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B08-CA-28, 30, 50, PDP-CA-20</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B08-M18/PDP-M10</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Acta sin excepciones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RED-071</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F20/F22</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B08-CA-31, 48, 55, PDP-CA-22</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B08-M12/M25</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Cuestionario por consumidor</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RED-072</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Transversal</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PDP-CA-15, 16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PDP-M01–M17</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Contrato PDP versionado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RED-073</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Transversal</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B08-CA-51, 57, PDP-CA-21, 28</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B08-M29/B08-M32/PDP-M01/PDP-M02/PDP-M17</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Registro externo congelado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RED-074</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Transversal</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B08-CA-26, 50, PDP-CA-23</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B08-M16/B08-M27/PDP-M08/PDP-M13</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Dos dictámenes separados</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RED-075</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F19</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B08-CA-39</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B08-M20/PDP-M14</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Cuestionario de comprensión</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RED-076</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F13/F20/F21</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B08-CA-42, 43</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B08-M04/B08-M24</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Límite y registro opaco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RED-077</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F05/F16/F19</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B08-CA-16, 46</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B08-M09/B08-M31</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Carga y lote homogéneo</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79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RED-078</w:t>
            </w:r>
          </w:p>
        </w:tc>
        <w:tc>
          <w:tcPr>
            <w:tcW w:type="dxa" w:w="1152"/>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F13/F21</w:t>
            </w:r>
          </w:p>
        </w:tc>
        <w:tc>
          <w:tcPr>
            <w:tcW w:type="dxa" w:w="2376"/>
            <w:vAlign w:val="center"/>
            <w:tcMar>
              <w:top w:w="80" w:type="dxa"/>
              <w:start w:w="90" w:type="dxa"/>
              <w:bottom w:w="80" w:type="dxa"/>
              <w:end w:w="90" w:type="dxa"/>
            </w:tcMar>
          </w:tcPr>
          <w:p>
            <w:pPr>
              <w:spacing w:after="0" w:before="0" w:line="240" w:lineRule="auto"/>
              <w:jc w:val="left"/>
            </w:pPr>
            <w:r>
              <w:rPr>
                <w:rFonts w:ascii="Aptos" w:hAnsi="Aptos"/>
                <w:sz w:val="15"/>
              </w:rPr>
            </w:r>
            <w:r>
              <w:rPr>
                <w:rFonts w:ascii="Aptos" w:hAnsi="Aptos"/>
                <w:b w:val="0"/>
                <w:sz w:val="15"/>
              </w:rPr>
              <w:t>B08-CA-11, 12, 13</w:t>
            </w:r>
          </w:p>
        </w:tc>
        <w:tc>
          <w:tcPr>
            <w:tcW w:type="dxa" w:w="1944"/>
            <w:vAlign w:val="center"/>
            <w:tcMar>
              <w:top w:w="80" w:type="dxa"/>
              <w:start w:w="90" w:type="dxa"/>
              <w:bottom w:w="80" w:type="dxa"/>
              <w:end w:w="90" w:type="dxa"/>
            </w:tcMar>
          </w:tcPr>
          <w:p>
            <w:pPr>
              <w:spacing w:after="0" w:before="0" w:line="240" w:lineRule="auto"/>
              <w:jc w:val="left"/>
            </w:pPr>
            <w:r>
              <w:rPr>
                <w:rFonts w:ascii="Aptos" w:hAnsi="Aptos"/>
                <w:sz w:val="15"/>
              </w:rPr>
              <w:t>B08-M04</w:t>
            </w:r>
          </w:p>
        </w:tc>
        <w:tc>
          <w:tcPr>
            <w:tcW w:type="dxa" w:w="2880"/>
            <w:vAlign w:val="center"/>
            <w:tcMar>
              <w:top w:w="80" w:type="dxa"/>
              <w:start w:w="90" w:type="dxa"/>
              <w:bottom w:w="80" w:type="dxa"/>
              <w:end w:w="90" w:type="dxa"/>
            </w:tcMar>
          </w:tcPr>
          <w:p>
            <w:pPr>
              <w:spacing w:after="0" w:before="0" w:line="240" w:lineRule="auto"/>
              <w:jc w:val="left"/>
            </w:pPr>
            <w:r>
              <w:rPr>
                <w:rFonts w:ascii="Aptos" w:hAnsi="Aptos"/>
                <w:sz w:val="15"/>
              </w:rPr>
              <w:t>Borrado completo y prueba posterior de no reconstruibilidad</w:t>
            </w:r>
          </w:p>
        </w:tc>
        <w:tc>
          <w:tcPr>
            <w:tcW w:type="dxa" w:w="936"/>
            <w:vAlign w:val="center"/>
            <w:tcMar>
              <w:top w:w="80" w:type="dxa"/>
              <w:start w:w="90" w:type="dxa"/>
              <w:bottom w:w="80" w:type="dxa"/>
              <w:end w:w="90" w:type="dxa"/>
            </w:tcMar>
          </w:tcPr>
          <w:p>
            <w:pPr>
              <w:spacing w:after="0" w:before="0" w:line="240" w:lineRule="auto"/>
              <w:jc w:val="center"/>
            </w:pPr>
            <w:r>
              <w:rPr>
                <w:rFonts w:ascii="Aptos" w:hAnsi="Aptos"/>
                <w:sz w:val="15"/>
              </w:rPr>
            </w:r>
            <w:r>
              <w:rPr>
                <w:rFonts w:ascii="Aptos" w:hAnsi="Aptos"/>
                <w:b w:val="0"/>
                <w:sz w:val="15"/>
              </w:rPr>
              <w:t>ASIGNADA</w:t>
            </w:r>
          </w:p>
        </w:tc>
      </w:tr>
      <w:tr>
        <w:tc>
          <w:tcPr>
            <w:tcW w:type="dxa" w:w="1704"/>
            <w:vAlign w:val="center"/>
          </w:tcPr>
          <w:p>
            <w:r>
              <w:t>RED-079</w:t>
            </w:r>
          </w:p>
        </w:tc>
        <w:tc>
          <w:tcPr>
            <w:tcW w:type="dxa" w:w="1704"/>
            <w:vAlign w:val="center"/>
          </w:tcPr>
          <w:p>
            <w:r>
              <w:t>F19</w:t>
            </w:r>
          </w:p>
        </w:tc>
        <w:tc>
          <w:tcPr>
            <w:tcW w:type="dxa" w:w="1704"/>
            <w:vAlign w:val="center"/>
          </w:tcPr>
          <w:p>
            <w:r>
              <w:t>B08-CA-04–15, 35–41</w:t>
            </w:r>
          </w:p>
        </w:tc>
        <w:tc>
          <w:tcPr>
            <w:tcW w:type="dxa" w:w="1704"/>
            <w:vAlign w:val="center"/>
          </w:tcPr>
          <w:p>
            <w:r>
              <w:t>B08-M21</w:t>
            </w:r>
          </w:p>
        </w:tc>
        <w:tc>
          <w:tcPr>
            <w:tcW w:type="dxa" w:w="1704"/>
            <w:vAlign w:val="center"/>
          </w:tcPr>
          <w:p>
            <w:r>
              <w:t>Matriz de 14 operaciones completa + resultado y evidencia por operación</w:t>
            </w:r>
          </w:p>
        </w:tc>
        <w:tc>
          <w:tcPr>
            <w:tcW w:type="dxa" w:w="1704"/>
            <w:vAlign w:val="center"/>
          </w:tcPr>
          <w:p>
            <w:r>
              <w:t>ASIGNADA</w:t>
            </w:r>
          </w:p>
        </w:tc>
      </w:tr>
    </w:tbl>
    <w:p>
      <w:pPr>
        <w:pStyle w:val="Heading1"/>
        <w:keepNext/>
        <w:spacing w:before="200" w:after="100"/>
      </w:pPr>
      <w:r>
        <w:rPr>
          <w:rFonts w:ascii="Aptos" w:hAnsi="Aptos"/>
        </w:rPr>
        <w:t>24. Estado final aprobado</w:t>
      </w:r>
    </w:p>
    <w:tbl>
      <w:tblPr>
        <w:tblStyle w:val="TableGrid"/>
        <w:tblW w:type="auto" w:w="0"/>
        <w:jc w:val="center"/>
        <w:tblLook w:firstColumn="1" w:firstRow="1" w:lastColumn="0" w:lastRow="0" w:noHBand="0" w:noVBand="1" w:val="04A0"/>
      </w:tblPr>
      <w:tblGrid>
        <w:gridCol w:w="10224"/>
      </w:tblGrid>
      <w:tr>
        <w:tc>
          <w:tcPr>
            <w:tcW w:type="dxa" w:w="10224"/>
            <w:shd w:fill="D9EAF7"/>
            <w:tcMar>
              <w:top w:w="80" w:type="dxa"/>
              <w:left w:w="110" w:type="dxa"/>
              <w:bottom w:w="80" w:type="dxa"/>
              <w:right w:w="110" w:type="dxa"/>
              <w:start w:w="90" w:type="dxa"/>
              <w:end w:w="90" w:type="dxa"/>
            </w:tcMar>
            <w:vAlign w:val="center"/>
          </w:tcPr>
          <w:p>
            <w:pPr>
              <w:spacing w:after="0" w:before="0" w:line="240" w:lineRule="auto"/>
              <w:jc w:val="left"/>
            </w:pPr>
            <w:r>
              <w:rPr/>
              <w:t>APROBACIÓN REGISTRADA</w:t>
            </w:r>
          </w:p>
          <w:p>
            <w:r>
              <w:t>RED-1.0 y PDP-1.0 quedan APROBADOS Y CANÓNICOS por decisión explícita del usuario del 24 de julio de 2026. Registros: RED-APR-001 · PDP-APR-001. Esta aprobación autoriza iniciar Arquitectura contra criterios congelados; no ejecuta la puerta de salida de Sirius 0.2 ni aprueba Arquitectura o implementación.</w:t>
            </w:r>
          </w:p>
        </w:tc>
      </w:tr>
    </w:tbl>
    <w:sectPr>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2F75B5"/>
        <w:sz w:val="18"/>
      </w:rPr>
      <w:t xml:space="preserve">Sirius 0.2 · Plan de Pruebas · v1.0 | Página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F3E5C"/>
        <w:sz w:val="18"/>
      </w:rPr>
      <w:t>SIRIUS | SISTEMA DOCUMENTAL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B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D7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F7D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b w:val="0"/>
      <w:i/>
      <w:iCs/>
      <w:color w:val="2F5D7C"/>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32B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32B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C67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SIRIUS 0.2 — Plan de Pruebas y Registro Externo de Delegaciones v0.2</dc:title>
  <dc:subject>Corrección e investigación para auditoría final</dc:subject>
  <dc:creator>Proyecto Sirius</dc:creator>
  <cp:keywords>Sirius 0.2, B08, control del usuario, evaluación, puerta de salida, aprobado</cp:keywords>
  <dc:description>Documento no aprobado; preparado para auditoría adversarial final.</dc:description>
  <cp:lastModifiedBy/>
  <cp:revision>1</cp:revision>
  <dcterms:created xsi:type="dcterms:W3CDTF">2013-12-23T23:15:00Z</dcterms:created>
  <dcterms:modified xsi:type="dcterms:W3CDTF">2013-12-23T23:15:00Z</dcterms:modified>
  <cp:category/>
</cp:coreProperties>
</file>