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F4E79"/>
          <w:sz w:val="40"/>
        </w:rPr>
        <w:t>ESTUDIO DE CASOS PRÁCTICOS DE VALORACIÓN ADUANERA: ALICORP S.A.A.</w:t>
      </w:r>
    </w:p>
    <w:p>
      <w:pPr>
        <w:spacing w:after="480"/>
        <w:jc w:val="center"/>
      </w:pPr>
      <w:r>
        <w:rPr>
          <w:color w:val="595959"/>
          <w:sz w:val="22"/>
        </w:rPr>
        <w:t>Adaptación Corporativa de los Casos de Fiscalización 2.1 y 2.2 según la Normativa de la SUNAT y la OMC</w:t>
      </w:r>
    </w:p>
    <w:p>
      <w:r>
        <w:rPr>
          <w:color w:val="333333"/>
        </w:rPr>
        <w:t xml:space="preserve">El presente informe técnico proporciona una adaptación y contextualización rigurosa de los Casos Prácticos de Valoración Aduanera para la empresa líder en consumo masivo en el Perú, </w:t>
      </w:r>
      <w:r>
        <w:rPr>
          <w:b/>
        </w:rPr>
        <w:t>Alicorp S.A.A.</w:t>
      </w:r>
      <w:r>
        <w:t xml:space="preserve"> Los escenarios han sido diseñados reflejando las realidades de la cadena de suministro internacional de la corporación, específicamente enfocados en la importación masiva de commodities agrícolas (aceite crudo de soya) y la transferencia intra-compañía de activos fijos e intangibles tecnológicos para la automatización de sus plantas de producción.</w:t>
      </w:r>
    </w:p>
    <w:p>
      <w:pPr>
        <w:keepNext/>
        <w:spacing w:before="360" w:after="120"/>
      </w:pPr>
      <w:r>
        <w:rPr>
          <w:b/>
          <w:color w:val="1F4E79"/>
          <w:sz w:val="32"/>
        </w:rPr>
        <w:t>Caso Práctico 2.1: Rechazo del Primer Método por Duda Razonable en Importación de Materia Prima (Aceite Crudo de Soya)</w:t>
      </w:r>
    </w:p>
    <w:p>
      <w:r>
        <w:rPr>
          <w:b/>
        </w:rPr>
        <w:t xml:space="preserve">Descripción del Escenario: </w:t>
      </w:r>
      <w:r>
        <w:t xml:space="preserve">La empresa peruana </w:t>
      </w:r>
      <w:r>
        <w:rPr>
          <w:b/>
        </w:rPr>
        <w:t>Alicorp S.A.A.</w:t>
      </w:r>
      <w:r>
        <w:t xml:space="preserve"> adquiere de un gran operador comercial en Argentina (</w:t>
      </w:r>
      <w:r>
        <w:rPr>
          <w:i/>
        </w:rPr>
        <w:t>Rosario Export S.A.</w:t>
      </w:r>
      <w:r>
        <w:t xml:space="preserve">), un proveedor internacional no vinculado societariamente, un lote masivo de 500 Toneladas Métricas (TM) de aceite crudo de soya en bruto, destinado a los procesos de refinamiento y elaboración de aceites de cocina en su planta del Callao. El precio unitario pactado en la factura comercial es de </w:t>
      </w:r>
      <w:r>
        <w:rPr>
          <w:b/>
        </w:rPr>
        <w:t>USD 720.00 por TM</w:t>
      </w:r>
      <w:r>
        <w:t xml:space="preserve">, lo que arroja un valor FOB total declarado de </w:t>
      </w:r>
      <w:r>
        <w:rPr>
          <w:b/>
        </w:rPr>
        <w:t>USD 360,000.00</w:t>
      </w:r>
      <w:r>
        <w:t xml:space="preserve">. Durante el control concurrente en el despacho aduanero, el Sistema de Verificación de Precios (SIVEP) de la SUNAT activa una alerta crítica debido a que los indicadores internacionales de commodities para esa misma semana de embarque registran transacciones idénticas de aceite de soya provenientes del mismo puerto fluvial a un valor de </w:t>
      </w:r>
      <w:r>
        <w:rPr>
          <w:b/>
        </w:rPr>
        <w:t>USD 950.00 FOB por TM</w:t>
      </w:r>
      <w:r>
        <w:t xml:space="preserve">. Como consecuencia directa, la autoridad aduanera inicia un procedimiento formal de </w:t>
      </w:r>
      <w:r>
        <w:rPr>
          <w:b/>
        </w:rPr>
        <w:t>Duda Razonable</w:t>
      </w:r>
      <w:r>
        <w:t>.</w:t>
      </w:r>
    </w:p>
    <w:p>
      <w:r>
        <w:rPr>
          <w:b/>
        </w:rPr>
        <w:t xml:space="preserve">Sustento Técnico del Rechazo: </w:t>
      </w:r>
      <w:r>
        <w:t xml:space="preserve">A pesar de que el departamento de procura internacional de Alicorp negoció de forma legítima un precio preferencial mediante un contrato de compra a futuro ('Forward Contract') cerrado meses atrás para mitigar la volatilidad de la Bolsa de Chicago (CBOT), el equipo logístico no adjuntó una adenda formalizada ni las órdenes de cobertura financiera correlacionadas explícitamente con el número de factura comercial presentado. Ante la imposibilidad de subsanar y trazar la veracidad de la fórmula del precio descontado dentro de los plazos reglamentarios, la SUNAT procede a notificar formalmente el </w:t>
      </w:r>
      <w:r>
        <w:rPr>
          <w:b/>
        </w:rPr>
        <w:t>rechazo del Primer Método de Valoración</w:t>
      </w:r>
      <w:r>
        <w:t xml:space="preserve"> (Valor de Transacción).</w:t>
      </w:r>
    </w:p>
    <w:p>
      <w:pPr>
        <w:keepNext/>
        <w:spacing w:before="240" w:after="120"/>
      </w:pPr>
      <w:r>
        <w:rPr>
          <w:b/>
          <w:color w:val="2E75B6"/>
          <w:sz w:val="26"/>
        </w:rPr>
        <w:t>Cuadro de Comparación y Consistencia Técnica (Caso 2.1)</w:t>
      </w:r>
    </w:p>
    <w:tbl>
      <w:tblPr>
        <w:tblStyle w:val="TableGrid"/>
        <w:tblW w:type="auto" w:w="0"/>
        <w:tblLook w:firstColumn="1" w:firstRow="1" w:lastColumn="0" w:lastRow="0" w:noHBand="0" w:noVBand="1" w:val="04A0"/>
      </w:tblPr>
      <w:tblGrid>
        <w:gridCol w:w="2257"/>
        <w:gridCol w:w="2257"/>
        <w:gridCol w:w="2257"/>
        <w:gridCol w:w="2257"/>
      </w:tblGrid>
      <w:tr>
        <w:tc>
          <w:tcPr>
            <w:tcW w:type="dxa" w:w="2160"/>
            <w:shd w:fill="1F4E79"/>
          </w:tcPr>
          <w:p>
            <w:pPr>
              <w:jc w:val="center"/>
            </w:pPr>
            <w:r>
              <w:rPr>
                <w:b/>
                <w:color w:val="FFFFFF"/>
              </w:rPr>
              <w:t>Elemento de Comparación</w:t>
            </w:r>
          </w:p>
        </w:tc>
        <w:tc>
          <w:tcPr>
            <w:tcW w:type="dxa" w:w="2592"/>
            <w:shd w:fill="1F4E79"/>
          </w:tcPr>
          <w:p>
            <w:pPr>
              <w:jc w:val="center"/>
            </w:pPr>
            <w:r>
              <w:rPr>
                <w:b/>
                <w:color w:val="FFFFFF"/>
              </w:rPr>
              <w:t>Mercancía Objeto de Valoración</w:t>
            </w:r>
          </w:p>
        </w:tc>
        <w:tc>
          <w:tcPr>
            <w:tcW w:type="dxa" w:w="2592"/>
            <w:shd w:fill="1F4E79"/>
          </w:tcPr>
          <w:p>
            <w:pPr>
              <w:jc w:val="center"/>
            </w:pPr>
            <w:r>
              <w:rPr>
                <w:b/>
                <w:color w:val="FFFFFF"/>
              </w:rPr>
              <w:t>Referencia SIVEP Seleccionada</w:t>
            </w:r>
          </w:p>
        </w:tc>
        <w:tc>
          <w:tcPr>
            <w:tcW w:type="dxa" w:w="2736"/>
            <w:shd w:fill="1F4E79"/>
          </w:tcPr>
          <w:p>
            <w:pPr>
              <w:jc w:val="center"/>
            </w:pPr>
            <w:r>
              <w:rPr>
                <w:b/>
                <w:color w:val="FFFFFF"/>
              </w:rPr>
              <w:t>Consistencia Técnica</w:t>
            </w:r>
          </w:p>
        </w:tc>
      </w:tr>
      <w:tr>
        <w:tc>
          <w:tcPr>
            <w:tcW w:type="dxa" w:w="2160"/>
          </w:tcPr>
          <w:p>
            <w:pPr>
              <w:spacing w:after="40"/>
            </w:pPr>
            <w:r>
              <w:rPr>
                <w:b/>
              </w:rPr>
              <w:t>Descripción y Partida</w:t>
            </w:r>
          </w:p>
        </w:tc>
        <w:tc>
          <w:tcPr>
            <w:tcW w:type="dxa" w:w="2592"/>
          </w:tcPr>
          <w:p>
            <w:pPr>
              <w:spacing w:after="40"/>
            </w:pPr>
            <w:r>
              <w:t>Aceite Crudo de Soya</w:t>
              <w:br/>
              <w:t>(Partida: 1507.10.00.00)</w:t>
            </w:r>
          </w:p>
        </w:tc>
        <w:tc>
          <w:tcPr>
            <w:tcW w:type="dxa" w:w="2592"/>
          </w:tcPr>
          <w:p>
            <w:pPr>
              <w:spacing w:after="40"/>
            </w:pPr>
            <w:r>
              <w:t>Aceite Crudo de Soya</w:t>
              <w:br/>
              <w:t>(Partida: 1507.10.00.00)</w:t>
            </w:r>
          </w:p>
        </w:tc>
        <w:tc>
          <w:tcPr>
            <w:tcW w:type="dxa" w:w="2736"/>
          </w:tcPr>
          <w:p>
            <w:pPr>
              <w:spacing w:after="40"/>
            </w:pPr>
            <w:r>
              <w:t>Idénticas en características físicas, químicas y refinamiento industrial.</w:t>
            </w:r>
          </w:p>
        </w:tc>
      </w:tr>
      <w:tr>
        <w:tc>
          <w:tcPr>
            <w:tcW w:type="dxa" w:w="2160"/>
          </w:tcPr>
          <w:p>
            <w:pPr>
              <w:spacing w:after="40"/>
            </w:pPr>
            <w:r>
              <w:rPr>
                <w:b/>
              </w:rPr>
              <w:t>País de Origen</w:t>
            </w:r>
          </w:p>
        </w:tc>
        <w:tc>
          <w:tcPr>
            <w:tcW w:type="dxa" w:w="2592"/>
          </w:tcPr>
          <w:p>
            <w:pPr>
              <w:spacing w:after="40"/>
            </w:pPr>
            <w:r>
              <w:t>Argentina</w:t>
            </w:r>
          </w:p>
        </w:tc>
        <w:tc>
          <w:tcPr>
            <w:tcW w:type="dxa" w:w="2592"/>
          </w:tcPr>
          <w:p>
            <w:pPr>
              <w:spacing w:after="40"/>
            </w:pPr>
            <w:r>
              <w:t>Argentina</w:t>
            </w:r>
          </w:p>
        </w:tc>
        <w:tc>
          <w:tcPr>
            <w:tcW w:type="dxa" w:w="2736"/>
          </w:tcPr>
          <w:p>
            <w:pPr>
              <w:spacing w:after="40"/>
            </w:pPr>
            <w:r>
              <w:t>Mismo país de origen, mercado y puerto de salida.</w:t>
            </w:r>
          </w:p>
        </w:tc>
      </w:tr>
      <w:tr>
        <w:tc>
          <w:tcPr>
            <w:tcW w:type="dxa" w:w="2160"/>
          </w:tcPr>
          <w:p>
            <w:pPr>
              <w:spacing w:after="40"/>
            </w:pPr>
            <w:r>
              <w:rPr>
                <w:b/>
              </w:rPr>
              <w:t>Productor / Exportador</w:t>
            </w:r>
          </w:p>
        </w:tc>
        <w:tc>
          <w:tcPr>
            <w:tcW w:type="dxa" w:w="2592"/>
          </w:tcPr>
          <w:p>
            <w:pPr>
              <w:spacing w:after="40"/>
            </w:pPr>
            <w:r>
              <w:t>Rosario Export S.A.</w:t>
            </w:r>
          </w:p>
        </w:tc>
        <w:tc>
          <w:tcPr>
            <w:tcW w:type="dxa" w:w="2592"/>
          </w:tcPr>
          <w:p>
            <w:pPr>
              <w:spacing w:after="40"/>
            </w:pPr>
            <w:r>
              <w:t>Rosario Export S.A.</w:t>
            </w:r>
          </w:p>
        </w:tc>
        <w:tc>
          <w:tcPr>
            <w:tcW w:type="dxa" w:w="2736"/>
          </w:tcPr>
          <w:p>
            <w:pPr>
              <w:spacing w:after="40"/>
            </w:pPr>
            <w:r>
              <w:t>Mismo operador internacional de procedencia.</w:t>
            </w:r>
          </w:p>
        </w:tc>
      </w:tr>
      <w:tr>
        <w:tc>
          <w:tcPr>
            <w:tcW w:type="dxa" w:w="2160"/>
          </w:tcPr>
          <w:p>
            <w:pPr>
              <w:spacing w:after="40"/>
            </w:pPr>
            <w:r>
              <w:rPr>
                <w:b/>
              </w:rPr>
              <w:t>Plazo de Exportación</w:t>
            </w:r>
          </w:p>
        </w:tc>
        <w:tc>
          <w:tcPr>
            <w:tcW w:type="dxa" w:w="2592"/>
          </w:tcPr>
          <w:p>
            <w:pPr>
              <w:spacing w:after="40"/>
            </w:pPr>
            <w:r>
              <w:t>Embarque: 10 de mayo de 2026</w:t>
            </w:r>
          </w:p>
        </w:tc>
        <w:tc>
          <w:tcPr>
            <w:tcW w:type="dxa" w:w="2592"/>
          </w:tcPr>
          <w:p>
            <w:pPr>
              <w:spacing w:after="40"/>
            </w:pPr>
            <w:r>
              <w:t>Embarque: 28 de abril de 2026</w:t>
            </w:r>
          </w:p>
        </w:tc>
        <w:tc>
          <w:tcPr>
            <w:tcW w:type="dxa" w:w="2736"/>
          </w:tcPr>
          <w:p>
            <w:pPr>
              <w:spacing w:after="40"/>
            </w:pPr>
            <w:r>
              <w:t>Intervalo de 12 días; plenamente apto conforme a los lineamientos aduaneros.</w:t>
            </w:r>
          </w:p>
        </w:tc>
      </w:tr>
      <w:tr>
        <w:tc>
          <w:tcPr>
            <w:tcW w:type="dxa" w:w="2160"/>
          </w:tcPr>
          <w:p>
            <w:pPr>
              <w:spacing w:after="40"/>
            </w:pPr>
            <w:r>
              <w:rPr>
                <w:b/>
              </w:rPr>
              <w:t>Nivel y Cantidad</w:t>
            </w:r>
          </w:p>
        </w:tc>
        <w:tc>
          <w:tcPr>
            <w:tcW w:type="dxa" w:w="2592"/>
          </w:tcPr>
          <w:p>
            <w:pPr>
              <w:spacing w:after="40"/>
            </w:pPr>
            <w:r>
              <w:t>Mayorista / Industrial</w:t>
              <w:br/>
              <w:t>(500 TM)</w:t>
            </w:r>
          </w:p>
        </w:tc>
        <w:tc>
          <w:tcPr>
            <w:tcW w:type="dxa" w:w="2592"/>
          </w:tcPr>
          <w:p>
            <w:pPr>
              <w:spacing w:after="40"/>
            </w:pPr>
            <w:r>
              <w:t>Mayorista / Industrial</w:t>
              <w:br/>
              <w:t>(600 TM)</w:t>
            </w:r>
          </w:p>
        </w:tc>
        <w:tc>
          <w:tcPr>
            <w:tcW w:type="dxa" w:w="2736"/>
          </w:tcPr>
          <w:p>
            <w:pPr>
              <w:spacing w:after="40"/>
            </w:pPr>
            <w:r>
              <w:t>Volúmenes y niveles comerciales de escala equivalentes.</w:t>
            </w:r>
          </w:p>
        </w:tc>
      </w:tr>
      <w:tr>
        <w:tc>
          <w:tcPr>
            <w:tcW w:type="dxa" w:w="2160"/>
          </w:tcPr>
          <w:p>
            <w:pPr>
              <w:spacing w:after="40"/>
            </w:pPr>
            <w:r>
              <w:rPr>
                <w:b/>
              </w:rPr>
              <w:t>Valor FOB Referencial</w:t>
            </w:r>
          </w:p>
        </w:tc>
        <w:tc>
          <w:tcPr>
            <w:tcW w:type="dxa" w:w="2592"/>
          </w:tcPr>
          <w:p>
            <w:pPr>
              <w:spacing w:after="40"/>
            </w:pPr>
            <w:r>
              <w:t>En Evaluación</w:t>
              <w:br/>
              <w:t>(Declarado: USD 720.00 / TM)</w:t>
            </w:r>
          </w:p>
        </w:tc>
        <w:tc>
          <w:tcPr>
            <w:tcW w:type="dxa" w:w="2592"/>
          </w:tcPr>
          <w:p>
            <w:pPr>
              <w:spacing w:after="40"/>
            </w:pPr>
            <w:r>
              <w:t>USD 950.00 por TM</w:t>
            </w:r>
          </w:p>
        </w:tc>
        <w:tc>
          <w:tcPr>
            <w:tcW w:type="dxa" w:w="2736"/>
          </w:tcPr>
          <w:p>
            <w:pPr>
              <w:spacing w:after="40"/>
            </w:pPr>
            <w:r>
              <w:t>Referencia SIVEP firme y aceptada técnicamente por SUNAT.</w:t>
            </w:r>
          </w:p>
        </w:tc>
      </w:tr>
    </w:tbl>
    <w:p>
      <w:pPr>
        <w:spacing w:before="120"/>
      </w:pPr>
      <w:r>
        <w:rPr>
          <w:b/>
        </w:rPr>
        <w:t xml:space="preserve">Consecuencia Jurídico-Tributaria: </w:t>
      </w:r>
      <w:r>
        <w:t xml:space="preserve">Al descartarse el Primer Método (Valor de Transacción) bajo las causales del Artículo 17 del Reglamento del Acuerdo sobre Valoración de la OMC, la aduana aplica el principio de obligatoriedad jerárquica para determinar el valor en aduana utilizando el </w:t>
      </w:r>
      <w:r>
        <w:rPr>
          <w:b/>
        </w:rPr>
        <w:t>Segundo Método (Mercancías Idénticas)</w:t>
      </w:r>
      <w:r>
        <w:t>. Como resultado, la SUNAT reliquida la base imponible del lote ajustándola a USD 950.00 por tonelada, obligando a la empresa a pagar la brecha tributaria respectiva de Ad-Valorem e IGV/IPM, sumado a los recargos e intereses moratorios de ley.</w:t>
      </w:r>
    </w:p>
    <w:p>
      <w:pPr>
        <w:keepNext/>
        <w:spacing w:before="360" w:after="120"/>
      </w:pPr>
      <w:r>
        <w:rPr>
          <w:b/>
          <w:color w:val="1F4E79"/>
          <w:sz w:val="32"/>
        </w:rPr>
        <w:t>Caso Práctico 2.2: Importación de Equipamiento Tecnológico Recibido sin Valor Comercial (Transferencia de Activos Inter-compañía)</w:t>
      </w:r>
    </w:p>
    <w:p>
      <w:r>
        <w:rPr>
          <w:b/>
        </w:rPr>
        <w:t xml:space="preserve">Descripción del Escenario: </w:t>
      </w:r>
      <w:r>
        <w:t xml:space="preserve">Con el objetivo de modernizar y automatizar los sistemas de envasado y control volumétrico de salsas en su complejo industrial del Callao, la planta de </w:t>
      </w:r>
      <w:r>
        <w:rPr>
          <w:b/>
        </w:rPr>
        <w:t>Alicorp S.A.A.</w:t>
      </w:r>
      <w:r>
        <w:t xml:space="preserve"> recibe de su filial corporativa y regional de innovación (</w:t>
      </w:r>
      <w:r>
        <w:rPr>
          <w:i/>
        </w:rPr>
        <w:t>Alicorp Holdco S.L.</w:t>
      </w:r>
      <w:r>
        <w:t xml:space="preserve">) un lote de 30 unidades de </w:t>
      </w:r>
      <w:r>
        <w:rPr>
          <w:b/>
        </w:rPr>
        <w:t>Sensores de Flujo Óptico de Alta Precisión (Modelo SF-Alpha)</w:t>
      </w:r>
      <w:r>
        <w:t xml:space="preserve">, fabricados originalmente en Alemania. Debido a que esta importación corresponde a una asignación y reubicación interna de activos tecnológicos dentro del mismo grupo empresarial multinacional, </w:t>
      </w:r>
      <w:r>
        <w:rPr>
          <w:b/>
        </w:rPr>
        <w:t>no existe una transacción de venta comercial ni transferencia de pagos comerciales</w:t>
      </w:r>
      <w:r>
        <w:t xml:space="preserve">. A efectos estrictamente del trámite y control aduanero en la Declaración Aduanera de Mercancías (DAM), se adjunta una factura proforma con un valor nominal administrativo de </w:t>
      </w:r>
      <w:r>
        <w:rPr>
          <w:b/>
        </w:rPr>
        <w:t>USD 20.00 por unidad</w:t>
      </w:r>
      <w:r>
        <w:t xml:space="preserve"> (Total FOB de referencia: USD 600.00).</w:t>
      </w:r>
    </w:p>
    <w:p>
      <w:r>
        <w:rPr>
          <w:b/>
        </w:rPr>
        <w:t xml:space="preserve">Determinación Aduanera: </w:t>
      </w:r>
      <w:r>
        <w:t>La SUNAT descarta de forma absoluta el uso del Primer Método de Valoración, fundamentando que de acuerdo con el Acuerdo de la OMC, la valoración de transacción exige de forma obligatoria la presencia de una 'venta de exportación'. Al no existir precio pagado ni por pagar, la aduana efectúa una búsqueda en el SIVEP y localiza una base de datos firme correspondientes a una importación de otra corporación del sector de alimentos, que importó unidades exactamente idénticas en diseño técnico, marca y modelo, del mismo fabricante germano (</w:t>
      </w:r>
      <w:r>
        <w:rPr>
          <w:i/>
        </w:rPr>
        <w:t>Optima Pack GmbH</w:t>
      </w:r>
      <w:r>
        <w:t xml:space="preserve">) a un precio de cotización comercial libre de </w:t>
      </w:r>
      <w:r>
        <w:rPr>
          <w:b/>
        </w:rPr>
        <w:t>USD 1,450.00 por unidad</w:t>
      </w:r>
      <w:r>
        <w:t>.</w:t>
      </w:r>
    </w:p>
    <w:p>
      <w:pPr>
        <w:keepNext/>
        <w:spacing w:before="240" w:after="120"/>
      </w:pPr>
      <w:r>
        <w:rPr>
          <w:b/>
          <w:color w:val="2E75B6"/>
          <w:sz w:val="26"/>
        </w:rPr>
        <w:t>Cuadro de Determinación y Validación de Valores (Caso 2.2)</w:t>
      </w:r>
    </w:p>
    <w:tbl>
      <w:tblPr>
        <w:tblStyle w:val="TableGrid"/>
        <w:tblW w:type="auto" w:w="0"/>
        <w:tblLook w:firstColumn="1" w:firstRow="1" w:lastColumn="0" w:lastRow="0" w:noHBand="0" w:noVBand="1" w:val="04A0"/>
      </w:tblPr>
      <w:tblGrid>
        <w:gridCol w:w="2257"/>
        <w:gridCol w:w="2257"/>
        <w:gridCol w:w="2257"/>
        <w:gridCol w:w="2257"/>
      </w:tblGrid>
      <w:tr>
        <w:tc>
          <w:tcPr>
            <w:tcW w:type="dxa" w:w="2160"/>
            <w:shd w:fill="2E75B6"/>
          </w:tcPr>
          <w:p>
            <w:pPr>
              <w:jc w:val="center"/>
            </w:pPr>
            <w:r>
              <w:rPr>
                <w:b/>
                <w:color w:val="FFFFFF"/>
              </w:rPr>
              <w:t>Atributo de Comparación</w:t>
            </w:r>
          </w:p>
        </w:tc>
        <w:tc>
          <w:tcPr>
            <w:tcW w:type="dxa" w:w="2592"/>
            <w:shd w:fill="2E75B6"/>
          </w:tcPr>
          <w:p>
            <w:pPr>
              <w:jc w:val="center"/>
            </w:pPr>
            <w:r>
              <w:rPr>
                <w:b/>
                <w:color w:val="FFFFFF"/>
              </w:rPr>
              <w:t>Carga Objeto de Valoración</w:t>
            </w:r>
          </w:p>
        </w:tc>
        <w:tc>
          <w:tcPr>
            <w:tcW w:type="dxa" w:w="2592"/>
            <w:shd w:fill="2E75B6"/>
          </w:tcPr>
          <w:p>
            <w:pPr>
              <w:jc w:val="center"/>
            </w:pPr>
            <w:r>
              <w:rPr>
                <w:b/>
                <w:color w:val="FFFFFF"/>
              </w:rPr>
              <w:t>Referencia de Importación (SIVEP)</w:t>
            </w:r>
          </w:p>
        </w:tc>
        <w:tc>
          <w:tcPr>
            <w:tcW w:type="dxa" w:w="2736"/>
            <w:shd w:fill="2E75B6"/>
          </w:tcPr>
          <w:p>
            <w:pPr>
              <w:jc w:val="center"/>
            </w:pPr>
            <w:r>
              <w:rPr>
                <w:b/>
                <w:color w:val="FFFFFF"/>
              </w:rPr>
              <w:t>Resultado de Validación</w:t>
            </w:r>
          </w:p>
        </w:tc>
      </w:tr>
      <w:tr>
        <w:tc>
          <w:tcPr>
            <w:tcW w:type="dxa" w:w="2160"/>
          </w:tcPr>
          <w:p>
            <w:pPr>
              <w:spacing w:after="40"/>
            </w:pPr>
            <w:r>
              <w:rPr>
                <w:b/>
              </w:rPr>
              <w:t>Identificación Técnica</w:t>
            </w:r>
          </w:p>
        </w:tc>
        <w:tc>
          <w:tcPr>
            <w:tcW w:type="dxa" w:w="2592"/>
          </w:tcPr>
          <w:p>
            <w:pPr>
              <w:spacing w:after="40"/>
            </w:pPr>
            <w:r>
              <w:t>Sensor de Flujo Óptico</w:t>
              <w:br/>
              <w:t>Modelo SF-Alpha</w:t>
            </w:r>
          </w:p>
        </w:tc>
        <w:tc>
          <w:tcPr>
            <w:tcW w:type="dxa" w:w="2592"/>
          </w:tcPr>
          <w:p>
            <w:pPr>
              <w:spacing w:after="40"/>
            </w:pPr>
            <w:r>
              <w:t>Sensor de Flujo Óptico</w:t>
              <w:br/>
              <w:t>Modelo SF-Alpha</w:t>
            </w:r>
          </w:p>
        </w:tc>
        <w:tc>
          <w:tcPr>
            <w:tcW w:type="dxa" w:w="2736"/>
          </w:tcPr>
          <w:p>
            <w:pPr>
              <w:spacing w:after="40"/>
            </w:pPr>
            <w:r>
              <w:t>Idénticos en diseño de hardware, patentes, marca y funciones de fábrica.</w:t>
            </w:r>
          </w:p>
        </w:tc>
      </w:tr>
      <w:tr>
        <w:tc>
          <w:tcPr>
            <w:tcW w:type="dxa" w:w="2160"/>
          </w:tcPr>
          <w:p>
            <w:pPr>
              <w:spacing w:after="40"/>
            </w:pPr>
            <w:r>
              <w:rPr>
                <w:b/>
              </w:rPr>
              <w:t>País de Origen</w:t>
            </w:r>
          </w:p>
        </w:tc>
        <w:tc>
          <w:tcPr>
            <w:tcW w:type="dxa" w:w="2592"/>
          </w:tcPr>
          <w:p>
            <w:pPr>
              <w:spacing w:after="40"/>
            </w:pPr>
            <w:r>
              <w:t>Alemania</w:t>
            </w:r>
          </w:p>
        </w:tc>
        <w:tc>
          <w:tcPr>
            <w:tcW w:type="dxa" w:w="2592"/>
          </w:tcPr>
          <w:p>
            <w:pPr>
              <w:spacing w:after="40"/>
            </w:pPr>
            <w:r>
              <w:t>Alemania</w:t>
            </w:r>
          </w:p>
        </w:tc>
        <w:tc>
          <w:tcPr>
            <w:tcW w:type="dxa" w:w="2736"/>
          </w:tcPr>
          <w:p>
            <w:pPr>
              <w:spacing w:after="40"/>
            </w:pPr>
            <w:r>
              <w:t>Coincidencia perfecta en el país de manufactura de alta tecnología.</w:t>
            </w:r>
          </w:p>
        </w:tc>
      </w:tr>
      <w:tr>
        <w:tc>
          <w:tcPr>
            <w:tcW w:type="dxa" w:w="2160"/>
          </w:tcPr>
          <w:p>
            <w:pPr>
              <w:spacing w:after="40"/>
            </w:pPr>
            <w:r>
              <w:rPr>
                <w:b/>
              </w:rPr>
              <w:t>Fabricante / Marca</w:t>
            </w:r>
          </w:p>
        </w:tc>
        <w:tc>
          <w:tcPr>
            <w:tcW w:type="dxa" w:w="2592"/>
          </w:tcPr>
          <w:p>
            <w:pPr>
              <w:spacing w:after="40"/>
            </w:pPr>
            <w:r>
              <w:t>Optima Pack GmbH</w:t>
            </w:r>
          </w:p>
        </w:tc>
        <w:tc>
          <w:tcPr>
            <w:tcW w:type="dxa" w:w="2592"/>
          </w:tcPr>
          <w:p>
            <w:pPr>
              <w:spacing w:after="40"/>
            </w:pPr>
            <w:r>
              <w:t>Optima Pack GmbH</w:t>
            </w:r>
          </w:p>
        </w:tc>
        <w:tc>
          <w:tcPr>
            <w:tcW w:type="dxa" w:w="2736"/>
          </w:tcPr>
          <w:p>
            <w:pPr>
              <w:spacing w:after="40"/>
            </w:pPr>
            <w:r>
              <w:t>Mismo productor global, garantizando equivalencia total de estándares.</w:t>
            </w:r>
          </w:p>
        </w:tc>
      </w:tr>
      <w:tr>
        <w:tc>
          <w:tcPr>
            <w:tcW w:type="dxa" w:w="2160"/>
          </w:tcPr>
          <w:p>
            <w:pPr>
              <w:spacing w:after="40"/>
            </w:pPr>
            <w:r>
              <w:rPr>
                <w:b/>
              </w:rPr>
              <w:t>Nivel Comercial</w:t>
            </w:r>
          </w:p>
        </w:tc>
        <w:tc>
          <w:tcPr>
            <w:tcW w:type="dxa" w:w="2592"/>
          </w:tcPr>
          <w:p>
            <w:pPr>
              <w:spacing w:after="40"/>
            </w:pPr>
            <w:r>
              <w:t>Planta Industrial</w:t>
              <w:br/>
              <w:t>(Usuario Final - Alicorp)</w:t>
            </w:r>
          </w:p>
        </w:tc>
        <w:tc>
          <w:tcPr>
            <w:tcW w:type="dxa" w:w="2592"/>
          </w:tcPr>
          <w:p>
            <w:pPr>
              <w:spacing w:after="40"/>
            </w:pPr>
            <w:r>
              <w:t>Planta Industrial</w:t>
              <w:br/>
              <w:t>(Usuario Final - Empresa X)</w:t>
            </w:r>
          </w:p>
        </w:tc>
        <w:tc>
          <w:tcPr>
            <w:tcW w:type="dxa" w:w="2736"/>
          </w:tcPr>
          <w:p>
            <w:pPr>
              <w:spacing w:after="40"/>
            </w:pPr>
            <w:r>
              <w:t>Mismos perfiles de utilización y aplicación en la industria agroalimentaria.</w:t>
            </w:r>
          </w:p>
        </w:tc>
      </w:tr>
      <w:tr>
        <w:tc>
          <w:tcPr>
            <w:tcW w:type="dxa" w:w="2160"/>
          </w:tcPr>
          <w:p>
            <w:pPr>
              <w:spacing w:after="40"/>
            </w:pPr>
            <w:r>
              <w:rPr>
                <w:b/>
              </w:rPr>
              <w:t>Fecha de Exportación</w:t>
            </w:r>
          </w:p>
        </w:tc>
        <w:tc>
          <w:tcPr>
            <w:tcW w:type="dxa" w:w="2592"/>
          </w:tcPr>
          <w:p>
            <w:pPr>
              <w:spacing w:after="40"/>
            </w:pPr>
            <w:r>
              <w:t>Embarque: 12 de mayo de 2026</w:t>
            </w:r>
          </w:p>
        </w:tc>
        <w:tc>
          <w:tcPr>
            <w:tcW w:type="dxa" w:w="2592"/>
          </w:tcPr>
          <w:p>
            <w:pPr>
              <w:spacing w:after="40"/>
            </w:pPr>
            <w:r>
              <w:t>Embarque: 18 de abril de 2026</w:t>
            </w:r>
          </w:p>
        </w:tc>
        <w:tc>
          <w:tcPr>
            <w:tcW w:type="dxa" w:w="2736"/>
          </w:tcPr>
          <w:p>
            <w:pPr>
              <w:spacing w:after="40"/>
            </w:pPr>
            <w:r>
              <w:t>Brecha temporal de 24 días; plenamente apto dentro del marco legal de la OMC.</w:t>
            </w:r>
          </w:p>
        </w:tc>
      </w:tr>
      <w:tr>
        <w:tc>
          <w:tcPr>
            <w:tcW w:type="dxa" w:w="2160"/>
          </w:tcPr>
          <w:p>
            <w:pPr>
              <w:spacing w:after="40"/>
            </w:pPr>
            <w:r>
              <w:rPr>
                <w:b/>
              </w:rPr>
              <w:t>Valor FOB de Referencia</w:t>
            </w:r>
          </w:p>
        </w:tc>
        <w:tc>
          <w:tcPr>
            <w:tcW w:type="dxa" w:w="2592"/>
          </w:tcPr>
          <w:p>
            <w:pPr>
              <w:spacing w:after="40"/>
            </w:pPr>
            <w:r>
              <w:t>No Aplicable</w:t>
              <w:br/>
              <w:t>(Declarado: USD 20.00 proforma)</w:t>
            </w:r>
          </w:p>
        </w:tc>
        <w:tc>
          <w:tcPr>
            <w:tcW w:type="dxa" w:w="2592"/>
          </w:tcPr>
          <w:p>
            <w:pPr>
              <w:spacing w:after="40"/>
            </w:pPr>
            <w:r>
              <w:t>USD 1,450.00 por unidad</w:t>
            </w:r>
          </w:p>
        </w:tc>
        <w:tc>
          <w:tcPr>
            <w:tcW w:type="dxa" w:w="2736"/>
          </w:tcPr>
          <w:p>
            <w:pPr>
              <w:spacing w:after="40"/>
            </w:pPr>
            <w:r>
              <w:t>Referencia comercial real y vigente utilizada como base imponible.</w:t>
            </w:r>
          </w:p>
        </w:tc>
      </w:tr>
    </w:tbl>
    <w:p>
      <w:pPr>
        <w:spacing w:before="120"/>
      </w:pPr>
      <w:r>
        <w:rPr>
          <w:b/>
        </w:rPr>
        <w:t xml:space="preserve">Metodología de Valoración Aplicada: </w:t>
      </w:r>
      <w:r>
        <w:t xml:space="preserve">Ante la ausencia legal de una transacción onerosa, se consolida la aplicación del </w:t>
      </w:r>
      <w:r>
        <w:rPr>
          <w:b/>
        </w:rPr>
        <w:t>Segundo Método: Valor de Transacción de Mercancías Idénticas</w:t>
      </w:r>
      <w:r>
        <w:t xml:space="preserve"> (conforme al Art. 2 del Acuerdo de Valoración de la OMC y el procedimiento DESPA-PE.01.10a de SUNAT). La base imponible para nacionalizar el lote de 30 unidades se calcula multiplicando las unidades por el precio verificado de mercado (30 x USD 1,450.00), lo que determina un valor real en aduana final de </w:t>
      </w:r>
      <w:r>
        <w:rPr>
          <w:b/>
        </w:rPr>
        <w:t>USD 43,500.00</w:t>
      </w:r>
      <w:r>
        <w:t xml:space="preserve"> para efectos impositivos, sustituyendo en su totalidad el valor nominal proforma declarado inicialmente.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