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E8F1" w14:textId="295A52ED" w:rsidR="00A2760E" w:rsidRPr="00384A20" w:rsidRDefault="00000000" w:rsidP="00384A20">
      <w:pPr>
        <w:spacing w:before="120" w:after="0" w:line="240" w:lineRule="auto"/>
        <w:jc w:val="center"/>
        <w:rPr>
          <w:rFonts w:cs="Times New Roman"/>
          <w:b/>
        </w:rPr>
      </w:pPr>
      <w:r w:rsidRPr="00384A20">
        <w:rPr>
          <w:rFonts w:cs="Times New Roman"/>
          <w:b/>
        </w:rPr>
        <w:t>Döngüsel Ekonomi Bağlamında Sürdürülebilir Hizmetler: Dijital Etkinleştiriciler ve Gelecek Yönelimleri</w:t>
      </w:r>
      <w:r w:rsidR="00384A20">
        <w:rPr>
          <w:rFonts w:cs="Times New Roman"/>
          <w:b/>
        </w:rPr>
        <w:t xml:space="preserve"> </w:t>
      </w:r>
    </w:p>
    <w:p w14:paraId="5418032F" w14:textId="77777777" w:rsidR="00BB742C" w:rsidRPr="00384A20" w:rsidRDefault="00BB742C" w:rsidP="00384A20">
      <w:pPr>
        <w:pStyle w:val="Balk1"/>
        <w:spacing w:before="120" w:line="240" w:lineRule="auto"/>
        <w:rPr>
          <w:rFonts w:ascii="Times New Roman" w:hAnsi="Times New Roman" w:cs="Times New Roman"/>
          <w:bCs w:val="0"/>
          <w:color w:val="auto"/>
          <w:sz w:val="22"/>
          <w:szCs w:val="22"/>
        </w:rPr>
      </w:pPr>
    </w:p>
    <w:p w14:paraId="3260B943" w14:textId="77777777" w:rsidR="00BB742C" w:rsidRPr="00BB742C" w:rsidRDefault="00BB742C" w:rsidP="00384A20">
      <w:pPr>
        <w:pStyle w:val="Balk1"/>
        <w:spacing w:before="120" w:line="240" w:lineRule="auto"/>
        <w:jc w:val="center"/>
        <w:rPr>
          <w:rFonts w:ascii="Times New Roman" w:hAnsi="Times New Roman" w:cs="Times New Roman"/>
          <w:sz w:val="22"/>
          <w:szCs w:val="22"/>
          <w:lang w:val="tr-TR"/>
        </w:rPr>
      </w:pPr>
      <w:r w:rsidRPr="00BB742C">
        <w:rPr>
          <w:rFonts w:ascii="Times New Roman" w:hAnsi="Times New Roman" w:cs="Times New Roman"/>
          <w:sz w:val="22"/>
          <w:szCs w:val="22"/>
          <w:lang w:val="tr-TR"/>
        </w:rPr>
        <w:t>Advancing Sustainable Services: Circular Economy, Technology, and Future Directions</w:t>
      </w:r>
    </w:p>
    <w:p w14:paraId="670A86DF" w14:textId="76A80317" w:rsidR="00BB742C" w:rsidRPr="00440846" w:rsidRDefault="00440846" w:rsidP="00384A20">
      <w:pPr>
        <w:pStyle w:val="Balk1"/>
        <w:spacing w:before="120" w:line="240" w:lineRule="auto"/>
        <w:jc w:val="center"/>
        <w:rPr>
          <w:rFonts w:ascii="Times New Roman" w:hAnsi="Times New Roman" w:cs="Times New Roman"/>
          <w:bCs w:val="0"/>
          <w:color w:val="auto"/>
          <w:sz w:val="22"/>
          <w:szCs w:val="22"/>
          <w:lang w:val="tr-TR"/>
        </w:rPr>
      </w:pPr>
      <w:hyperlink r:id="rId6" w:history="1">
        <w:r w:rsidRPr="00440846">
          <w:rPr>
            <w:rStyle w:val="Kpr"/>
            <w:rFonts w:ascii="Times New Roman" w:hAnsi="Times New Roman" w:cs="Times New Roman"/>
            <w:bCs w:val="0"/>
            <w:sz w:val="22"/>
            <w:szCs w:val="22"/>
            <w:lang w:val="tr-TR"/>
          </w:rPr>
          <w:t>https://www.emeraldgrouppublishing.com/calls-for-papers/advancing-sustainable-services-circular-economy-technology-and-future-directions</w:t>
        </w:r>
      </w:hyperlink>
    </w:p>
    <w:p w14:paraId="08FA0400" w14:textId="77777777" w:rsidR="00440846" w:rsidRPr="00440846" w:rsidRDefault="00440846" w:rsidP="00440846">
      <w:pPr>
        <w:rPr>
          <w:lang w:val="tr-TR"/>
        </w:rPr>
      </w:pPr>
    </w:p>
    <w:p w14:paraId="01C0AA4A" w14:textId="77777777" w:rsidR="00BB742C" w:rsidRPr="00440846" w:rsidRDefault="00BB742C" w:rsidP="00384A20">
      <w:pPr>
        <w:pStyle w:val="Balk1"/>
        <w:spacing w:before="120" w:line="240" w:lineRule="auto"/>
        <w:rPr>
          <w:rFonts w:ascii="Times New Roman" w:hAnsi="Times New Roman" w:cs="Times New Roman"/>
          <w:bCs w:val="0"/>
          <w:color w:val="auto"/>
          <w:sz w:val="22"/>
          <w:szCs w:val="22"/>
          <w:lang w:val="tr-TR"/>
        </w:rPr>
      </w:pPr>
    </w:p>
    <w:p w14:paraId="2BDC7C3D" w14:textId="6A7B3F2C" w:rsidR="00A2760E" w:rsidRPr="00384A20" w:rsidRDefault="00000000" w:rsidP="00384A20">
      <w:pPr>
        <w:pStyle w:val="Balk1"/>
        <w:spacing w:before="120" w:line="240" w:lineRule="auto"/>
        <w:rPr>
          <w:rFonts w:ascii="Times New Roman" w:hAnsi="Times New Roman" w:cs="Times New Roman"/>
          <w:bCs w:val="0"/>
          <w:color w:val="auto"/>
          <w:sz w:val="22"/>
          <w:szCs w:val="22"/>
        </w:rPr>
      </w:pPr>
      <w:r w:rsidRPr="00384A20">
        <w:rPr>
          <w:rFonts w:ascii="Times New Roman" w:hAnsi="Times New Roman" w:cs="Times New Roman"/>
          <w:bCs w:val="0"/>
          <w:color w:val="auto"/>
          <w:sz w:val="22"/>
          <w:szCs w:val="22"/>
        </w:rPr>
        <w:t xml:space="preserve">Özet </w:t>
      </w:r>
    </w:p>
    <w:p w14:paraId="266409B6" w14:textId="77777777" w:rsidR="00BB742C" w:rsidRPr="00384A20" w:rsidRDefault="00BB742C" w:rsidP="00384A20">
      <w:pPr>
        <w:spacing w:before="120" w:after="0" w:line="240" w:lineRule="auto"/>
        <w:rPr>
          <w:rFonts w:cs="Times New Roman"/>
          <w:b/>
        </w:rPr>
      </w:pPr>
    </w:p>
    <w:p w14:paraId="0363B68B" w14:textId="77777777" w:rsidR="00384A20" w:rsidRPr="00384A20" w:rsidRDefault="00384A20" w:rsidP="00384A20">
      <w:pPr>
        <w:spacing w:before="120" w:after="0" w:line="240" w:lineRule="auto"/>
        <w:rPr>
          <w:rFonts w:cs="Times New Roman"/>
          <w:bCs/>
        </w:rPr>
      </w:pPr>
    </w:p>
    <w:p w14:paraId="0131B1B6" w14:textId="77777777" w:rsidR="00384A20" w:rsidRPr="00384A20" w:rsidRDefault="00384A20" w:rsidP="00384A20">
      <w:pPr>
        <w:spacing w:before="120" w:after="0" w:line="240" w:lineRule="auto"/>
        <w:rPr>
          <w:rFonts w:cs="Times New Roman"/>
          <w:bCs/>
        </w:rPr>
      </w:pPr>
    </w:p>
    <w:p w14:paraId="670D1EFF" w14:textId="7C48F2F2" w:rsidR="00A2760E" w:rsidRPr="00384A20" w:rsidRDefault="00384A20" w:rsidP="00384A20">
      <w:pPr>
        <w:spacing w:before="120" w:after="0" w:line="240" w:lineRule="auto"/>
        <w:rPr>
          <w:rFonts w:cs="Times New Roman"/>
          <w:bCs/>
        </w:rPr>
      </w:pPr>
      <w:r w:rsidRPr="00384A20">
        <w:rPr>
          <w:rFonts w:cs="Times New Roman"/>
          <w:b/>
        </w:rPr>
        <w:t>Keywords</w:t>
      </w:r>
      <w:r w:rsidRPr="00384A20">
        <w:rPr>
          <w:rFonts w:cs="Times New Roman"/>
          <w:bCs/>
        </w:rPr>
        <w:t>: Sürdürülebilir hizmetler; Döngüsel ekonomi; Hizmet kalitesi; Servisleşme; IoT; Yapay zekâ; Blokzincir; Tersine lojistik; Etki ölçümü; Akıllı kentler; SDG’ler</w:t>
      </w:r>
    </w:p>
    <w:p w14:paraId="75CE5CDE" w14:textId="77777777" w:rsidR="00BB742C" w:rsidRPr="00384A20" w:rsidRDefault="00BB742C" w:rsidP="00384A20">
      <w:pPr>
        <w:pStyle w:val="Balk1"/>
        <w:spacing w:before="120" w:line="240" w:lineRule="auto"/>
        <w:rPr>
          <w:rFonts w:ascii="Times New Roman" w:hAnsi="Times New Roman" w:cs="Times New Roman"/>
          <w:bCs w:val="0"/>
          <w:color w:val="auto"/>
          <w:sz w:val="22"/>
          <w:szCs w:val="22"/>
        </w:rPr>
      </w:pPr>
    </w:p>
    <w:p w14:paraId="7D6AF9EC" w14:textId="040603D9" w:rsidR="00A2760E" w:rsidRPr="00384A20" w:rsidRDefault="00000000" w:rsidP="00384A20">
      <w:pPr>
        <w:pStyle w:val="Balk1"/>
        <w:spacing w:before="120" w:line="240" w:lineRule="auto"/>
        <w:rPr>
          <w:rFonts w:ascii="Times New Roman" w:hAnsi="Times New Roman" w:cs="Times New Roman"/>
          <w:bCs w:val="0"/>
          <w:color w:val="auto"/>
          <w:sz w:val="22"/>
          <w:szCs w:val="22"/>
        </w:rPr>
      </w:pPr>
      <w:r w:rsidRPr="00384A20">
        <w:rPr>
          <w:rFonts w:ascii="Times New Roman" w:hAnsi="Times New Roman" w:cs="Times New Roman"/>
          <w:bCs w:val="0"/>
          <w:color w:val="auto"/>
          <w:sz w:val="22"/>
          <w:szCs w:val="22"/>
        </w:rPr>
        <w:t>Giriş</w:t>
      </w:r>
    </w:p>
    <w:p w14:paraId="18121233" w14:textId="77777777" w:rsidR="005B026B" w:rsidRPr="00384A20" w:rsidRDefault="007D775F" w:rsidP="00384A20">
      <w:pPr>
        <w:spacing w:before="120" w:after="0" w:line="240" w:lineRule="auto"/>
        <w:rPr>
          <w:rFonts w:cs="Times New Roman"/>
          <w:bCs/>
          <w:lang w:val="tr-TR"/>
        </w:rPr>
      </w:pPr>
      <w:r w:rsidRPr="007D775F">
        <w:rPr>
          <w:rFonts w:cs="Times New Roman"/>
          <w:bCs/>
          <w:lang w:val="tr-TR"/>
        </w:rPr>
        <w:t>Döngüsel ekonomi ve dijital teknoloji kesişimi, sürdürülebilir hizmet sistemlerinin gelişiminde stratejik bir alan oluşturmaktadır (Burmaoglu et al., 2023). Hizmet sistemleri, yeniden kullanım ve onarım süreçlerinin koordinasyonunda merkezi roller üstlenerek kaynak verimliliğini artırmaktadır (Tukker &amp; Tischner, 2023). Dijital teknolojiler, ürün-hizmet sistemlerinde veri odaklı dönüşümleri mümkün kılmakta ve hizmetleşme sürecini hızlandırmaktadır (Langley, 2022). Geleneksel ürün-merkezli yaklaşımlar, hizmet kalitesinin stratejik rolünü ve sürdürülebilirlik sonuçlarını yeterince ele almamaktadır (Gür, 2023). Bu çalışma, sürdürülebilir hizmet sistemlerinin tasarımında dijital etkinleştiricilerin rolünü inceleyerek döngüsel ekonomi geçişine katkı sağlamayı amaçlamaktadır (Vezzoli &amp; Macrì, 2024).</w:t>
      </w:r>
      <w:r w:rsidRPr="00384A20">
        <w:rPr>
          <w:rFonts w:cs="Times New Roman"/>
          <w:bCs/>
          <w:lang w:val="tr-TR"/>
        </w:rPr>
        <w:t xml:space="preserve"> </w:t>
      </w:r>
      <w:r w:rsidRPr="007D775F">
        <w:rPr>
          <w:rFonts w:cs="Times New Roman"/>
          <w:bCs/>
          <w:lang w:val="tr-TR"/>
        </w:rPr>
        <w:t>Döngüsel ekonomi yaklaşımı, kentsel hizmetlerde kaynak verimliliğini artırırken üreticiye bağlı servis modellerinde yeni değer yaratma fırsatları sunmaktadır (Medaglia et al., 2024). Hizmet tasarımı, malzeme tüketimini azaltma ve ürün ömrünü uzatma gibi çıktıları iyileştirerek döngüselliği güçlendirmektedir (Wu &amp; Pi, 2023). Dijital teknolojiler, veri analitiği ve izlenebilirlik yoluyla üretici-tüketici ilişkilerini dönüştürmekte ve hizmet sistemlerinin etkinliğini artırmaktadır (Liu et al., 2022). Bu teknolojiler, kaynak akışlarının şeffaflığını sağlayarak döngüsel stratejilerin operasyonel uygulanmasını kolaylaştırmaktadır (Cagno et al., 2021). Ölçüm mimarisi, blokzincir gibi dijital altyapılarla desteklendiğinde performans değerlendirmesini güvenilir kılarak döngüsel etkileri pekiştirmektedir (Kouhizadeh et al., 2022).</w:t>
      </w:r>
    </w:p>
    <w:p w14:paraId="5A2A4C3C" w14:textId="2BA4DFC3" w:rsidR="00384A20" w:rsidRPr="00384A20" w:rsidRDefault="00384A20" w:rsidP="00384A20">
      <w:pPr>
        <w:spacing w:before="120" w:after="0" w:line="240" w:lineRule="auto"/>
        <w:rPr>
          <w:rFonts w:cs="Times New Roman"/>
          <w:bCs/>
          <w:lang w:val="tr-TR"/>
        </w:rPr>
      </w:pPr>
      <w:r w:rsidRPr="00384A20">
        <w:rPr>
          <w:rFonts w:cs="Times New Roman"/>
          <w:bCs/>
          <w:lang w:val="tr-TR"/>
        </w:rPr>
        <w:t>Gösterge tabanlı yönetişim, döngüsel ekonomi uygulamalarının izlenmesinde merkezi bir rol üstlenerek hizmet sistemlerinin uygulanabilirliğini, hesap verebilirliğini ve karşılaştırılabilirliğini artırmakta; veri temelli disiplin kurumsal öğrenmeyi ve sürekli iyileştirmeyi hızlandırmaktadır (de Oliveira &amp; Oliveira, 2023; Rincón-Moreno et al., 2021). Performans göstergeleri, döngüsellik stratejilerinin etkinliğini ölçerek karar alma süreçlerini desteklemekte, müdahalelerin zamanlamasını optimize etmekte ve kaynak tahsisinin şeffaflığını iyileştirmektedir (Abu-Bakar et al., 2024; Calzolari et al., 2022). Ulusal yol haritalarındaki gösterge envanterleri, politika araçlarının ülkeler arasında uyarlanabilir transferini kolaylaştırmakta; kurumlar arası eşgüdümü, kıyaslamayı ve sonuç odaklı hesap verebilirliği güçlendirmektedir (Smol, 2021).</w:t>
      </w:r>
      <w:r w:rsidRPr="00384A20">
        <w:rPr>
          <w:rFonts w:cs="Times New Roman"/>
          <w:bCs/>
          <w:lang w:val="tr-TR"/>
        </w:rPr>
        <w:br/>
        <w:t xml:space="preserve">Çok düzeyli değerlendirme çerçeveleri, ürün–süreç–bölge ölçeklerinde sistematik uygulamayı </w:t>
      </w:r>
      <w:r w:rsidRPr="00384A20">
        <w:rPr>
          <w:rFonts w:cs="Times New Roman"/>
          <w:bCs/>
          <w:lang w:val="tr-TR"/>
        </w:rPr>
        <w:lastRenderedPageBreak/>
        <w:t>mümkün kılmakta; tasarım, servisleşme ve tersine lojistik arasında bütüncül eşleştirme oluşturmaktadır (Ahmed et al., 2022). Bu çalışma, göstergelerin seçimi ve metrik hiyerarşisinin kurulumu konusunda yol gösterici ilkeler geliştirerek, yönetişim pratiklerine aktarılabilir bulgular üretmekte ve belirsizliği azaltan ölçülebilir hedefler sunmaktadır. Bulgular, karar vericilerin etki ölçümünü politika döngülerine entegre etmesine yardımcı olurken, kurumsal öğrenmenin hızını ve kanıt temelli müdahalelerin ölçeklenebilirliğini artırmaktadır. Sonuç olarak, çalışma literatüre özgün bir katkı sağlayarak kanıt ve politika arasındaki köprüyü güçlendirmekte; gelecekteki araştırmalar için veri gereksinimleri, raporlama sıklıkları ve doğrulama protokollerine ilişkin uygulanabilir bir gündem önermektedir. Böylece, izlenebilirlik artmakta, maliyet–etki ilişkileri saydamlaşmakta ve uygulama riskleri azalmaktadır; koordinasyon düzeyinde güçlenmektedir.</w:t>
      </w:r>
    </w:p>
    <w:p w14:paraId="33C075EF" w14:textId="77777777" w:rsidR="00BB742C" w:rsidRPr="00384A20" w:rsidRDefault="00A07596" w:rsidP="00384A20">
      <w:pPr>
        <w:spacing w:before="120" w:after="0" w:line="240" w:lineRule="auto"/>
        <w:rPr>
          <w:rFonts w:cs="Times New Roman"/>
          <w:bCs/>
          <w:lang w:val="tr-TR"/>
        </w:rPr>
      </w:pPr>
      <w:r w:rsidRPr="00A07596">
        <w:rPr>
          <w:rFonts w:cs="Times New Roman"/>
          <w:bCs/>
          <w:lang w:val="tr-TR"/>
        </w:rPr>
        <w:t>Bu çalışma, kentsel hizmetler ile üreticiye bağlı servis modellerini döngüsel tasarım, dijital etkinleştiriciler ve ölçüm mimarisi eksenlerinde tanımlayarak kapsamı sınırlandırmakta ve bağımlı-bağımsız değişken setlerini yönetilebilir bir araştırma tasarımında sistematikleştirmektedir (Vezzoli &amp; Macrì, 2024). Araştırma Sorusu 1, döngüsel hizmet tasarımının hangi çıktıları iyileştirdiğini sınamakta; kaynak verimliliği, onarım oranı, yeniden kullanım akışları ve hizmet başına sera gazı yoğunluğu gibi metrikleri operasyonel olarak standartlaştırmaktadır (Cagno, Neri, Negri, Bassani, &amp; Lampertico, 2021). Modülerlik, onarılabilirlik ve teşvik uyumlu garanti şemaları, malzeme döngüselliğini artıran tasarım ilkeleri olarak modellenmekte; sektörler arası kıyaslamaya elveren gösterge setleriyle nedensel ilişkilendirme ve aracı mekanizmalar değerlendirilmektedir (Rincón-Moreno, Ormazábal, Álvarez, &amp; Jaca, 2021). Araştırma Sorusu 2, dijital teknolojilerin bu ilişkileri nasıl dönüştürdüğünü incelemekte; IoT temelli durum izleme, yapay zekâ destekli kestirimci bakım ve blokzincir izlenebilirliği bilgi asimetrisini azaltıp sözleşmeleri dinamikleştirmektedir (Liu, Trevisan, Yang, &amp; Mascarenhas, 2022). Varlıkların veri-temelli hizmetleşmesi, kullanım başına ücretlendirme, tersine lojistik koordinasyonu ve kapasite optimizasyonu yoluyla kapanan döngüleri güçlendirerek geri kazanımın zamanlamasını ve miktarını iyileştirmektedir (Rejeb, Zailani, Rejeb, Seuring, &amp; Treiblmaier, 2022). Araştırma Sorusu 3, ölçüm mimarisinin etkileri hangi koşullarda pekiştirdiğini değerlendirerek; izlenebilirlik, zamanında raporlama, gösterge hiyerarşileri ve alım süreçleriyle hizalanmış teşviklerin yönetişim altında çarpan etkisi yarattığı varsayımlarını sınamaktadır (Neramballi, Zuiderwijk, &amp; Hekkert, 2024).</w:t>
      </w:r>
      <w:r w:rsidRPr="00384A20">
        <w:rPr>
          <w:rFonts w:cs="Times New Roman"/>
          <w:bCs/>
          <w:lang w:val="tr-TR"/>
        </w:rPr>
        <w:t xml:space="preserve"> </w:t>
      </w:r>
    </w:p>
    <w:p w14:paraId="30CED8A0" w14:textId="77777777" w:rsidR="00BB742C" w:rsidRPr="00384A20" w:rsidRDefault="0062778B" w:rsidP="00384A20">
      <w:pPr>
        <w:spacing w:before="120" w:after="0" w:line="240" w:lineRule="auto"/>
        <w:rPr>
          <w:rFonts w:eastAsiaTheme="majorEastAsia" w:cs="Times New Roman"/>
          <w:bCs/>
          <w:lang w:val="tr-TR"/>
        </w:rPr>
      </w:pPr>
      <w:r w:rsidRPr="0062778B">
        <w:rPr>
          <w:rFonts w:eastAsiaTheme="majorEastAsia" w:cs="Times New Roman"/>
          <w:bCs/>
          <w:lang w:val="tr-TR"/>
        </w:rPr>
        <w:t>Bu çalışma, gösterge tabanlı yönetişim çerçevesiyle döngüsel hizmetlerin uygulanabilirliğini, hesap verebilirliğini ve kıyaslanabilirliğini artırarak kurumların performans izlemesini politika tasarımıyla hizalamakta; böylece kaynak tahsisi ve ölçeklenebilirlik kapasitesi güçlenmektedir (OECD, 2024; ISO, 2024a). (</w:t>
      </w:r>
      <w:hyperlink r:id="rId7" w:tooltip="Monitoring Progress towards a Resource-Efficient and ..." w:history="1">
        <w:r w:rsidRPr="0062778B">
          <w:rPr>
            <w:rStyle w:val="Kpr"/>
            <w:rFonts w:cs="Times New Roman"/>
            <w:bCs/>
            <w:color w:val="auto"/>
            <w:lang w:val="tr-TR"/>
          </w:rPr>
          <w:t>OECD</w:t>
        </w:r>
      </w:hyperlink>
      <w:r w:rsidRPr="0062778B">
        <w:rPr>
          <w:rFonts w:eastAsiaTheme="majorEastAsia" w:cs="Times New Roman"/>
          <w:bCs/>
          <w:lang w:val="tr-TR"/>
        </w:rPr>
        <w:t>)</w:t>
      </w:r>
      <w:r w:rsidRPr="00384A20">
        <w:rPr>
          <w:rFonts w:cs="Times New Roman"/>
          <w:bCs/>
          <w:lang w:val="tr-TR"/>
        </w:rPr>
        <w:t xml:space="preserve"> </w:t>
      </w:r>
      <w:r w:rsidRPr="0062778B">
        <w:rPr>
          <w:rFonts w:eastAsiaTheme="majorEastAsia" w:cs="Times New Roman"/>
          <w:bCs/>
          <w:lang w:val="tr-TR"/>
        </w:rPr>
        <w:t>Ölçüm mimarisi, zorunlu ve isteğe bağlı göstergeleri tutarlı veri toplama süreçlerine bağlayarak doğrulanabilir raporlama, dış denetim uyumu ve öğrenme döngülerinin hızlanmasını sağlamaktadır (ISO, 2024b; EEA, 2024). (</w:t>
      </w:r>
      <w:hyperlink r:id="rId8" w:tooltip="ISO 59020 Measuring and assessing circularity performance" w:history="1">
        <w:r w:rsidRPr="0062778B">
          <w:rPr>
            <w:rStyle w:val="Kpr"/>
            <w:rFonts w:cs="Times New Roman"/>
            <w:bCs/>
            <w:color w:val="auto"/>
            <w:lang w:val="tr-TR"/>
          </w:rPr>
          <w:t>CEN-CENELEC</w:t>
        </w:r>
      </w:hyperlink>
      <w:r w:rsidRPr="0062778B">
        <w:rPr>
          <w:rFonts w:eastAsiaTheme="majorEastAsia" w:cs="Times New Roman"/>
          <w:bCs/>
          <w:lang w:val="tr-TR"/>
        </w:rPr>
        <w:t>)</w:t>
      </w:r>
      <w:r w:rsidRPr="0062778B">
        <w:rPr>
          <w:rFonts w:eastAsiaTheme="majorEastAsia" w:cs="Times New Roman"/>
          <w:bCs/>
          <w:lang w:val="tr-TR"/>
        </w:rPr>
        <w:br/>
        <w:t xml:space="preserve">Kurumsal düzeyde, karar destek araçları ve olgunluk değerlendirmeleri hizmetleşme, tersine lojistik ve ikincil malzeme stratejilerinin sıralanmasını kolaylaştırmakta; yatırım sinyallerini belirginleştirmektedir (Ellen MacArthur Foundation, 2024; Ellen MacArthur Foundation, 2021). Literatür, metriklerin standardizasyonu ile gösterge hiyerarşilerinin, malzeme akışlarının şeffaflığı ve etki kıyaslaması için kritik olduğunu göstermekte; bu makale söz konusu ilkeleri modelleme varsayımlarına dâhil etmektedir (Munonye, 2025; OECD, 2024). Ayrıca, döngüsel iş modeli incelemeleri, uygulama risklerinin azaltılmasında veri temelli yönetişim ve izlenebilirliğin belirleyici rolünü vurgulamakta; bulgularımız bu vurgu ile yöntem ve tartışma bölümlerinde eşgüdümlü ilerlemektedir (Islam, 2025; Woldeyes, 2025). Son olarak, küresel dairesellikteki yavaşlama, uygulanabilir yol haritalarının aciliyetini teyit etmekte; makale IMRAD yapısında bulguları sunarak yönetim ve politika pratiklerine doğrudan aktarılabilir bir çerçeve önermektedir (Circle Economy, 2024). </w:t>
      </w:r>
    </w:p>
    <w:p w14:paraId="59EC3598" w14:textId="77777777" w:rsidR="00BB742C" w:rsidRPr="00384A20" w:rsidRDefault="00000000" w:rsidP="00384A20">
      <w:pPr>
        <w:spacing w:before="120" w:after="0" w:line="240" w:lineRule="auto"/>
        <w:rPr>
          <w:rFonts w:cs="Times New Roman"/>
          <w:b/>
          <w:lang w:val="tr-TR"/>
        </w:rPr>
      </w:pPr>
      <w:r w:rsidRPr="00384A20">
        <w:rPr>
          <w:rFonts w:cs="Times New Roman"/>
          <w:b/>
          <w:lang w:val="tr-TR"/>
        </w:rPr>
        <w:t>2. Literatür İncelemesi ve Hipotez Geliştirme</w:t>
      </w:r>
    </w:p>
    <w:p w14:paraId="3CBB3D86" w14:textId="77777777" w:rsidR="00BB742C" w:rsidRPr="00384A20" w:rsidRDefault="000A3EA3" w:rsidP="00384A20">
      <w:pPr>
        <w:spacing w:before="120" w:after="0" w:line="240" w:lineRule="auto"/>
        <w:rPr>
          <w:rFonts w:eastAsiaTheme="majorEastAsia" w:cs="Times New Roman"/>
          <w:bCs/>
          <w:lang w:val="tr-TR"/>
        </w:rPr>
      </w:pPr>
      <w:r w:rsidRPr="000A3EA3">
        <w:rPr>
          <w:rFonts w:eastAsiaTheme="majorEastAsia" w:cs="Times New Roman"/>
          <w:bCs/>
          <w:lang w:val="tr-TR"/>
        </w:rPr>
        <w:lastRenderedPageBreak/>
        <w:t>Modülerlik ve onarılabilirlik, bileşen değişimini hızlandırarak çevrim içi bakım akışlarını sadeleştirmekte; hizmet süresi boyunca kalite dalgalanmalarını azaltarak müşteri deneyimini istikrarlı kılmakta ve hizmet düzeyi sözleşmelerinin uygulanabilirliğini artırmaktadır (Werrel, 2024). Kullanıcı odaklı tasarım, erişilebilir arayüzler, parça bulunurluğu ve kullanım içgörüleriyle paylaşım, tamir ve iade kararlarını kolaylaştırmakta; geri kazanım miktarı ile hizmete bağlı memnuniyet göstergelerini birlikte iyileştirmektedir (Selvefors, 2024). Teşvik uyumlu garanti ve fiyatlama, koşul temelli bakım ve hasarsız söküm gibi tekniklerle birleştiğinde iade oranlarını yükseltmekte; parça hasadı süreçlerini hızlandırarak ikincil bileşen kalitesinin standardize edilmesine imkân tanımaktadır (Van Opstal, 2024). Hizmet kalitesinin güvencesi, görünürlük ve yanıt verebilirlik boyutlarında veri izlenebilirliği gerektirmekte; bu gereksinim modüler tasarım sayesinde arıza lokalizasyonunu ve bakım çevrimlerinin doğruluğunu artırarak algılanan güvenilirliği güçlendirmektedir (Zighan, 2023). PSS literatürü, tasarımın yalnızca çevresel çıktıyı değil, sözleşmesel değer sunumunu ve hizmet toparlanma kabiliyetini de belirlediğini; bu nedenle kalite metriklerinin yaşam döngüsü bağlamında yeniden tanımlanması gerektiğini göstermektedir (Henriques, 2023). Onarımın müşterek değer yaratım süreci olarak ele alınması, üretici–kullanıcı işbirliğini derinleştirerek hizmet deneyimini güçlendirmekte; öğrenme döngülerini kısaltıp tekrar kullanım eşiğini düşürerek kalite istikrarını pekiştirmektedir (Bayraktaroğlu, 2024).</w:t>
      </w:r>
      <w:r w:rsidR="00BB742C" w:rsidRPr="00384A20">
        <w:rPr>
          <w:rFonts w:eastAsiaTheme="majorEastAsia" w:cs="Times New Roman"/>
          <w:bCs/>
          <w:lang w:val="tr-TR"/>
        </w:rPr>
        <w:t xml:space="preserve"> </w:t>
      </w:r>
    </w:p>
    <w:p w14:paraId="78622792" w14:textId="14D4A499" w:rsidR="000A3EA3" w:rsidRPr="000A3EA3" w:rsidRDefault="000A3EA3" w:rsidP="00384A20">
      <w:pPr>
        <w:spacing w:before="120" w:after="0" w:line="240" w:lineRule="auto"/>
        <w:rPr>
          <w:rFonts w:eastAsiaTheme="majorEastAsia" w:cs="Times New Roman"/>
          <w:bCs/>
          <w:lang w:val="tr-TR"/>
        </w:rPr>
      </w:pPr>
      <w:r w:rsidRPr="000A3EA3">
        <w:rPr>
          <w:rFonts w:eastAsiaTheme="majorEastAsia" w:cs="Times New Roman"/>
          <w:bCs/>
          <w:lang w:val="tr-TR"/>
        </w:rPr>
        <w:t>IoT telemetrisi, durum izleme ve koşul-temelli servisleri olgunlaştırarak arıza öncesi uyarıları hızlandırmakta, bakım çevrimlerini kısaltmakta ve tersine akış koordinasyonunu veri temelli kararlarla bütünleştirmektedir (Turskis, 2024; Lanfranchi, 2024). Dijital ikizlerle bütünleşen kenar-bilişim mimarileri, varlık durumunun sürekli görselleştirilmesini sağlayarak arıza kök-neden analizlerini keskinleştirmekte ve yeniden kullanım ile yenileme için kapasite planlamasını hızlandırmaktadır (Mügge, 2024). Yapay zekâ analitiği, çoklu sensör verilerinden öğrenerek arıza olasılığını erken aşamada kestirmekte; bakım zamanlamasını optimize ederek beklenmedik duruşları azaltmakta ve ekipman ömrünü uzatarak hizmet kalitesi istikrarını güçlendirmektedir (Rojas, 2025). Blokzincir izlenebilirliği, bileşen menşei ve kullanıma-dayalı durum geçmişlerini değiştirilemez biçimde kaydederek ters seçim riskini düşürmekte ve ikincil pazar güvenini artırmaktadır (Böhmecke-Schwafert, 2022). Akıllı sözleşmeler, iade, garanti ve artık değer kredilendirmesini otomatikleştirerek devredilebilirlikle birlikte teminatlı yeniden satış süreçlerini kolaylaştırmakta; dolaşımdaki yenilenmiş modüllerin likiditesini güçlendirmektedir (Duan, 2025). Bu bütünleşik veri katmanları, bilgi asimetrilerini azaltarak kullanım-başına fiyatlama ve performans garantilerini mümkün kılmakta; hizmetleşmiş döngüsel iş modellerinde ölçeklenebilirliği artırmaktadır. Buna dayanarak, H2a: IoT-yapay zekâ entegrasyonu arıza sıklığını düşürmektedir; H2b: blokzincir izlenebilirliği yeniden satış likiditesini artırmaktadır; H2c: birleşik yığın algılanan hizmet kalitesini yükseltmektedir.</w:t>
      </w:r>
    </w:p>
    <w:p w14:paraId="1E2D210B" w14:textId="77777777" w:rsidR="000A3EA3" w:rsidRPr="000A3EA3" w:rsidRDefault="000A3EA3" w:rsidP="00384A20">
      <w:pPr>
        <w:spacing w:before="120" w:after="0" w:line="240" w:lineRule="auto"/>
        <w:rPr>
          <w:rFonts w:cs="Times New Roman"/>
          <w:bCs/>
          <w:lang w:val="tr-TR"/>
        </w:rPr>
      </w:pPr>
      <w:r w:rsidRPr="000A3EA3">
        <w:rPr>
          <w:rFonts w:cs="Times New Roman"/>
          <w:bCs/>
          <w:lang w:val="tr-TR"/>
        </w:rPr>
        <w:t xml:space="preserve">Servisleşme, mülkiyetten kullanıma dayalı sözleşmelere geçişi hızlandırarak varlık ömrü boyunca değer yakalamayı yaymakta, performans garantileriyle kalite istikrarını pekiştirmekte ve talep dalgalanmalarına karşı esnek kapasite yönetimini mümkün kılmaktadır (Geissdoerfer, 2023). Tersine lojistik, toplama, sınıflandırma ve yenileme süreçlerini standartlaştırarak bileşenlerin değer zincirine geri sokulmasını kolaylaştırmakta; yeniden kullanım ve remanüfaktür akışlarını ölçeklenebilir hale getirerek malzeme verimliliğini artırmaktadır (Butt, 2024). Kullanıcı tabanlı fiyatlama ve bakım dâhil sözleşmeler, arıza riskini üreticiye içselleştirerek tasarımda modülerliği özendirmekte; iade oranlarını ve parça hasadı verimini yükselterek çevrim kapatma dinamiklerini güçlendirmektedir (Bocken et al., 2022). Platform yönetişimi, çok-taraflı pazarları veri bütünlüğü ve standart arayüzlerle birleştirerek tedarikçi, hizmet sağlayıcı ve yenileyici aktörlerin koordinasyonunu hızlandırmakta; eşleştirme maliyetlerini düşürerek geri akışların orkestrasyonunu kolaylaştırmaktadır (Wu et al., 2024). Politika kaynaklı engeller ve zincir içi teşvik uyumsuzlukları, tersine akışların ticari fizibilitesini zayıflatmakta; bu nedenle iş modeli yeniliklerinin regülasyon ve satın alma şemalarıyla birlikte tasarlanması gerekmektedir (Kazancoglu et al., 2021). Sonuç olarak, platform destekli servisleşme ve kurumsallaşmış tersine lojistik, çevrimlerin kapanma hızını </w:t>
      </w:r>
      <w:r w:rsidRPr="000A3EA3">
        <w:rPr>
          <w:rFonts w:cs="Times New Roman"/>
          <w:bCs/>
          <w:lang w:val="tr-TR"/>
        </w:rPr>
        <w:lastRenderedPageBreak/>
        <w:t>ve ikincil pazar likiditesini artırarak döngüsel değer önerilerinin ekonomik sürdürülebilirliğini güçlendirmektedir (Biancolin &amp; Torre, 2023).</w:t>
      </w:r>
    </w:p>
    <w:p w14:paraId="08AE1870" w14:textId="77777777" w:rsidR="00BB742C" w:rsidRPr="00BB742C" w:rsidRDefault="00BB742C" w:rsidP="00384A20">
      <w:pPr>
        <w:spacing w:before="120" w:after="0" w:line="240" w:lineRule="auto"/>
        <w:rPr>
          <w:rFonts w:cs="Times New Roman"/>
          <w:bCs/>
          <w:lang w:val="tr-TR"/>
        </w:rPr>
      </w:pPr>
      <w:r w:rsidRPr="00BB742C">
        <w:rPr>
          <w:rFonts w:cs="Times New Roman"/>
          <w:bCs/>
          <w:lang w:val="tr-TR"/>
        </w:rPr>
        <w:t>Yaşam döngüsüne bağlı göstergeler, yönetim odağını süreçten sonuca kaydırarak tasarım, kullanım, yenileme ve bertaraf aşamalarını tek bir mantıkta bağlamakta; böylece kararların kanıt temelli ve karşılaştırılabilir olmasını sağlamaktadır (Calzolari et al., 2022). (</w:t>
      </w:r>
      <w:hyperlink r:id="rId9" w:tooltip="Circular Economy indicators for supply chains" w:history="1">
        <w:r w:rsidRPr="00BB742C">
          <w:rPr>
            <w:rStyle w:val="Kpr"/>
            <w:rFonts w:cs="Times New Roman"/>
            <w:bCs/>
            <w:color w:val="auto"/>
            <w:lang w:val="tr-TR"/>
          </w:rPr>
          <w:t>ScienceDirect</w:t>
        </w:r>
      </w:hyperlink>
      <w:r w:rsidRPr="00BB742C">
        <w:rPr>
          <w:rFonts w:cs="Times New Roman"/>
          <w:bCs/>
          <w:lang w:val="tr-TR"/>
        </w:rPr>
        <w:t>) Hizmet başına sera gazı yoğunluğu, hizmet birimi çıktısı ile kapsam 1–3 emisyonlarının ilişkilendirilmesini gerektirmekte; veri bütünlüğünü güvenceye alan hesaplama kuralları ve sınır tanımları olmadan politika uyumluluğu sağlanamamaktadır (EFRAG, 2023; European Union, 2022). (</w:t>
      </w:r>
      <w:hyperlink r:id="rId10" w:tooltip="ESRS 1 Delegated-act-2023-5303-annex-1_en.pdf" w:history="1">
        <w:r w:rsidRPr="00BB742C">
          <w:rPr>
            <w:rStyle w:val="Kpr"/>
            <w:rFonts w:cs="Times New Roman"/>
            <w:bCs/>
            <w:color w:val="auto"/>
            <w:lang w:val="tr-TR"/>
          </w:rPr>
          <w:t>EFRAG</w:t>
        </w:r>
      </w:hyperlink>
      <w:r w:rsidRPr="00BB742C">
        <w:rPr>
          <w:rFonts w:cs="Times New Roman"/>
          <w:bCs/>
          <w:lang w:val="tr-TR"/>
        </w:rPr>
        <w:t>) Maddi döngüsellik endeksi, birincil malzeme bağımlılığını azaltan ikame ve geri kazanım akışlarını izleyerek malzeme ayak izinin düşürülmesini hedeflemekte; tedarik zinciri boyunca izlenebilirliğe dayalı akış verilerini zorunlu kılmaktadır (WBCSD, 2023). (</w:t>
      </w:r>
      <w:hyperlink r:id="rId11" w:tooltip="Circular Transition Indicators v4.0" w:history="1">
        <w:r w:rsidRPr="00BB742C">
          <w:rPr>
            <w:rStyle w:val="Kpr"/>
            <w:rFonts w:cs="Times New Roman"/>
            <w:bCs/>
            <w:color w:val="auto"/>
            <w:lang w:val="tr-TR"/>
          </w:rPr>
          <w:t>WBCSD</w:t>
        </w:r>
      </w:hyperlink>
      <w:r w:rsidRPr="00BB742C">
        <w:rPr>
          <w:rFonts w:cs="Times New Roman"/>
          <w:bCs/>
          <w:lang w:val="tr-TR"/>
        </w:rPr>
        <w:t>) İş kalitesi ve kapsayıcılık, ücret güvencesi, beceri gelişimi, iş sağlığı ve erişilebilir istihdam gibi göstergelerle sosyal değeri somutlaştırmakta; hizmetleşen iş modellerinde adil dönüşüm ilkelerini görünür kılmaktadır (Bahramimianrood et al., 2024). (</w:t>
      </w:r>
      <w:hyperlink r:id="rId12" w:tooltip="Reviewing Circularity Indicators for a Sustainable ..." w:history="1">
        <w:r w:rsidRPr="00BB742C">
          <w:rPr>
            <w:rStyle w:val="Kpr"/>
            <w:rFonts w:cs="Times New Roman"/>
            <w:bCs/>
            <w:color w:val="auto"/>
            <w:lang w:val="tr-TR"/>
          </w:rPr>
          <w:t>ScienceDirect</w:t>
        </w:r>
      </w:hyperlink>
      <w:r w:rsidRPr="00BB742C">
        <w:rPr>
          <w:rFonts w:cs="Times New Roman"/>
          <w:bCs/>
          <w:lang w:val="tr-TR"/>
        </w:rPr>
        <w:t>) Bu göstergelerin mimarisi, veri kaynakları, örnekleme sıklıkları ve doğrulama protokollerini tanımlayan standartlara dayandığında kurum içi karşılaştırmalar ile sektörler arası kıyaslamalar mümkün olmaktadır (ISO, 2024). (</w:t>
      </w:r>
      <w:hyperlink r:id="rId13" w:tooltip="ISO 59010:2024 - Circular economy — Guidance on the ..." w:history="1">
        <w:r w:rsidRPr="00BB742C">
          <w:rPr>
            <w:rStyle w:val="Kpr"/>
            <w:rFonts w:cs="Times New Roman"/>
            <w:bCs/>
            <w:color w:val="auto"/>
            <w:lang w:val="tr-TR"/>
          </w:rPr>
          <w:t>iso.org</w:t>
        </w:r>
      </w:hyperlink>
      <w:r w:rsidRPr="00BB742C">
        <w:rPr>
          <w:rFonts w:cs="Times New Roman"/>
          <w:bCs/>
          <w:lang w:val="tr-TR"/>
        </w:rPr>
        <w:t>) Son olarak, ölçüm mimarisi ile alım politikaları, garanti şartları ve teşvik düzenekleri eşgüdümlü kurulduğunda, çevresel kazanımların sürekliliği ile sosyal sonuçların kalıcılığı birlikte pekiştirilmektedir (European Union, 2022; WBCSD, 2023). (</w:t>
      </w:r>
      <w:hyperlink r:id="rId14" w:tooltip="2022/2464 - EN - CSRD Directive - EUR-Lex - European Union" w:history="1">
        <w:r w:rsidRPr="00BB742C">
          <w:rPr>
            <w:rStyle w:val="Kpr"/>
            <w:rFonts w:cs="Times New Roman"/>
            <w:bCs/>
            <w:color w:val="auto"/>
            <w:lang w:val="tr-TR"/>
          </w:rPr>
          <w:t>eur-lex.europa.eu</w:t>
        </w:r>
      </w:hyperlink>
      <w:r w:rsidRPr="00BB742C">
        <w:rPr>
          <w:rFonts w:cs="Times New Roman"/>
          <w:bCs/>
          <w:lang w:val="tr-TR"/>
        </w:rPr>
        <w:t>)</w:t>
      </w:r>
    </w:p>
    <w:p w14:paraId="773ADB47" w14:textId="2E0EEA3E" w:rsidR="00B04435" w:rsidRPr="00384A20" w:rsidRDefault="00BB742C" w:rsidP="00384A20">
      <w:pPr>
        <w:spacing w:before="120" w:after="0" w:line="240" w:lineRule="auto"/>
        <w:rPr>
          <w:rFonts w:cs="Times New Roman"/>
          <w:bCs/>
          <w:lang w:val="tr-TR"/>
        </w:rPr>
      </w:pPr>
      <w:r w:rsidRPr="00BB742C">
        <w:rPr>
          <w:rFonts w:cs="Times New Roman"/>
          <w:bCs/>
          <w:lang w:val="tr-TR"/>
        </w:rPr>
        <w:t>Model, tasarım, dijital ve ölçüm mimarisi yetkinlik kümelerini bütünleştirerek döngüsel değer yaratımını açıklamaktadır; değişkenler arası ilişkiler, hizmet kalitesi ve döngüsellik çıktıları üzerinde eşzamanlı etkiler üretmektedir (Rejeb, 2022; Hatara, 2024). (</w:t>
      </w:r>
      <w:hyperlink r:id="rId15" w:tooltip="The Internet of Things and the circular economy" w:history="1">
        <w:r w:rsidRPr="00BB742C">
          <w:rPr>
            <w:rStyle w:val="Kpr"/>
            <w:rFonts w:cs="Times New Roman"/>
            <w:bCs/>
            <w:color w:val="auto"/>
            <w:lang w:val="tr-TR"/>
          </w:rPr>
          <w:t>ScienceDirect</w:t>
        </w:r>
      </w:hyperlink>
      <w:r w:rsidRPr="00BB742C">
        <w:rPr>
          <w:rFonts w:cs="Times New Roman"/>
          <w:bCs/>
          <w:lang w:val="tr-TR"/>
        </w:rPr>
        <w:t>) Tasarım yetkinlikleri, modülerlik ve onarılabilirlik yoluyla malzeme geri kazanımını artırmakta; bu bağlamda H1: “Döngüsel hizmet tasarımı, maddi döngüsellik endeksini yükseltmekte ve hizmet başına GHG yoğunluğunu azaltmaktadır” şeklinde sınanmaktadır (UNECE, 2024). (</w:t>
      </w:r>
      <w:hyperlink r:id="rId16" w:tooltip="Guidelines for Measuring Circular Economy" w:history="1">
        <w:r w:rsidRPr="00BB742C">
          <w:rPr>
            <w:rStyle w:val="Kpr"/>
            <w:rFonts w:cs="Times New Roman"/>
            <w:bCs/>
            <w:color w:val="auto"/>
            <w:lang w:val="tr-TR"/>
          </w:rPr>
          <w:t>unece.org</w:t>
        </w:r>
      </w:hyperlink>
      <w:r w:rsidRPr="00BB742C">
        <w:rPr>
          <w:rFonts w:cs="Times New Roman"/>
          <w:bCs/>
          <w:lang w:val="tr-TR"/>
        </w:rPr>
        <w:t>) Dijital yetkinlikler, IoT ve yapay zekâ entegrasyonuyla durum izleme ve kestirimci bakımın doğruluğunu artırarak tasarımın etkisini bilgi asimetrisini azaltma mekanizmaları üzerinden güçlendirmektedir; H2 bu aracı etkiyi test etmektedir (Rejeb, 2022; Hatara, 2024). (</w:t>
      </w:r>
      <w:hyperlink r:id="rId17" w:tooltip="The Internet of Things and the circular economy" w:history="1">
        <w:r w:rsidRPr="00BB742C">
          <w:rPr>
            <w:rStyle w:val="Kpr"/>
            <w:rFonts w:cs="Times New Roman"/>
            <w:bCs/>
            <w:color w:val="auto"/>
            <w:lang w:val="tr-TR"/>
          </w:rPr>
          <w:t>ScienceDirect</w:t>
        </w:r>
      </w:hyperlink>
      <w:r w:rsidRPr="00BB742C">
        <w:rPr>
          <w:rFonts w:cs="Times New Roman"/>
          <w:bCs/>
          <w:lang w:val="tr-TR"/>
        </w:rPr>
        <w:t>) Blokzincir tabanlı izlenebilirlik, bileşen menşei ve kullanım geçmişini doğrulanabilir kılarak güveni yükseltmekte; H3: “İzlenebilirlik, ikincil pazar çalışma süresi ve geri dönüş oranlarını artırır” önermesini desteklemektedir (Fernando, 2023; Rejeb et al., 2023). (</w:t>
      </w:r>
      <w:hyperlink r:id="rId18" w:tooltip="Circular economy-based reverse logistics: dynamic interplay ..." w:history="1">
        <w:r w:rsidRPr="00BB742C">
          <w:rPr>
            <w:rStyle w:val="Kpr"/>
            <w:rFonts w:cs="Times New Roman"/>
            <w:bCs/>
            <w:color w:val="auto"/>
            <w:lang w:val="tr-TR"/>
          </w:rPr>
          <w:t>Emerald</w:t>
        </w:r>
      </w:hyperlink>
      <w:r w:rsidRPr="00BB742C">
        <w:rPr>
          <w:rFonts w:cs="Times New Roman"/>
          <w:bCs/>
          <w:lang w:val="tr-TR"/>
        </w:rPr>
        <w:t>) Ölçüm mimarisi, gösterge hiyerarşileri ve raporlama sıklıklarıyla tasarım ve dijital etkinleştiricilerin etkilerini pekiştiren düzenleyici bir rol üstlenmektedir; H4 bu pekiştiriciliği sınamaktadır (UNECE, 2024). (</w:t>
      </w:r>
      <w:hyperlink r:id="rId19" w:tooltip="Guidelines for Measuring Circular Economy" w:history="1">
        <w:r w:rsidRPr="00BB742C">
          <w:rPr>
            <w:rStyle w:val="Kpr"/>
            <w:rFonts w:cs="Times New Roman"/>
            <w:bCs/>
            <w:color w:val="auto"/>
            <w:lang w:val="tr-TR"/>
          </w:rPr>
          <w:t>unece.org</w:t>
        </w:r>
      </w:hyperlink>
      <w:r w:rsidRPr="00BB742C">
        <w:rPr>
          <w:rFonts w:cs="Times New Roman"/>
          <w:bCs/>
          <w:lang w:val="tr-TR"/>
        </w:rPr>
        <w:t xml:space="preserve">) Son olarak, servisleşme ve tersine lojistik yetkinlikleri müşteri deneyimini iyileştirerek sadakat ve tavsiye niyetini artırmakta; H5: “Bu yetkinlikler circular NPS skorunu </w:t>
      </w:r>
      <w:r w:rsidR="00F87A6D" w:rsidRPr="00384A20">
        <w:rPr>
          <w:rFonts w:cs="Times New Roman"/>
          <w:bCs/>
          <w:lang w:val="tr-TR"/>
        </w:rPr>
        <w:t xml:space="preserve"> </w:t>
      </w:r>
      <w:r w:rsidRPr="00BB742C">
        <w:rPr>
          <w:rFonts w:cs="Times New Roman"/>
          <w:bCs/>
          <w:lang w:val="tr-TR"/>
        </w:rPr>
        <w:t>yükseltir” yargısını değerlendirir (Vidal-Ayuso et al., 2023). (</w:t>
      </w:r>
      <w:hyperlink r:id="rId20" w:tooltip="The circular economy and consumer behaviour: Literature ..." w:history="1">
        <w:r w:rsidRPr="00BB742C">
          <w:rPr>
            <w:rStyle w:val="Kpr"/>
            <w:rFonts w:cs="Times New Roman"/>
            <w:bCs/>
            <w:color w:val="auto"/>
            <w:lang w:val="tr-TR"/>
          </w:rPr>
          <w:t>ScienceDirect</w:t>
        </w:r>
      </w:hyperlink>
      <w:r w:rsidR="00B04435" w:rsidRPr="00384A20">
        <w:rPr>
          <w:rFonts w:cs="Times New Roman"/>
          <w:bCs/>
          <w:lang w:val="tr-TR"/>
        </w:rPr>
        <w:t>)</w:t>
      </w:r>
    </w:p>
    <w:p w14:paraId="16B5BFF0" w14:textId="77777777" w:rsidR="00384A20" w:rsidRPr="00384A20" w:rsidRDefault="00384A20" w:rsidP="00384A20">
      <w:pPr>
        <w:spacing w:before="120" w:after="0" w:line="240" w:lineRule="auto"/>
        <w:rPr>
          <w:rFonts w:cs="Times New Roman"/>
          <w:b/>
          <w:lang w:val="tr-TR"/>
        </w:rPr>
      </w:pPr>
    </w:p>
    <w:p w14:paraId="7C66016E" w14:textId="6F29191F" w:rsidR="00F87A6D" w:rsidRPr="00384A20" w:rsidRDefault="00F87A6D" w:rsidP="00384A20">
      <w:pPr>
        <w:spacing w:before="120" w:after="0" w:line="240" w:lineRule="auto"/>
        <w:rPr>
          <w:rFonts w:cs="Times New Roman"/>
          <w:b/>
          <w:lang w:val="tr-TR"/>
        </w:rPr>
      </w:pPr>
      <w:r w:rsidRPr="00384A20">
        <w:rPr>
          <w:rFonts w:cs="Times New Roman"/>
          <w:b/>
          <w:lang w:val="tr-TR"/>
        </w:rPr>
        <w:t>Materials and Methods</w:t>
      </w:r>
    </w:p>
    <w:p w14:paraId="43E96E32" w14:textId="05010EDF" w:rsidR="00F87A6D" w:rsidRPr="00F87A6D" w:rsidRDefault="00F87A6D" w:rsidP="00384A20">
      <w:pPr>
        <w:spacing w:before="120" w:after="0" w:line="240" w:lineRule="auto"/>
        <w:rPr>
          <w:rFonts w:cs="Times New Roman"/>
          <w:b/>
          <w:bCs/>
          <w:lang w:val="tr-TR"/>
        </w:rPr>
      </w:pPr>
      <w:r w:rsidRPr="00F87A6D">
        <w:rPr>
          <w:rFonts w:cs="Times New Roman"/>
          <w:b/>
          <w:bCs/>
          <w:lang w:val="tr-TR"/>
        </w:rPr>
        <w:t xml:space="preserve">Araştırma Deseni </w:t>
      </w:r>
    </w:p>
    <w:p w14:paraId="790A0550" w14:textId="77777777" w:rsidR="00AD4637" w:rsidRPr="00384A20" w:rsidRDefault="00AD4637" w:rsidP="00384A20">
      <w:pPr>
        <w:spacing w:before="120" w:after="0" w:line="240" w:lineRule="auto"/>
        <w:rPr>
          <w:rFonts w:cs="Times New Roman"/>
          <w:bCs/>
          <w:lang w:val="tr-TR"/>
        </w:rPr>
      </w:pPr>
      <w:r w:rsidRPr="00384A20">
        <w:rPr>
          <w:rFonts w:cs="Times New Roman"/>
          <w:bCs/>
          <w:lang w:val="tr-TR"/>
        </w:rPr>
        <w:t>Bu çalışma, yıllık ülke düzeyi dengeli panel tasarımı kullanmaktadır. Tasarım, zaman içinde değişmeyen örtük heterojenliği sabit etkilerle kontrol ederek nedensel yorum gücünü artırmaktadır. Şoklara duyarlı kriz yılları etkileşimleriyle dinamikleri görünür kılmaktadır. Makalenin döngüsel hizmetler, dijital etkinleştiriciler ve ölçüm mimarisi eksenlerini birlikte sınamaya elverişli yapısı, çoklu hipotezleri aynı çerçevede karşılaştırılabilir biçimde test etmeyi mümkün kılmaktadır. Ayrıca, sağlamlık kontrolleri ve alternatif belirtimler, tutarlılığı sistematik ve titizlikle olarak değerlendirmektedir.</w:t>
      </w:r>
    </w:p>
    <w:p w14:paraId="1504A742" w14:textId="77777777" w:rsidR="00384A20" w:rsidRPr="00384A20" w:rsidRDefault="00384A20" w:rsidP="00384A20">
      <w:pPr>
        <w:spacing w:before="120" w:after="0" w:line="240" w:lineRule="auto"/>
        <w:rPr>
          <w:rFonts w:cs="Times New Roman"/>
          <w:b/>
          <w:lang w:val="tr-TR"/>
        </w:rPr>
      </w:pPr>
      <w:r w:rsidRPr="00384A20">
        <w:rPr>
          <w:rFonts w:cs="Times New Roman"/>
          <w:b/>
          <w:lang w:val="tr-TR"/>
        </w:rPr>
        <w:t>Veri kaynakları</w:t>
      </w:r>
    </w:p>
    <w:p w14:paraId="63479B69" w14:textId="6E914226" w:rsidR="00384A20" w:rsidRPr="00384A20" w:rsidRDefault="00384A20" w:rsidP="00384A20">
      <w:pPr>
        <w:spacing w:before="120" w:after="0" w:line="240" w:lineRule="auto"/>
        <w:rPr>
          <w:rFonts w:cs="Times New Roman"/>
          <w:bCs/>
          <w:lang w:val="tr-TR"/>
        </w:rPr>
      </w:pPr>
      <w:r w:rsidRPr="00384A20">
        <w:rPr>
          <w:rFonts w:cs="Times New Roman"/>
          <w:bCs/>
          <w:lang w:val="tr-TR"/>
        </w:rPr>
        <w:lastRenderedPageBreak/>
        <w:t xml:space="preserve"> Eurostat’ın Environment and Energy ile Information Society modülleri, Dünya Bankası WDI ve OECD.Stat’ın Environmental Performance &amp; Resource Productivity ile Innovation &amp; Technology veri tabanlarıdır (Eurostat, 2025; World Bank, 2025; OECD, 2025). Gösterge tanımları ve kapsam sınırları ISO 59020:2024 ile WBCSD Circular Transition Indicators v4.0’a göre uyumlaştırılmıştır (ISO, 2024; WBCSD, 2023). Emisyon ve malzeme akışları EEA gösterge sistemi ve ESRS E1 kapsam tanımlarıyla doğrulanmıştır (EEA, 2024; EFRAG, 2023). Kaynaklar arası tutarsızlıklar birim dönüşümü ve PPP ayarıyla giderilecek; meta veri notları değişken sözlüğünde raporlanacaktır. ETL işlemleri sürüm kontrollü betiklerle belgelenecektir. Tüm dönüşümler, kod içinde izlenebilir biçimde ayrıntılı olarak açıklanacaktır.</w:t>
      </w:r>
    </w:p>
    <w:p w14:paraId="4004D6D1" w14:textId="77777777" w:rsidR="00F87A6D" w:rsidRPr="00F87A6D" w:rsidRDefault="00F87A6D" w:rsidP="00384A20">
      <w:pPr>
        <w:spacing w:before="120" w:after="0" w:line="240" w:lineRule="auto"/>
        <w:rPr>
          <w:rFonts w:cs="Times New Roman"/>
          <w:b/>
          <w:bCs/>
          <w:lang w:val="tr-TR"/>
        </w:rPr>
      </w:pPr>
      <w:r w:rsidRPr="00F87A6D">
        <w:rPr>
          <w:rFonts w:cs="Times New Roman"/>
          <w:b/>
          <w:bCs/>
          <w:lang w:val="tr-TR"/>
        </w:rPr>
        <w:t>3.2. Değişkenlerin Operasyonelleştirilmesi ve Veri Setinin Oluşturulması</w:t>
      </w:r>
    </w:p>
    <w:p w14:paraId="14B1F276" w14:textId="77777777" w:rsidR="00F87A6D" w:rsidRDefault="00F87A6D" w:rsidP="00384A20">
      <w:pPr>
        <w:spacing w:before="120" w:after="0" w:line="240" w:lineRule="auto"/>
        <w:rPr>
          <w:rFonts w:cs="Times New Roman"/>
          <w:bCs/>
          <w:lang w:val="tr-TR"/>
        </w:rPr>
      </w:pPr>
      <w:r w:rsidRPr="00F87A6D">
        <w:rPr>
          <w:rFonts w:cs="Times New Roman"/>
          <w:bCs/>
          <w:lang w:val="tr-TR"/>
        </w:rPr>
        <w:t>Kavramsal modeldeki çıktılar iki eksende ölçülmektedir: (i) çevresel—hizmet başına GHG yoğunluğu ve maddi döngüsellik; (ii) piyasa—ikincil pazar likiditesi ve “circular NPS” vekili. “Hizmet başına GHG yoğunluğu”, hizmet sektörüne atfedilen CO₂ eşdeğeri emisyonların, hizmet katma değerine oranı olarak tanımlanmaktadır (EEA, 2024; EFRAG, 2023). “Maddi döngüsellik”, DMC/GSYİH’nin ters yönlü normalizasyonu ve ikincil malzeme payı ile bileşikleştirilmiş endeks olarak kurgulanmaktadır (WBCSD, 2023; ISO, 2024). “İkincil pazar likiditesi”, belediye atık geri dönüşüm oranı ve yenileme/yeniden kullanım göstergelerinin ana bileşen skoru üzerinden temsil edilmektedir (Eurostat, 2025). “Circular NPS” vekili, çevresel vergi gelirlerinin toplam vergi gelirlerine oranı olarak kullanılmakta; politika duyarlılığına işaret eden talep-yanıtsal bir ölçü sağlamaktadır (Eurostat, 2025). Açıklayıcı değişkenlerde “döngüsel tasarım” OECD yeşil patent sayılarıyla, “dijital yetkinlik” işletmelerde büyük veri analitiği kullanım oranıyla, “blokzincir izlenebilirlik” BT yatırımları/GSYİH ile, “servisleşme” hizmet istihdam payı ile ve “tersine lojistik” belediye geri dönüşüm oranı ile operasyonelleştirilmektedir (OECD, 2025; Eurostat, 2025). Kontroller, kişi başına GSYİH (PPP), kentsel nüfus oranı ve enerji tüketimi göstergelerini kapsamaktadır (World Bank, 2025). Tüm tanımlar CTI v4.0 terminolojisiyle ve ESRS kapsam sınırlarıyla uyumlu bir sözlükte dokümante edilecektir (WBCSD, 2023; EFRAG, 2023)</w:t>
      </w:r>
    </w:p>
    <w:p w14:paraId="52EC7BE7" w14:textId="1E85D62D" w:rsidR="00440846" w:rsidRPr="00F87A6D" w:rsidRDefault="00440846" w:rsidP="00384A20">
      <w:pPr>
        <w:spacing w:before="120" w:after="0" w:line="240" w:lineRule="auto"/>
        <w:rPr>
          <w:rFonts w:cs="Times New Roman"/>
          <w:bCs/>
          <w:lang w:val="tr-TR"/>
        </w:rPr>
      </w:pPr>
      <w:r w:rsidRPr="00440846">
        <w:rPr>
          <w:rFonts w:cs="Times New Roman"/>
          <w:bCs/>
          <w:highlight w:val="cyan"/>
          <w:lang w:val="tr-TR"/>
        </w:rPr>
        <w:t>BU ANALİZLER YAPILACAK</w:t>
      </w:r>
    </w:p>
    <w:p w14:paraId="7798C786" w14:textId="77777777" w:rsidR="00712FEC" w:rsidRPr="00712FEC" w:rsidRDefault="00712FEC" w:rsidP="00384A20">
      <w:pPr>
        <w:spacing w:before="120" w:after="0" w:line="240" w:lineRule="auto"/>
        <w:rPr>
          <w:rFonts w:cs="Times New Roman"/>
          <w:b/>
          <w:bCs/>
          <w:lang w:val="tr-TR"/>
        </w:rPr>
      </w:pPr>
      <w:r w:rsidRPr="00712FEC">
        <w:rPr>
          <w:rFonts w:cs="Times New Roman"/>
          <w:b/>
          <w:bCs/>
          <w:lang w:val="tr-TR"/>
        </w:rPr>
        <w:t>4. Bulgular</w:t>
      </w:r>
    </w:p>
    <w:p w14:paraId="51047D02" w14:textId="77777777" w:rsidR="00604642" w:rsidRDefault="00712FEC" w:rsidP="00384A20">
      <w:pPr>
        <w:spacing w:before="120" w:after="0" w:line="240" w:lineRule="auto"/>
        <w:rPr>
          <w:rFonts w:cs="Times New Roman"/>
          <w:b/>
          <w:bCs/>
          <w:lang w:val="tr-TR"/>
        </w:rPr>
      </w:pPr>
      <w:r w:rsidRPr="00712FEC">
        <w:rPr>
          <w:rFonts w:cs="Times New Roman"/>
          <w:b/>
          <w:bCs/>
          <w:lang w:val="tr-TR"/>
        </w:rPr>
        <w:t>4.1. Betimsel İstatistikler ve Korelasyon Matrisi</w:t>
      </w:r>
    </w:p>
    <w:p w14:paraId="115CAADC" w14:textId="77777777" w:rsidR="00604642" w:rsidRDefault="00604642" w:rsidP="00384A20">
      <w:pPr>
        <w:spacing w:before="120" w:after="0" w:line="240" w:lineRule="auto"/>
        <w:rPr>
          <w:rFonts w:cs="Times New Roman"/>
          <w:b/>
          <w:bCs/>
          <w:lang w:val="tr-TR"/>
        </w:rPr>
      </w:pPr>
    </w:p>
    <w:p w14:paraId="64F00A38" w14:textId="450EF667" w:rsidR="00604642" w:rsidRPr="00604642" w:rsidRDefault="00F24A1E" w:rsidP="003654EC">
      <w:pPr>
        <w:rPr>
          <w:lang w:val="tr-TR"/>
        </w:rPr>
      </w:pPr>
      <w:r>
        <w:rPr>
          <w:lang w:val="tr-TR"/>
        </w:rPr>
        <w:fldChar w:fldCharType="begin"/>
      </w:r>
      <w:r>
        <w:rPr>
          <w:lang w:val="tr-TR"/>
        </w:rPr>
        <w:instrText xml:space="preserve"> REF _Ref213681535 \h </w:instrText>
      </w:r>
      <w:r>
        <w:rPr>
          <w:lang w:val="tr-TR"/>
        </w:rPr>
      </w:r>
      <w:r>
        <w:rPr>
          <w:lang w:val="tr-TR"/>
        </w:rPr>
        <w:fldChar w:fldCharType="separate"/>
      </w:r>
      <w:r>
        <w:t xml:space="preserve">Table </w:t>
      </w:r>
      <w:r>
        <w:rPr>
          <w:noProof/>
        </w:rPr>
        <w:t>1</w:t>
      </w:r>
      <w:r>
        <w:rPr>
          <w:lang w:val="tr-TR"/>
        </w:rPr>
        <w:fldChar w:fldCharType="end"/>
      </w:r>
      <w:r w:rsidR="00604642" w:rsidRPr="00604642">
        <w:rPr>
          <w:lang w:val="tr-TR"/>
        </w:rPr>
        <w:t xml:space="preserve"> presents the descriptive statistics for the final panel dataset used in the primary regression analyses (H1-H5). Regarding the key indicators, Circularity metrics exhibit considerable variance. The Circular Material Use Rate averages 8.796% across the sample, ranging from 1.2% to 29.0%. Resource Productivity averages 48.96.</w:t>
      </w:r>
      <w:r w:rsidR="003654EC">
        <w:rPr>
          <w:lang w:val="tr-TR"/>
        </w:rPr>
        <w:t xml:space="preserve"> </w:t>
      </w:r>
    </w:p>
    <w:p w14:paraId="6C16D206" w14:textId="31071E74" w:rsidR="003654EC" w:rsidRDefault="003654EC" w:rsidP="003654EC">
      <w:pPr>
        <w:pStyle w:val="ResimYazs"/>
        <w:keepNext/>
      </w:pPr>
      <w:bookmarkStart w:id="0" w:name="_Ref213681535"/>
      <w:r>
        <w:t xml:space="preserve">Table </w:t>
      </w:r>
      <w:r>
        <w:fldChar w:fldCharType="begin"/>
      </w:r>
      <w:r>
        <w:instrText xml:space="preserve"> SEQ Table \* ARABIC </w:instrText>
      </w:r>
      <w:r>
        <w:fldChar w:fldCharType="separate"/>
      </w:r>
      <w:r w:rsidR="00806464">
        <w:rPr>
          <w:noProof/>
        </w:rPr>
        <w:t>1</w:t>
      </w:r>
      <w:r>
        <w:fldChar w:fldCharType="end"/>
      </w:r>
      <w:bookmarkEnd w:id="0"/>
      <w:r>
        <w:t>.</w:t>
      </w:r>
      <w:r>
        <w:rPr>
          <w:noProof/>
        </w:rPr>
        <w:t xml:space="preserve"> </w:t>
      </w:r>
      <w:r w:rsidRPr="00173A4E">
        <w:rPr>
          <w:noProof/>
        </w:rPr>
        <w:t xml:space="preserve">Descriptive Statistics of the </w:t>
      </w:r>
      <w:r>
        <w:rPr>
          <w:noProof/>
        </w:rPr>
        <w:t>Panel Data</w:t>
      </w:r>
    </w:p>
    <w:tbl>
      <w:tblPr>
        <w:tblStyle w:val="TabloKlavuzu"/>
        <w:tblW w:w="0" w:type="auto"/>
        <w:tblLook w:val="04A0" w:firstRow="1" w:lastRow="0" w:firstColumn="1" w:lastColumn="0" w:noHBand="0" w:noVBand="1"/>
      </w:tblPr>
      <w:tblGrid>
        <w:gridCol w:w="2821"/>
        <w:gridCol w:w="801"/>
        <w:gridCol w:w="879"/>
        <w:gridCol w:w="711"/>
        <w:gridCol w:w="902"/>
        <w:gridCol w:w="801"/>
        <w:gridCol w:w="914"/>
        <w:gridCol w:w="801"/>
      </w:tblGrid>
      <w:tr w:rsidR="003654EC" w:rsidRPr="003654EC" w14:paraId="67D820F3" w14:textId="77777777" w:rsidTr="003654EC">
        <w:tc>
          <w:tcPr>
            <w:tcW w:w="0" w:type="auto"/>
            <w:hideMark/>
          </w:tcPr>
          <w:p w14:paraId="09493A30" w14:textId="45955CEC" w:rsidR="003654EC" w:rsidRPr="003654EC" w:rsidRDefault="003654EC" w:rsidP="003654EC">
            <w:pPr>
              <w:pStyle w:val="AralkYok"/>
              <w:rPr>
                <w:sz w:val="18"/>
                <w:szCs w:val="20"/>
                <w:lang w:val="tr-TR"/>
              </w:rPr>
            </w:pPr>
          </w:p>
        </w:tc>
        <w:tc>
          <w:tcPr>
            <w:tcW w:w="0" w:type="auto"/>
            <w:hideMark/>
          </w:tcPr>
          <w:p w14:paraId="07D6E68F" w14:textId="77777777" w:rsidR="003654EC" w:rsidRPr="003654EC" w:rsidRDefault="003654EC" w:rsidP="003654EC">
            <w:pPr>
              <w:pStyle w:val="AralkYok"/>
              <w:rPr>
                <w:sz w:val="18"/>
                <w:szCs w:val="20"/>
                <w:lang w:val="tr-TR"/>
              </w:rPr>
            </w:pPr>
            <w:r w:rsidRPr="003654EC">
              <w:rPr>
                <w:sz w:val="18"/>
                <w:szCs w:val="20"/>
                <w:lang w:val="tr-TR"/>
              </w:rPr>
              <w:t>Mean</w:t>
            </w:r>
          </w:p>
        </w:tc>
        <w:tc>
          <w:tcPr>
            <w:tcW w:w="0" w:type="auto"/>
            <w:hideMark/>
          </w:tcPr>
          <w:p w14:paraId="5A57BA83" w14:textId="77777777" w:rsidR="003654EC" w:rsidRPr="003654EC" w:rsidRDefault="003654EC" w:rsidP="003654EC">
            <w:pPr>
              <w:pStyle w:val="AralkYok"/>
              <w:rPr>
                <w:sz w:val="18"/>
                <w:szCs w:val="20"/>
                <w:lang w:val="tr-TR"/>
              </w:rPr>
            </w:pPr>
            <w:r w:rsidRPr="003654EC">
              <w:rPr>
                <w:sz w:val="18"/>
                <w:szCs w:val="20"/>
                <w:lang w:val="tr-TR"/>
              </w:rPr>
              <w:t>Std. Dev.</w:t>
            </w:r>
          </w:p>
        </w:tc>
        <w:tc>
          <w:tcPr>
            <w:tcW w:w="0" w:type="auto"/>
            <w:hideMark/>
          </w:tcPr>
          <w:p w14:paraId="729B2720" w14:textId="77777777" w:rsidR="003654EC" w:rsidRPr="003654EC" w:rsidRDefault="003654EC" w:rsidP="003654EC">
            <w:pPr>
              <w:pStyle w:val="AralkYok"/>
              <w:rPr>
                <w:sz w:val="18"/>
                <w:szCs w:val="20"/>
                <w:lang w:val="tr-TR"/>
              </w:rPr>
            </w:pPr>
            <w:r w:rsidRPr="003654EC">
              <w:rPr>
                <w:sz w:val="18"/>
                <w:szCs w:val="20"/>
                <w:lang w:val="tr-TR"/>
              </w:rPr>
              <w:t>Min</w:t>
            </w:r>
          </w:p>
        </w:tc>
        <w:tc>
          <w:tcPr>
            <w:tcW w:w="0" w:type="auto"/>
            <w:hideMark/>
          </w:tcPr>
          <w:p w14:paraId="4538FA46" w14:textId="77777777" w:rsidR="003654EC" w:rsidRPr="003654EC" w:rsidRDefault="003654EC" w:rsidP="003654EC">
            <w:pPr>
              <w:pStyle w:val="AralkYok"/>
              <w:rPr>
                <w:sz w:val="18"/>
                <w:szCs w:val="20"/>
                <w:lang w:val="tr-TR"/>
              </w:rPr>
            </w:pPr>
            <w:r w:rsidRPr="003654EC">
              <w:rPr>
                <w:sz w:val="18"/>
                <w:szCs w:val="20"/>
                <w:lang w:val="tr-TR"/>
              </w:rPr>
              <w:t>25% (Q1)</w:t>
            </w:r>
          </w:p>
        </w:tc>
        <w:tc>
          <w:tcPr>
            <w:tcW w:w="0" w:type="auto"/>
            <w:hideMark/>
          </w:tcPr>
          <w:p w14:paraId="35E62ED0" w14:textId="77777777" w:rsidR="003654EC" w:rsidRPr="003654EC" w:rsidRDefault="003654EC" w:rsidP="003654EC">
            <w:pPr>
              <w:pStyle w:val="AralkYok"/>
              <w:rPr>
                <w:sz w:val="18"/>
                <w:szCs w:val="20"/>
                <w:lang w:val="tr-TR"/>
              </w:rPr>
            </w:pPr>
            <w:r w:rsidRPr="003654EC">
              <w:rPr>
                <w:sz w:val="18"/>
                <w:szCs w:val="20"/>
                <w:lang w:val="tr-TR"/>
              </w:rPr>
              <w:t>Median</w:t>
            </w:r>
          </w:p>
        </w:tc>
        <w:tc>
          <w:tcPr>
            <w:tcW w:w="0" w:type="auto"/>
            <w:hideMark/>
          </w:tcPr>
          <w:p w14:paraId="5A9EC42B" w14:textId="77777777" w:rsidR="003654EC" w:rsidRPr="003654EC" w:rsidRDefault="003654EC" w:rsidP="003654EC">
            <w:pPr>
              <w:pStyle w:val="AralkYok"/>
              <w:rPr>
                <w:sz w:val="18"/>
                <w:szCs w:val="20"/>
                <w:lang w:val="tr-TR"/>
              </w:rPr>
            </w:pPr>
            <w:r w:rsidRPr="003654EC">
              <w:rPr>
                <w:sz w:val="18"/>
                <w:szCs w:val="20"/>
                <w:lang w:val="tr-TR"/>
              </w:rPr>
              <w:t>75% (Q3)</w:t>
            </w:r>
          </w:p>
        </w:tc>
        <w:tc>
          <w:tcPr>
            <w:tcW w:w="0" w:type="auto"/>
            <w:hideMark/>
          </w:tcPr>
          <w:p w14:paraId="17D880F6" w14:textId="77777777" w:rsidR="003654EC" w:rsidRPr="003654EC" w:rsidRDefault="003654EC" w:rsidP="003654EC">
            <w:pPr>
              <w:pStyle w:val="AralkYok"/>
              <w:rPr>
                <w:sz w:val="18"/>
                <w:szCs w:val="20"/>
                <w:lang w:val="tr-TR"/>
              </w:rPr>
            </w:pPr>
            <w:r w:rsidRPr="003654EC">
              <w:rPr>
                <w:sz w:val="18"/>
                <w:szCs w:val="20"/>
                <w:lang w:val="tr-TR"/>
              </w:rPr>
              <w:t>Max</w:t>
            </w:r>
          </w:p>
        </w:tc>
      </w:tr>
      <w:tr w:rsidR="003654EC" w:rsidRPr="003654EC" w14:paraId="716B8190" w14:textId="77777777" w:rsidTr="003654EC">
        <w:tc>
          <w:tcPr>
            <w:tcW w:w="0" w:type="auto"/>
            <w:gridSpan w:val="8"/>
            <w:vAlign w:val="center"/>
            <w:hideMark/>
          </w:tcPr>
          <w:p w14:paraId="4AC13718" w14:textId="16504901" w:rsidR="003654EC" w:rsidRPr="003654EC" w:rsidRDefault="003654EC" w:rsidP="003654EC">
            <w:pPr>
              <w:pStyle w:val="AralkYok"/>
              <w:jc w:val="center"/>
              <w:rPr>
                <w:sz w:val="18"/>
                <w:szCs w:val="20"/>
                <w:lang w:val="tr-TR"/>
              </w:rPr>
            </w:pPr>
            <w:r w:rsidRPr="003654EC">
              <w:rPr>
                <w:sz w:val="18"/>
                <w:szCs w:val="20"/>
                <w:lang w:val="tr-TR"/>
              </w:rPr>
              <w:t>Circularity Indicators</w:t>
            </w:r>
          </w:p>
        </w:tc>
      </w:tr>
      <w:tr w:rsidR="003654EC" w:rsidRPr="003654EC" w14:paraId="63EAF4D5" w14:textId="77777777" w:rsidTr="003654EC">
        <w:tc>
          <w:tcPr>
            <w:tcW w:w="0" w:type="auto"/>
            <w:hideMark/>
          </w:tcPr>
          <w:p w14:paraId="44565617" w14:textId="77777777" w:rsidR="003654EC" w:rsidRPr="003654EC" w:rsidRDefault="003654EC" w:rsidP="003654EC">
            <w:pPr>
              <w:pStyle w:val="AralkYok"/>
              <w:rPr>
                <w:sz w:val="18"/>
                <w:szCs w:val="20"/>
                <w:lang w:val="tr-TR"/>
              </w:rPr>
            </w:pPr>
            <w:r w:rsidRPr="003654EC">
              <w:rPr>
                <w:sz w:val="18"/>
                <w:szCs w:val="20"/>
                <w:lang w:val="tr-TR"/>
              </w:rPr>
              <w:t>Circular Material Use Rate (%)</w:t>
            </w:r>
          </w:p>
        </w:tc>
        <w:tc>
          <w:tcPr>
            <w:tcW w:w="0" w:type="auto"/>
            <w:hideMark/>
          </w:tcPr>
          <w:p w14:paraId="6C559D66" w14:textId="77777777" w:rsidR="003654EC" w:rsidRPr="003654EC" w:rsidRDefault="003654EC" w:rsidP="003654EC">
            <w:pPr>
              <w:pStyle w:val="AralkYok"/>
              <w:rPr>
                <w:sz w:val="18"/>
                <w:szCs w:val="20"/>
                <w:lang w:val="tr-TR"/>
              </w:rPr>
            </w:pPr>
            <w:r w:rsidRPr="003654EC">
              <w:rPr>
                <w:sz w:val="18"/>
                <w:szCs w:val="20"/>
                <w:lang w:val="tr-TR"/>
              </w:rPr>
              <w:t>8.796</w:t>
            </w:r>
          </w:p>
        </w:tc>
        <w:tc>
          <w:tcPr>
            <w:tcW w:w="0" w:type="auto"/>
            <w:hideMark/>
          </w:tcPr>
          <w:p w14:paraId="2B8452DC" w14:textId="77777777" w:rsidR="003654EC" w:rsidRPr="003654EC" w:rsidRDefault="003654EC" w:rsidP="003654EC">
            <w:pPr>
              <w:pStyle w:val="AralkYok"/>
              <w:rPr>
                <w:sz w:val="18"/>
                <w:szCs w:val="20"/>
                <w:lang w:val="tr-TR"/>
              </w:rPr>
            </w:pPr>
            <w:r w:rsidRPr="003654EC">
              <w:rPr>
                <w:sz w:val="18"/>
                <w:szCs w:val="20"/>
                <w:lang w:val="tr-TR"/>
              </w:rPr>
              <w:t>6.296</w:t>
            </w:r>
          </w:p>
        </w:tc>
        <w:tc>
          <w:tcPr>
            <w:tcW w:w="0" w:type="auto"/>
            <w:hideMark/>
          </w:tcPr>
          <w:p w14:paraId="0E6B7EB1" w14:textId="77777777" w:rsidR="003654EC" w:rsidRPr="003654EC" w:rsidRDefault="003654EC" w:rsidP="003654EC">
            <w:pPr>
              <w:pStyle w:val="AralkYok"/>
              <w:rPr>
                <w:sz w:val="18"/>
                <w:szCs w:val="20"/>
                <w:lang w:val="tr-TR"/>
              </w:rPr>
            </w:pPr>
            <w:r w:rsidRPr="003654EC">
              <w:rPr>
                <w:sz w:val="18"/>
                <w:szCs w:val="20"/>
                <w:lang w:val="tr-TR"/>
              </w:rPr>
              <w:t>1.200</w:t>
            </w:r>
          </w:p>
        </w:tc>
        <w:tc>
          <w:tcPr>
            <w:tcW w:w="0" w:type="auto"/>
            <w:hideMark/>
          </w:tcPr>
          <w:p w14:paraId="4CE80BB1" w14:textId="77777777" w:rsidR="003654EC" w:rsidRPr="003654EC" w:rsidRDefault="003654EC" w:rsidP="003654EC">
            <w:pPr>
              <w:pStyle w:val="AralkYok"/>
              <w:rPr>
                <w:sz w:val="18"/>
                <w:szCs w:val="20"/>
                <w:lang w:val="tr-TR"/>
              </w:rPr>
            </w:pPr>
            <w:r w:rsidRPr="003654EC">
              <w:rPr>
                <w:sz w:val="18"/>
                <w:szCs w:val="20"/>
                <w:lang w:val="tr-TR"/>
              </w:rPr>
              <w:t>4.000</w:t>
            </w:r>
          </w:p>
        </w:tc>
        <w:tc>
          <w:tcPr>
            <w:tcW w:w="0" w:type="auto"/>
            <w:hideMark/>
          </w:tcPr>
          <w:p w14:paraId="7D155266" w14:textId="77777777" w:rsidR="003654EC" w:rsidRPr="003654EC" w:rsidRDefault="003654EC" w:rsidP="003654EC">
            <w:pPr>
              <w:pStyle w:val="AralkYok"/>
              <w:rPr>
                <w:sz w:val="18"/>
                <w:szCs w:val="20"/>
                <w:lang w:val="tr-TR"/>
              </w:rPr>
            </w:pPr>
            <w:r w:rsidRPr="003654EC">
              <w:rPr>
                <w:sz w:val="18"/>
                <w:szCs w:val="20"/>
                <w:lang w:val="tr-TR"/>
              </w:rPr>
              <w:t>7.200</w:t>
            </w:r>
          </w:p>
        </w:tc>
        <w:tc>
          <w:tcPr>
            <w:tcW w:w="0" w:type="auto"/>
            <w:hideMark/>
          </w:tcPr>
          <w:p w14:paraId="36070FBC" w14:textId="77777777" w:rsidR="003654EC" w:rsidRPr="003654EC" w:rsidRDefault="003654EC" w:rsidP="003654EC">
            <w:pPr>
              <w:pStyle w:val="AralkYok"/>
              <w:rPr>
                <w:sz w:val="18"/>
                <w:szCs w:val="20"/>
                <w:lang w:val="tr-TR"/>
              </w:rPr>
            </w:pPr>
            <w:r w:rsidRPr="003654EC">
              <w:rPr>
                <w:sz w:val="18"/>
                <w:szCs w:val="20"/>
                <w:lang w:val="tr-TR"/>
              </w:rPr>
              <w:t>11.550</w:t>
            </w:r>
          </w:p>
        </w:tc>
        <w:tc>
          <w:tcPr>
            <w:tcW w:w="0" w:type="auto"/>
            <w:hideMark/>
          </w:tcPr>
          <w:p w14:paraId="47F382BA" w14:textId="77777777" w:rsidR="003654EC" w:rsidRPr="003654EC" w:rsidRDefault="003654EC" w:rsidP="003654EC">
            <w:pPr>
              <w:pStyle w:val="AralkYok"/>
              <w:rPr>
                <w:sz w:val="18"/>
                <w:szCs w:val="20"/>
                <w:lang w:val="tr-TR"/>
              </w:rPr>
            </w:pPr>
            <w:r w:rsidRPr="003654EC">
              <w:rPr>
                <w:sz w:val="18"/>
                <w:szCs w:val="20"/>
                <w:lang w:val="tr-TR"/>
              </w:rPr>
              <w:t>29.000</w:t>
            </w:r>
          </w:p>
        </w:tc>
      </w:tr>
      <w:tr w:rsidR="003654EC" w:rsidRPr="003654EC" w14:paraId="5B356705" w14:textId="77777777" w:rsidTr="003654EC">
        <w:tc>
          <w:tcPr>
            <w:tcW w:w="0" w:type="auto"/>
            <w:hideMark/>
          </w:tcPr>
          <w:p w14:paraId="47BF725C" w14:textId="77777777" w:rsidR="003654EC" w:rsidRPr="003654EC" w:rsidRDefault="003654EC" w:rsidP="003654EC">
            <w:pPr>
              <w:pStyle w:val="AralkYok"/>
              <w:rPr>
                <w:sz w:val="18"/>
                <w:szCs w:val="20"/>
                <w:lang w:val="tr-TR"/>
              </w:rPr>
            </w:pPr>
            <w:r w:rsidRPr="003654EC">
              <w:rPr>
                <w:sz w:val="18"/>
                <w:szCs w:val="20"/>
                <w:lang w:val="tr-TR"/>
              </w:rPr>
              <w:t>Resource Productivity</w:t>
            </w:r>
          </w:p>
        </w:tc>
        <w:tc>
          <w:tcPr>
            <w:tcW w:w="0" w:type="auto"/>
            <w:hideMark/>
          </w:tcPr>
          <w:p w14:paraId="2222F881" w14:textId="77777777" w:rsidR="003654EC" w:rsidRPr="003654EC" w:rsidRDefault="003654EC" w:rsidP="003654EC">
            <w:pPr>
              <w:pStyle w:val="AralkYok"/>
              <w:rPr>
                <w:sz w:val="18"/>
                <w:szCs w:val="20"/>
                <w:lang w:val="tr-TR"/>
              </w:rPr>
            </w:pPr>
            <w:r w:rsidRPr="003654EC">
              <w:rPr>
                <w:sz w:val="18"/>
                <w:szCs w:val="20"/>
                <w:lang w:val="tr-TR"/>
              </w:rPr>
              <w:t>48.961</w:t>
            </w:r>
          </w:p>
        </w:tc>
        <w:tc>
          <w:tcPr>
            <w:tcW w:w="0" w:type="auto"/>
            <w:hideMark/>
          </w:tcPr>
          <w:p w14:paraId="32A4426F" w14:textId="77777777" w:rsidR="003654EC" w:rsidRPr="003654EC" w:rsidRDefault="003654EC" w:rsidP="003654EC">
            <w:pPr>
              <w:pStyle w:val="AralkYok"/>
              <w:rPr>
                <w:sz w:val="18"/>
                <w:szCs w:val="20"/>
                <w:lang w:val="tr-TR"/>
              </w:rPr>
            </w:pPr>
            <w:r w:rsidRPr="003654EC">
              <w:rPr>
                <w:sz w:val="18"/>
                <w:szCs w:val="20"/>
                <w:lang w:val="tr-TR"/>
              </w:rPr>
              <w:t>15.027</w:t>
            </w:r>
          </w:p>
        </w:tc>
        <w:tc>
          <w:tcPr>
            <w:tcW w:w="0" w:type="auto"/>
            <w:hideMark/>
          </w:tcPr>
          <w:p w14:paraId="6295606F" w14:textId="77777777" w:rsidR="003654EC" w:rsidRPr="003654EC" w:rsidRDefault="003654EC" w:rsidP="003654EC">
            <w:pPr>
              <w:pStyle w:val="AralkYok"/>
              <w:rPr>
                <w:sz w:val="18"/>
                <w:szCs w:val="20"/>
                <w:lang w:val="tr-TR"/>
              </w:rPr>
            </w:pPr>
            <w:r w:rsidRPr="003654EC">
              <w:rPr>
                <w:sz w:val="18"/>
                <w:szCs w:val="20"/>
                <w:lang w:val="tr-TR"/>
              </w:rPr>
              <w:t>21.615</w:t>
            </w:r>
          </w:p>
        </w:tc>
        <w:tc>
          <w:tcPr>
            <w:tcW w:w="0" w:type="auto"/>
            <w:hideMark/>
          </w:tcPr>
          <w:p w14:paraId="17A16070" w14:textId="77777777" w:rsidR="003654EC" w:rsidRPr="003654EC" w:rsidRDefault="003654EC" w:rsidP="003654EC">
            <w:pPr>
              <w:pStyle w:val="AralkYok"/>
              <w:rPr>
                <w:sz w:val="18"/>
                <w:szCs w:val="20"/>
                <w:lang w:val="tr-TR"/>
              </w:rPr>
            </w:pPr>
            <w:r w:rsidRPr="003654EC">
              <w:rPr>
                <w:sz w:val="18"/>
                <w:szCs w:val="20"/>
                <w:lang w:val="tr-TR"/>
              </w:rPr>
              <w:t>39.185</w:t>
            </w:r>
          </w:p>
        </w:tc>
        <w:tc>
          <w:tcPr>
            <w:tcW w:w="0" w:type="auto"/>
            <w:hideMark/>
          </w:tcPr>
          <w:p w14:paraId="24FD618F" w14:textId="77777777" w:rsidR="003654EC" w:rsidRPr="003654EC" w:rsidRDefault="003654EC" w:rsidP="003654EC">
            <w:pPr>
              <w:pStyle w:val="AralkYok"/>
              <w:rPr>
                <w:sz w:val="18"/>
                <w:szCs w:val="20"/>
                <w:lang w:val="tr-TR"/>
              </w:rPr>
            </w:pPr>
            <w:r w:rsidRPr="003654EC">
              <w:rPr>
                <w:sz w:val="18"/>
                <w:szCs w:val="20"/>
                <w:lang w:val="tr-TR"/>
              </w:rPr>
              <w:t>46.294</w:t>
            </w:r>
          </w:p>
        </w:tc>
        <w:tc>
          <w:tcPr>
            <w:tcW w:w="0" w:type="auto"/>
            <w:hideMark/>
          </w:tcPr>
          <w:p w14:paraId="27947F9F" w14:textId="77777777" w:rsidR="003654EC" w:rsidRPr="003654EC" w:rsidRDefault="003654EC" w:rsidP="003654EC">
            <w:pPr>
              <w:pStyle w:val="AralkYok"/>
              <w:rPr>
                <w:sz w:val="18"/>
                <w:szCs w:val="20"/>
                <w:lang w:val="tr-TR"/>
              </w:rPr>
            </w:pPr>
            <w:r w:rsidRPr="003654EC">
              <w:rPr>
                <w:sz w:val="18"/>
                <w:szCs w:val="20"/>
                <w:lang w:val="tr-TR"/>
              </w:rPr>
              <w:t>55.496</w:t>
            </w:r>
          </w:p>
        </w:tc>
        <w:tc>
          <w:tcPr>
            <w:tcW w:w="0" w:type="auto"/>
            <w:hideMark/>
          </w:tcPr>
          <w:p w14:paraId="06F0B3FB" w14:textId="77777777" w:rsidR="003654EC" w:rsidRPr="003654EC" w:rsidRDefault="003654EC" w:rsidP="003654EC">
            <w:pPr>
              <w:pStyle w:val="AralkYok"/>
              <w:rPr>
                <w:sz w:val="18"/>
                <w:szCs w:val="20"/>
                <w:lang w:val="tr-TR"/>
              </w:rPr>
            </w:pPr>
            <w:r w:rsidRPr="003654EC">
              <w:rPr>
                <w:sz w:val="18"/>
                <w:szCs w:val="20"/>
                <w:lang w:val="tr-TR"/>
              </w:rPr>
              <w:t>150.570</w:t>
            </w:r>
          </w:p>
        </w:tc>
      </w:tr>
      <w:tr w:rsidR="003654EC" w:rsidRPr="003654EC" w14:paraId="311D17FC" w14:textId="77777777" w:rsidTr="003654EC">
        <w:tc>
          <w:tcPr>
            <w:tcW w:w="0" w:type="auto"/>
            <w:hideMark/>
          </w:tcPr>
          <w:p w14:paraId="2ABE058E" w14:textId="77777777" w:rsidR="003654EC" w:rsidRPr="003654EC" w:rsidRDefault="003654EC" w:rsidP="003654EC">
            <w:pPr>
              <w:pStyle w:val="AralkYok"/>
              <w:rPr>
                <w:sz w:val="18"/>
                <w:szCs w:val="20"/>
                <w:lang w:val="tr-TR"/>
              </w:rPr>
            </w:pPr>
            <w:r w:rsidRPr="003654EC">
              <w:rPr>
                <w:sz w:val="18"/>
                <w:szCs w:val="20"/>
                <w:lang w:val="tr-TR"/>
              </w:rPr>
              <w:t>Recycling Rate (%)¹</w:t>
            </w:r>
          </w:p>
        </w:tc>
        <w:tc>
          <w:tcPr>
            <w:tcW w:w="0" w:type="auto"/>
            <w:hideMark/>
          </w:tcPr>
          <w:p w14:paraId="1B1B3378" w14:textId="77777777" w:rsidR="003654EC" w:rsidRPr="003654EC" w:rsidRDefault="003654EC" w:rsidP="003654EC">
            <w:pPr>
              <w:pStyle w:val="AralkYok"/>
              <w:rPr>
                <w:sz w:val="18"/>
                <w:szCs w:val="20"/>
                <w:lang w:val="tr-TR"/>
              </w:rPr>
            </w:pPr>
            <w:r w:rsidRPr="003654EC">
              <w:rPr>
                <w:sz w:val="18"/>
                <w:szCs w:val="20"/>
                <w:lang w:val="tr-TR"/>
              </w:rPr>
              <w:t>51.306</w:t>
            </w:r>
          </w:p>
        </w:tc>
        <w:tc>
          <w:tcPr>
            <w:tcW w:w="0" w:type="auto"/>
            <w:hideMark/>
          </w:tcPr>
          <w:p w14:paraId="7D925550" w14:textId="77777777" w:rsidR="003654EC" w:rsidRPr="003654EC" w:rsidRDefault="003654EC" w:rsidP="003654EC">
            <w:pPr>
              <w:pStyle w:val="AralkYok"/>
              <w:rPr>
                <w:sz w:val="18"/>
                <w:szCs w:val="20"/>
                <w:lang w:val="tr-TR"/>
              </w:rPr>
            </w:pPr>
            <w:r w:rsidRPr="003654EC">
              <w:rPr>
                <w:sz w:val="18"/>
                <w:szCs w:val="20"/>
                <w:lang w:val="tr-TR"/>
              </w:rPr>
              <w:t>17.115</w:t>
            </w:r>
          </w:p>
        </w:tc>
        <w:tc>
          <w:tcPr>
            <w:tcW w:w="0" w:type="auto"/>
            <w:hideMark/>
          </w:tcPr>
          <w:p w14:paraId="71DFCC48" w14:textId="77777777" w:rsidR="003654EC" w:rsidRPr="003654EC" w:rsidRDefault="003654EC" w:rsidP="003654EC">
            <w:pPr>
              <w:pStyle w:val="AralkYok"/>
              <w:rPr>
                <w:sz w:val="18"/>
                <w:szCs w:val="20"/>
                <w:lang w:val="tr-TR"/>
              </w:rPr>
            </w:pPr>
            <w:r w:rsidRPr="003654EC">
              <w:rPr>
                <w:sz w:val="18"/>
                <w:szCs w:val="20"/>
                <w:lang w:val="tr-TR"/>
              </w:rPr>
              <w:t>10.000</w:t>
            </w:r>
          </w:p>
        </w:tc>
        <w:tc>
          <w:tcPr>
            <w:tcW w:w="0" w:type="auto"/>
            <w:hideMark/>
          </w:tcPr>
          <w:p w14:paraId="31ACC77D" w14:textId="77777777" w:rsidR="003654EC" w:rsidRPr="003654EC" w:rsidRDefault="003654EC" w:rsidP="003654EC">
            <w:pPr>
              <w:pStyle w:val="AralkYok"/>
              <w:rPr>
                <w:sz w:val="18"/>
                <w:szCs w:val="20"/>
                <w:lang w:val="tr-TR"/>
              </w:rPr>
            </w:pPr>
            <w:r w:rsidRPr="003654EC">
              <w:rPr>
                <w:sz w:val="18"/>
                <w:szCs w:val="20"/>
                <w:lang w:val="tr-TR"/>
              </w:rPr>
              <w:t>40.000</w:t>
            </w:r>
          </w:p>
        </w:tc>
        <w:tc>
          <w:tcPr>
            <w:tcW w:w="0" w:type="auto"/>
            <w:hideMark/>
          </w:tcPr>
          <w:p w14:paraId="4C6DDE73" w14:textId="77777777" w:rsidR="003654EC" w:rsidRPr="003654EC" w:rsidRDefault="003654EC" w:rsidP="003654EC">
            <w:pPr>
              <w:pStyle w:val="AralkYok"/>
              <w:rPr>
                <w:sz w:val="18"/>
                <w:szCs w:val="20"/>
                <w:lang w:val="tr-TR"/>
              </w:rPr>
            </w:pPr>
            <w:r w:rsidRPr="003654EC">
              <w:rPr>
                <w:sz w:val="18"/>
                <w:szCs w:val="20"/>
                <w:lang w:val="tr-TR"/>
              </w:rPr>
              <w:t>51.000</w:t>
            </w:r>
          </w:p>
        </w:tc>
        <w:tc>
          <w:tcPr>
            <w:tcW w:w="0" w:type="auto"/>
            <w:hideMark/>
          </w:tcPr>
          <w:p w14:paraId="2DFBCC07" w14:textId="77777777" w:rsidR="003654EC" w:rsidRPr="003654EC" w:rsidRDefault="003654EC" w:rsidP="003654EC">
            <w:pPr>
              <w:pStyle w:val="AralkYok"/>
              <w:rPr>
                <w:sz w:val="18"/>
                <w:szCs w:val="20"/>
                <w:lang w:val="tr-TR"/>
              </w:rPr>
            </w:pPr>
            <w:r w:rsidRPr="003654EC">
              <w:rPr>
                <w:sz w:val="18"/>
                <w:szCs w:val="20"/>
                <w:lang w:val="tr-TR"/>
              </w:rPr>
              <w:t>62.000</w:t>
            </w:r>
          </w:p>
        </w:tc>
        <w:tc>
          <w:tcPr>
            <w:tcW w:w="0" w:type="auto"/>
            <w:hideMark/>
          </w:tcPr>
          <w:p w14:paraId="2FCEF1C0" w14:textId="77777777" w:rsidR="003654EC" w:rsidRPr="003654EC" w:rsidRDefault="003654EC" w:rsidP="003654EC">
            <w:pPr>
              <w:pStyle w:val="AralkYok"/>
              <w:rPr>
                <w:sz w:val="18"/>
                <w:szCs w:val="20"/>
                <w:lang w:val="tr-TR"/>
              </w:rPr>
            </w:pPr>
            <w:r w:rsidRPr="003654EC">
              <w:rPr>
                <w:sz w:val="18"/>
                <w:szCs w:val="20"/>
                <w:lang w:val="tr-TR"/>
              </w:rPr>
              <w:t>87.000</w:t>
            </w:r>
          </w:p>
        </w:tc>
      </w:tr>
      <w:tr w:rsidR="003654EC" w:rsidRPr="003654EC" w14:paraId="6FB3B6F8" w14:textId="77777777" w:rsidTr="003654EC">
        <w:tc>
          <w:tcPr>
            <w:tcW w:w="0" w:type="auto"/>
            <w:hideMark/>
          </w:tcPr>
          <w:p w14:paraId="442DF218" w14:textId="77777777" w:rsidR="003654EC" w:rsidRPr="003654EC" w:rsidRDefault="003654EC" w:rsidP="003654EC">
            <w:pPr>
              <w:pStyle w:val="AralkYok"/>
              <w:rPr>
                <w:sz w:val="18"/>
                <w:szCs w:val="20"/>
                <w:lang w:val="tr-TR"/>
              </w:rPr>
            </w:pPr>
            <w:r w:rsidRPr="003654EC">
              <w:rPr>
                <w:sz w:val="18"/>
                <w:szCs w:val="20"/>
                <w:lang w:val="tr-TR"/>
              </w:rPr>
              <w:t>Green Patents (Count)</w:t>
            </w:r>
          </w:p>
        </w:tc>
        <w:tc>
          <w:tcPr>
            <w:tcW w:w="0" w:type="auto"/>
            <w:hideMark/>
          </w:tcPr>
          <w:p w14:paraId="600FEAC9" w14:textId="77777777" w:rsidR="003654EC" w:rsidRPr="003654EC" w:rsidRDefault="003654EC" w:rsidP="003654EC">
            <w:pPr>
              <w:pStyle w:val="AralkYok"/>
              <w:rPr>
                <w:sz w:val="18"/>
                <w:szCs w:val="20"/>
                <w:lang w:val="tr-TR"/>
              </w:rPr>
            </w:pPr>
            <w:r w:rsidRPr="003654EC">
              <w:rPr>
                <w:sz w:val="18"/>
                <w:szCs w:val="20"/>
                <w:lang w:val="tr-TR"/>
              </w:rPr>
              <w:t>54.539</w:t>
            </w:r>
          </w:p>
        </w:tc>
        <w:tc>
          <w:tcPr>
            <w:tcW w:w="0" w:type="auto"/>
            <w:hideMark/>
          </w:tcPr>
          <w:p w14:paraId="5DAF1C80" w14:textId="77777777" w:rsidR="003654EC" w:rsidRPr="003654EC" w:rsidRDefault="003654EC" w:rsidP="003654EC">
            <w:pPr>
              <w:pStyle w:val="AralkYok"/>
              <w:rPr>
                <w:sz w:val="18"/>
                <w:szCs w:val="20"/>
                <w:lang w:val="tr-TR"/>
              </w:rPr>
            </w:pPr>
            <w:r w:rsidRPr="003654EC">
              <w:rPr>
                <w:sz w:val="18"/>
                <w:szCs w:val="20"/>
                <w:lang w:val="tr-TR"/>
              </w:rPr>
              <w:t>161.930</w:t>
            </w:r>
          </w:p>
        </w:tc>
        <w:tc>
          <w:tcPr>
            <w:tcW w:w="0" w:type="auto"/>
            <w:hideMark/>
          </w:tcPr>
          <w:p w14:paraId="21E54187" w14:textId="77777777" w:rsidR="003654EC" w:rsidRPr="003654EC" w:rsidRDefault="003654EC" w:rsidP="003654EC">
            <w:pPr>
              <w:pStyle w:val="AralkYok"/>
              <w:rPr>
                <w:sz w:val="18"/>
                <w:szCs w:val="20"/>
                <w:lang w:val="tr-TR"/>
              </w:rPr>
            </w:pPr>
            <w:r w:rsidRPr="003654EC">
              <w:rPr>
                <w:sz w:val="18"/>
                <w:szCs w:val="20"/>
                <w:lang w:val="tr-TR"/>
              </w:rPr>
              <w:t>0.000</w:t>
            </w:r>
          </w:p>
        </w:tc>
        <w:tc>
          <w:tcPr>
            <w:tcW w:w="0" w:type="auto"/>
            <w:hideMark/>
          </w:tcPr>
          <w:p w14:paraId="730FA883" w14:textId="77777777" w:rsidR="003654EC" w:rsidRPr="003654EC" w:rsidRDefault="003654EC" w:rsidP="003654EC">
            <w:pPr>
              <w:pStyle w:val="AralkYok"/>
              <w:rPr>
                <w:sz w:val="18"/>
                <w:szCs w:val="20"/>
                <w:lang w:val="tr-TR"/>
              </w:rPr>
            </w:pPr>
            <w:r w:rsidRPr="003654EC">
              <w:rPr>
                <w:sz w:val="18"/>
                <w:szCs w:val="20"/>
                <w:lang w:val="tr-TR"/>
              </w:rPr>
              <w:t>0.758</w:t>
            </w:r>
          </w:p>
        </w:tc>
        <w:tc>
          <w:tcPr>
            <w:tcW w:w="0" w:type="auto"/>
            <w:hideMark/>
          </w:tcPr>
          <w:p w14:paraId="3AC0ACF1" w14:textId="77777777" w:rsidR="003654EC" w:rsidRPr="003654EC" w:rsidRDefault="003654EC" w:rsidP="003654EC">
            <w:pPr>
              <w:pStyle w:val="AralkYok"/>
              <w:rPr>
                <w:sz w:val="18"/>
                <w:szCs w:val="20"/>
                <w:lang w:val="tr-TR"/>
              </w:rPr>
            </w:pPr>
            <w:r w:rsidRPr="003654EC">
              <w:rPr>
                <w:sz w:val="18"/>
                <w:szCs w:val="20"/>
                <w:lang w:val="tr-TR"/>
              </w:rPr>
              <w:t>4.050</w:t>
            </w:r>
          </w:p>
        </w:tc>
        <w:tc>
          <w:tcPr>
            <w:tcW w:w="0" w:type="auto"/>
            <w:hideMark/>
          </w:tcPr>
          <w:p w14:paraId="0CB75D11" w14:textId="77777777" w:rsidR="003654EC" w:rsidRPr="003654EC" w:rsidRDefault="003654EC" w:rsidP="003654EC">
            <w:pPr>
              <w:pStyle w:val="AralkYok"/>
              <w:rPr>
                <w:sz w:val="18"/>
                <w:szCs w:val="20"/>
                <w:lang w:val="tr-TR"/>
              </w:rPr>
            </w:pPr>
            <w:r w:rsidRPr="003654EC">
              <w:rPr>
                <w:sz w:val="18"/>
                <w:szCs w:val="20"/>
                <w:lang w:val="tr-TR"/>
              </w:rPr>
              <w:t>13.892</w:t>
            </w:r>
          </w:p>
        </w:tc>
        <w:tc>
          <w:tcPr>
            <w:tcW w:w="0" w:type="auto"/>
            <w:hideMark/>
          </w:tcPr>
          <w:p w14:paraId="7179FB89" w14:textId="77777777" w:rsidR="003654EC" w:rsidRPr="003654EC" w:rsidRDefault="003654EC" w:rsidP="003654EC">
            <w:pPr>
              <w:pStyle w:val="AralkYok"/>
              <w:rPr>
                <w:sz w:val="18"/>
                <w:szCs w:val="20"/>
                <w:lang w:val="tr-TR"/>
              </w:rPr>
            </w:pPr>
            <w:r w:rsidRPr="003654EC">
              <w:rPr>
                <w:sz w:val="18"/>
                <w:szCs w:val="20"/>
                <w:lang w:val="tr-TR"/>
              </w:rPr>
              <w:t>827.000</w:t>
            </w:r>
          </w:p>
        </w:tc>
      </w:tr>
      <w:tr w:rsidR="003654EC" w:rsidRPr="003654EC" w14:paraId="2318643E" w14:textId="77777777" w:rsidTr="003654EC">
        <w:tc>
          <w:tcPr>
            <w:tcW w:w="0" w:type="auto"/>
            <w:gridSpan w:val="8"/>
            <w:vAlign w:val="center"/>
            <w:hideMark/>
          </w:tcPr>
          <w:p w14:paraId="596216FA" w14:textId="21D2DC21" w:rsidR="003654EC" w:rsidRPr="003654EC" w:rsidRDefault="003654EC" w:rsidP="003654EC">
            <w:pPr>
              <w:pStyle w:val="AralkYok"/>
              <w:jc w:val="center"/>
              <w:rPr>
                <w:sz w:val="18"/>
                <w:szCs w:val="20"/>
                <w:lang w:val="tr-TR"/>
              </w:rPr>
            </w:pPr>
            <w:r w:rsidRPr="003654EC">
              <w:rPr>
                <w:sz w:val="18"/>
                <w:szCs w:val="20"/>
                <w:lang w:val="tr-TR"/>
              </w:rPr>
              <w:t>Digitalization Indicators</w:t>
            </w:r>
          </w:p>
        </w:tc>
      </w:tr>
      <w:tr w:rsidR="003654EC" w:rsidRPr="003654EC" w14:paraId="430A6840" w14:textId="77777777" w:rsidTr="003654EC">
        <w:tc>
          <w:tcPr>
            <w:tcW w:w="0" w:type="auto"/>
            <w:hideMark/>
          </w:tcPr>
          <w:p w14:paraId="79CA55D1" w14:textId="77777777" w:rsidR="003654EC" w:rsidRPr="003654EC" w:rsidRDefault="003654EC" w:rsidP="003654EC">
            <w:pPr>
              <w:pStyle w:val="AralkYok"/>
              <w:rPr>
                <w:sz w:val="18"/>
                <w:szCs w:val="20"/>
                <w:lang w:val="tr-TR"/>
              </w:rPr>
            </w:pPr>
            <w:r w:rsidRPr="003654EC">
              <w:rPr>
                <w:sz w:val="18"/>
                <w:szCs w:val="20"/>
                <w:lang w:val="tr-TR"/>
              </w:rPr>
              <w:t>Digital Skills (Proxy)</w:t>
            </w:r>
          </w:p>
        </w:tc>
        <w:tc>
          <w:tcPr>
            <w:tcW w:w="0" w:type="auto"/>
            <w:hideMark/>
          </w:tcPr>
          <w:p w14:paraId="7A40075F" w14:textId="77777777" w:rsidR="003654EC" w:rsidRPr="003654EC" w:rsidRDefault="003654EC" w:rsidP="003654EC">
            <w:pPr>
              <w:pStyle w:val="AralkYok"/>
              <w:rPr>
                <w:sz w:val="18"/>
                <w:szCs w:val="20"/>
                <w:lang w:val="tr-TR"/>
              </w:rPr>
            </w:pPr>
            <w:r w:rsidRPr="003654EC">
              <w:rPr>
                <w:sz w:val="18"/>
                <w:szCs w:val="20"/>
                <w:lang w:val="tr-TR"/>
              </w:rPr>
              <w:t>75.359</w:t>
            </w:r>
          </w:p>
        </w:tc>
        <w:tc>
          <w:tcPr>
            <w:tcW w:w="0" w:type="auto"/>
            <w:hideMark/>
          </w:tcPr>
          <w:p w14:paraId="0567AFD1" w14:textId="77777777" w:rsidR="003654EC" w:rsidRPr="003654EC" w:rsidRDefault="003654EC" w:rsidP="003654EC">
            <w:pPr>
              <w:pStyle w:val="AralkYok"/>
              <w:rPr>
                <w:sz w:val="18"/>
                <w:szCs w:val="20"/>
                <w:lang w:val="tr-TR"/>
              </w:rPr>
            </w:pPr>
            <w:r w:rsidRPr="003654EC">
              <w:rPr>
                <w:sz w:val="18"/>
                <w:szCs w:val="20"/>
                <w:lang w:val="tr-TR"/>
              </w:rPr>
              <w:t>13.927</w:t>
            </w:r>
          </w:p>
        </w:tc>
        <w:tc>
          <w:tcPr>
            <w:tcW w:w="0" w:type="auto"/>
            <w:hideMark/>
          </w:tcPr>
          <w:p w14:paraId="75D09268" w14:textId="77777777" w:rsidR="003654EC" w:rsidRPr="003654EC" w:rsidRDefault="003654EC" w:rsidP="003654EC">
            <w:pPr>
              <w:pStyle w:val="AralkYok"/>
              <w:rPr>
                <w:sz w:val="18"/>
                <w:szCs w:val="20"/>
                <w:lang w:val="tr-TR"/>
              </w:rPr>
            </w:pPr>
            <w:r w:rsidRPr="003654EC">
              <w:rPr>
                <w:sz w:val="18"/>
                <w:szCs w:val="20"/>
                <w:lang w:val="tr-TR"/>
              </w:rPr>
              <w:t>29.740</w:t>
            </w:r>
          </w:p>
        </w:tc>
        <w:tc>
          <w:tcPr>
            <w:tcW w:w="0" w:type="auto"/>
            <w:hideMark/>
          </w:tcPr>
          <w:p w14:paraId="5D8D836F" w14:textId="77777777" w:rsidR="003654EC" w:rsidRPr="003654EC" w:rsidRDefault="003654EC" w:rsidP="003654EC">
            <w:pPr>
              <w:pStyle w:val="AralkYok"/>
              <w:rPr>
                <w:sz w:val="18"/>
                <w:szCs w:val="20"/>
                <w:lang w:val="tr-TR"/>
              </w:rPr>
            </w:pPr>
            <w:r w:rsidRPr="003654EC">
              <w:rPr>
                <w:sz w:val="18"/>
                <w:szCs w:val="20"/>
                <w:lang w:val="tr-TR"/>
              </w:rPr>
              <w:t>65.610</w:t>
            </w:r>
          </w:p>
        </w:tc>
        <w:tc>
          <w:tcPr>
            <w:tcW w:w="0" w:type="auto"/>
            <w:hideMark/>
          </w:tcPr>
          <w:p w14:paraId="18F829A5" w14:textId="77777777" w:rsidR="003654EC" w:rsidRPr="003654EC" w:rsidRDefault="003654EC" w:rsidP="003654EC">
            <w:pPr>
              <w:pStyle w:val="AralkYok"/>
              <w:rPr>
                <w:sz w:val="18"/>
                <w:szCs w:val="20"/>
                <w:lang w:val="tr-TR"/>
              </w:rPr>
            </w:pPr>
            <w:r w:rsidRPr="003654EC">
              <w:rPr>
                <w:sz w:val="18"/>
                <w:szCs w:val="20"/>
                <w:lang w:val="tr-TR"/>
              </w:rPr>
              <w:t>77.320</w:t>
            </w:r>
          </w:p>
        </w:tc>
        <w:tc>
          <w:tcPr>
            <w:tcW w:w="0" w:type="auto"/>
            <w:hideMark/>
          </w:tcPr>
          <w:p w14:paraId="03625D23" w14:textId="77777777" w:rsidR="003654EC" w:rsidRPr="003654EC" w:rsidRDefault="003654EC" w:rsidP="003654EC">
            <w:pPr>
              <w:pStyle w:val="AralkYok"/>
              <w:rPr>
                <w:sz w:val="18"/>
                <w:szCs w:val="20"/>
                <w:lang w:val="tr-TR"/>
              </w:rPr>
            </w:pPr>
            <w:r w:rsidRPr="003654EC">
              <w:rPr>
                <w:sz w:val="18"/>
                <w:szCs w:val="20"/>
                <w:lang w:val="tr-TR"/>
              </w:rPr>
              <w:t>86.300</w:t>
            </w:r>
          </w:p>
        </w:tc>
        <w:tc>
          <w:tcPr>
            <w:tcW w:w="0" w:type="auto"/>
            <w:hideMark/>
          </w:tcPr>
          <w:p w14:paraId="6F9BB20C" w14:textId="77777777" w:rsidR="003654EC" w:rsidRPr="003654EC" w:rsidRDefault="003654EC" w:rsidP="003654EC">
            <w:pPr>
              <w:pStyle w:val="AralkYok"/>
              <w:rPr>
                <w:sz w:val="18"/>
                <w:szCs w:val="20"/>
                <w:lang w:val="tr-TR"/>
              </w:rPr>
            </w:pPr>
            <w:r w:rsidRPr="003654EC">
              <w:rPr>
                <w:sz w:val="18"/>
                <w:szCs w:val="20"/>
                <w:lang w:val="tr-TR"/>
              </w:rPr>
              <w:t>97.710</w:t>
            </w:r>
          </w:p>
        </w:tc>
      </w:tr>
      <w:tr w:rsidR="003654EC" w:rsidRPr="003654EC" w14:paraId="096A29DB" w14:textId="77777777" w:rsidTr="003654EC">
        <w:tc>
          <w:tcPr>
            <w:tcW w:w="0" w:type="auto"/>
            <w:hideMark/>
          </w:tcPr>
          <w:p w14:paraId="014E3CB1" w14:textId="77777777" w:rsidR="003654EC" w:rsidRPr="003654EC" w:rsidRDefault="003654EC" w:rsidP="003654EC">
            <w:pPr>
              <w:pStyle w:val="AralkYok"/>
              <w:rPr>
                <w:sz w:val="18"/>
                <w:szCs w:val="20"/>
                <w:lang w:val="tr-TR"/>
              </w:rPr>
            </w:pPr>
            <w:r w:rsidRPr="003654EC">
              <w:rPr>
                <w:sz w:val="18"/>
                <w:szCs w:val="20"/>
                <w:lang w:val="tr-TR"/>
              </w:rPr>
              <w:t>Digital Infrastructure (Proxy)</w:t>
            </w:r>
          </w:p>
        </w:tc>
        <w:tc>
          <w:tcPr>
            <w:tcW w:w="0" w:type="auto"/>
            <w:hideMark/>
          </w:tcPr>
          <w:p w14:paraId="54C235AF" w14:textId="77777777" w:rsidR="003654EC" w:rsidRPr="003654EC" w:rsidRDefault="003654EC" w:rsidP="003654EC">
            <w:pPr>
              <w:pStyle w:val="AralkYok"/>
              <w:rPr>
                <w:sz w:val="18"/>
                <w:szCs w:val="20"/>
                <w:lang w:val="tr-TR"/>
              </w:rPr>
            </w:pPr>
            <w:r w:rsidRPr="003654EC">
              <w:rPr>
                <w:sz w:val="18"/>
                <w:szCs w:val="20"/>
                <w:lang w:val="tr-TR"/>
              </w:rPr>
              <w:t>0.009</w:t>
            </w:r>
          </w:p>
        </w:tc>
        <w:tc>
          <w:tcPr>
            <w:tcW w:w="0" w:type="auto"/>
            <w:hideMark/>
          </w:tcPr>
          <w:p w14:paraId="39926649" w14:textId="77777777" w:rsidR="003654EC" w:rsidRPr="003654EC" w:rsidRDefault="003654EC" w:rsidP="003654EC">
            <w:pPr>
              <w:pStyle w:val="AralkYok"/>
              <w:rPr>
                <w:sz w:val="18"/>
                <w:szCs w:val="20"/>
                <w:lang w:val="tr-TR"/>
              </w:rPr>
            </w:pPr>
            <w:r w:rsidRPr="003654EC">
              <w:rPr>
                <w:sz w:val="18"/>
                <w:szCs w:val="20"/>
                <w:lang w:val="tr-TR"/>
              </w:rPr>
              <w:t>0.004</w:t>
            </w:r>
          </w:p>
        </w:tc>
        <w:tc>
          <w:tcPr>
            <w:tcW w:w="0" w:type="auto"/>
            <w:hideMark/>
          </w:tcPr>
          <w:p w14:paraId="406AC94C" w14:textId="77777777" w:rsidR="003654EC" w:rsidRPr="003654EC" w:rsidRDefault="003654EC" w:rsidP="003654EC">
            <w:pPr>
              <w:pStyle w:val="AralkYok"/>
              <w:rPr>
                <w:sz w:val="18"/>
                <w:szCs w:val="20"/>
                <w:lang w:val="tr-TR"/>
              </w:rPr>
            </w:pPr>
            <w:r w:rsidRPr="003654EC">
              <w:rPr>
                <w:sz w:val="18"/>
                <w:szCs w:val="20"/>
                <w:lang w:val="tr-TR"/>
              </w:rPr>
              <w:t>0.001</w:t>
            </w:r>
          </w:p>
        </w:tc>
        <w:tc>
          <w:tcPr>
            <w:tcW w:w="0" w:type="auto"/>
            <w:hideMark/>
          </w:tcPr>
          <w:p w14:paraId="5BB94D16" w14:textId="77777777" w:rsidR="003654EC" w:rsidRPr="003654EC" w:rsidRDefault="003654EC" w:rsidP="003654EC">
            <w:pPr>
              <w:pStyle w:val="AralkYok"/>
              <w:rPr>
                <w:sz w:val="18"/>
                <w:szCs w:val="20"/>
                <w:lang w:val="tr-TR"/>
              </w:rPr>
            </w:pPr>
            <w:r w:rsidRPr="003654EC">
              <w:rPr>
                <w:sz w:val="18"/>
                <w:szCs w:val="20"/>
                <w:lang w:val="tr-TR"/>
              </w:rPr>
              <w:t>0.006</w:t>
            </w:r>
          </w:p>
        </w:tc>
        <w:tc>
          <w:tcPr>
            <w:tcW w:w="0" w:type="auto"/>
            <w:hideMark/>
          </w:tcPr>
          <w:p w14:paraId="6ECF3515" w14:textId="77777777" w:rsidR="003654EC" w:rsidRPr="003654EC" w:rsidRDefault="003654EC" w:rsidP="003654EC">
            <w:pPr>
              <w:pStyle w:val="AralkYok"/>
              <w:rPr>
                <w:sz w:val="18"/>
                <w:szCs w:val="20"/>
                <w:lang w:val="tr-TR"/>
              </w:rPr>
            </w:pPr>
            <w:r w:rsidRPr="003654EC">
              <w:rPr>
                <w:sz w:val="18"/>
                <w:szCs w:val="20"/>
                <w:lang w:val="tr-TR"/>
              </w:rPr>
              <w:t>0.008</w:t>
            </w:r>
          </w:p>
        </w:tc>
        <w:tc>
          <w:tcPr>
            <w:tcW w:w="0" w:type="auto"/>
            <w:hideMark/>
          </w:tcPr>
          <w:p w14:paraId="1E345CA5" w14:textId="77777777" w:rsidR="003654EC" w:rsidRPr="003654EC" w:rsidRDefault="003654EC" w:rsidP="003654EC">
            <w:pPr>
              <w:pStyle w:val="AralkYok"/>
              <w:rPr>
                <w:sz w:val="18"/>
                <w:szCs w:val="20"/>
                <w:lang w:val="tr-TR"/>
              </w:rPr>
            </w:pPr>
            <w:r w:rsidRPr="003654EC">
              <w:rPr>
                <w:sz w:val="18"/>
                <w:szCs w:val="20"/>
                <w:lang w:val="tr-TR"/>
              </w:rPr>
              <w:t>0.011</w:t>
            </w:r>
          </w:p>
        </w:tc>
        <w:tc>
          <w:tcPr>
            <w:tcW w:w="0" w:type="auto"/>
            <w:hideMark/>
          </w:tcPr>
          <w:p w14:paraId="59D2DCB6" w14:textId="77777777" w:rsidR="003654EC" w:rsidRPr="003654EC" w:rsidRDefault="003654EC" w:rsidP="003654EC">
            <w:pPr>
              <w:pStyle w:val="AralkYok"/>
              <w:rPr>
                <w:sz w:val="18"/>
                <w:szCs w:val="20"/>
                <w:lang w:val="tr-TR"/>
              </w:rPr>
            </w:pPr>
            <w:r w:rsidRPr="003654EC">
              <w:rPr>
                <w:sz w:val="18"/>
                <w:szCs w:val="20"/>
                <w:lang w:val="tr-TR"/>
              </w:rPr>
              <w:t>0.030</w:t>
            </w:r>
          </w:p>
        </w:tc>
      </w:tr>
      <w:tr w:rsidR="003654EC" w:rsidRPr="003654EC" w14:paraId="37FB7AC7" w14:textId="77777777" w:rsidTr="003654EC">
        <w:tc>
          <w:tcPr>
            <w:tcW w:w="0" w:type="auto"/>
            <w:hideMark/>
          </w:tcPr>
          <w:p w14:paraId="48D47413" w14:textId="77777777" w:rsidR="003654EC" w:rsidRPr="003654EC" w:rsidRDefault="003654EC" w:rsidP="003654EC">
            <w:pPr>
              <w:pStyle w:val="AralkYok"/>
              <w:rPr>
                <w:sz w:val="18"/>
                <w:szCs w:val="20"/>
                <w:lang w:val="tr-TR"/>
              </w:rPr>
            </w:pPr>
            <w:r w:rsidRPr="003654EC">
              <w:rPr>
                <w:sz w:val="18"/>
                <w:szCs w:val="20"/>
                <w:lang w:val="tr-TR"/>
              </w:rPr>
              <w:t>Servitization (%)</w:t>
            </w:r>
          </w:p>
        </w:tc>
        <w:tc>
          <w:tcPr>
            <w:tcW w:w="0" w:type="auto"/>
            <w:hideMark/>
          </w:tcPr>
          <w:p w14:paraId="5976E04A" w14:textId="77777777" w:rsidR="003654EC" w:rsidRPr="003654EC" w:rsidRDefault="003654EC" w:rsidP="003654EC">
            <w:pPr>
              <w:pStyle w:val="AralkYok"/>
              <w:rPr>
                <w:sz w:val="18"/>
                <w:szCs w:val="20"/>
                <w:lang w:val="tr-TR"/>
              </w:rPr>
            </w:pPr>
            <w:r w:rsidRPr="003654EC">
              <w:rPr>
                <w:sz w:val="18"/>
                <w:szCs w:val="20"/>
                <w:lang w:val="tr-TR"/>
              </w:rPr>
              <w:t>70.434</w:t>
            </w:r>
          </w:p>
        </w:tc>
        <w:tc>
          <w:tcPr>
            <w:tcW w:w="0" w:type="auto"/>
            <w:hideMark/>
          </w:tcPr>
          <w:p w14:paraId="408750F2" w14:textId="77777777" w:rsidR="003654EC" w:rsidRPr="003654EC" w:rsidRDefault="003654EC" w:rsidP="003654EC">
            <w:pPr>
              <w:pStyle w:val="AralkYok"/>
              <w:rPr>
                <w:sz w:val="18"/>
                <w:szCs w:val="20"/>
                <w:lang w:val="tr-TR"/>
              </w:rPr>
            </w:pPr>
            <w:r w:rsidRPr="003654EC">
              <w:rPr>
                <w:sz w:val="18"/>
                <w:szCs w:val="20"/>
                <w:lang w:val="tr-TR"/>
              </w:rPr>
              <w:t>9.197</w:t>
            </w:r>
          </w:p>
        </w:tc>
        <w:tc>
          <w:tcPr>
            <w:tcW w:w="0" w:type="auto"/>
            <w:hideMark/>
          </w:tcPr>
          <w:p w14:paraId="22393A7E" w14:textId="77777777" w:rsidR="003654EC" w:rsidRPr="003654EC" w:rsidRDefault="003654EC" w:rsidP="003654EC">
            <w:pPr>
              <w:pStyle w:val="AralkYok"/>
              <w:rPr>
                <w:sz w:val="18"/>
                <w:szCs w:val="20"/>
                <w:lang w:val="tr-TR"/>
              </w:rPr>
            </w:pPr>
            <w:r w:rsidRPr="003654EC">
              <w:rPr>
                <w:sz w:val="18"/>
                <w:szCs w:val="20"/>
                <w:lang w:val="tr-TR"/>
              </w:rPr>
              <w:t>40.673</w:t>
            </w:r>
          </w:p>
        </w:tc>
        <w:tc>
          <w:tcPr>
            <w:tcW w:w="0" w:type="auto"/>
            <w:hideMark/>
          </w:tcPr>
          <w:p w14:paraId="0885C0CE" w14:textId="77777777" w:rsidR="003654EC" w:rsidRPr="003654EC" w:rsidRDefault="003654EC" w:rsidP="003654EC">
            <w:pPr>
              <w:pStyle w:val="AralkYok"/>
              <w:rPr>
                <w:sz w:val="18"/>
                <w:szCs w:val="20"/>
                <w:lang w:val="tr-TR"/>
              </w:rPr>
            </w:pPr>
            <w:r w:rsidRPr="003654EC">
              <w:rPr>
                <w:sz w:val="18"/>
                <w:szCs w:val="20"/>
                <w:lang w:val="tr-TR"/>
              </w:rPr>
              <w:t>64.089</w:t>
            </w:r>
          </w:p>
        </w:tc>
        <w:tc>
          <w:tcPr>
            <w:tcW w:w="0" w:type="auto"/>
            <w:hideMark/>
          </w:tcPr>
          <w:p w14:paraId="0E4247D3" w14:textId="77777777" w:rsidR="003654EC" w:rsidRPr="003654EC" w:rsidRDefault="003654EC" w:rsidP="003654EC">
            <w:pPr>
              <w:pStyle w:val="AralkYok"/>
              <w:rPr>
                <w:sz w:val="18"/>
                <w:szCs w:val="20"/>
                <w:lang w:val="tr-TR"/>
              </w:rPr>
            </w:pPr>
            <w:r w:rsidRPr="003654EC">
              <w:rPr>
                <w:sz w:val="18"/>
                <w:szCs w:val="20"/>
                <w:lang w:val="tr-TR"/>
              </w:rPr>
              <w:t>71.262</w:t>
            </w:r>
          </w:p>
        </w:tc>
        <w:tc>
          <w:tcPr>
            <w:tcW w:w="0" w:type="auto"/>
            <w:hideMark/>
          </w:tcPr>
          <w:p w14:paraId="1FCA2AD8" w14:textId="77777777" w:rsidR="003654EC" w:rsidRPr="003654EC" w:rsidRDefault="003654EC" w:rsidP="003654EC">
            <w:pPr>
              <w:pStyle w:val="AralkYok"/>
              <w:rPr>
                <w:sz w:val="18"/>
                <w:szCs w:val="20"/>
                <w:lang w:val="tr-TR"/>
              </w:rPr>
            </w:pPr>
            <w:r w:rsidRPr="003654EC">
              <w:rPr>
                <w:sz w:val="18"/>
                <w:szCs w:val="20"/>
                <w:lang w:val="tr-TR"/>
              </w:rPr>
              <w:t>77.603</w:t>
            </w:r>
          </w:p>
        </w:tc>
        <w:tc>
          <w:tcPr>
            <w:tcW w:w="0" w:type="auto"/>
            <w:hideMark/>
          </w:tcPr>
          <w:p w14:paraId="29DA54FF" w14:textId="77777777" w:rsidR="003654EC" w:rsidRPr="003654EC" w:rsidRDefault="003654EC" w:rsidP="003654EC">
            <w:pPr>
              <w:pStyle w:val="AralkYok"/>
              <w:rPr>
                <w:sz w:val="18"/>
                <w:szCs w:val="20"/>
                <w:lang w:val="tr-TR"/>
              </w:rPr>
            </w:pPr>
            <w:r w:rsidRPr="003654EC">
              <w:rPr>
                <w:sz w:val="18"/>
                <w:szCs w:val="20"/>
                <w:lang w:val="tr-TR"/>
              </w:rPr>
              <w:t>89.727</w:t>
            </w:r>
          </w:p>
        </w:tc>
      </w:tr>
      <w:tr w:rsidR="003654EC" w:rsidRPr="003654EC" w14:paraId="510851B4" w14:textId="77777777" w:rsidTr="003654EC">
        <w:tc>
          <w:tcPr>
            <w:tcW w:w="0" w:type="auto"/>
            <w:hideMark/>
          </w:tcPr>
          <w:p w14:paraId="45A1EA5A" w14:textId="77777777" w:rsidR="003654EC" w:rsidRPr="003654EC" w:rsidRDefault="003654EC" w:rsidP="003654EC">
            <w:pPr>
              <w:pStyle w:val="AralkYok"/>
              <w:rPr>
                <w:sz w:val="18"/>
                <w:szCs w:val="20"/>
                <w:lang w:val="tr-TR"/>
              </w:rPr>
            </w:pPr>
            <w:r w:rsidRPr="003654EC">
              <w:rPr>
                <w:sz w:val="18"/>
                <w:szCs w:val="20"/>
                <w:lang w:val="tr-TR"/>
              </w:rPr>
              <w:lastRenderedPageBreak/>
              <w:t>Other Model Variables</w:t>
            </w:r>
          </w:p>
        </w:tc>
        <w:tc>
          <w:tcPr>
            <w:tcW w:w="0" w:type="auto"/>
            <w:hideMark/>
          </w:tcPr>
          <w:p w14:paraId="2764FC70" w14:textId="77777777" w:rsidR="003654EC" w:rsidRPr="003654EC" w:rsidRDefault="003654EC" w:rsidP="003654EC">
            <w:pPr>
              <w:pStyle w:val="AralkYok"/>
              <w:rPr>
                <w:sz w:val="18"/>
                <w:szCs w:val="20"/>
                <w:lang w:val="tr-TR"/>
              </w:rPr>
            </w:pPr>
          </w:p>
        </w:tc>
        <w:tc>
          <w:tcPr>
            <w:tcW w:w="0" w:type="auto"/>
            <w:hideMark/>
          </w:tcPr>
          <w:p w14:paraId="68350CCF" w14:textId="77777777" w:rsidR="003654EC" w:rsidRPr="003654EC" w:rsidRDefault="003654EC" w:rsidP="003654EC">
            <w:pPr>
              <w:pStyle w:val="AralkYok"/>
              <w:rPr>
                <w:sz w:val="18"/>
                <w:szCs w:val="20"/>
                <w:lang w:val="tr-TR"/>
              </w:rPr>
            </w:pPr>
          </w:p>
        </w:tc>
        <w:tc>
          <w:tcPr>
            <w:tcW w:w="0" w:type="auto"/>
            <w:hideMark/>
          </w:tcPr>
          <w:p w14:paraId="56393CE9" w14:textId="77777777" w:rsidR="003654EC" w:rsidRPr="003654EC" w:rsidRDefault="003654EC" w:rsidP="003654EC">
            <w:pPr>
              <w:pStyle w:val="AralkYok"/>
              <w:rPr>
                <w:sz w:val="18"/>
                <w:szCs w:val="20"/>
                <w:lang w:val="tr-TR"/>
              </w:rPr>
            </w:pPr>
          </w:p>
        </w:tc>
        <w:tc>
          <w:tcPr>
            <w:tcW w:w="0" w:type="auto"/>
            <w:hideMark/>
          </w:tcPr>
          <w:p w14:paraId="6CE29D12" w14:textId="77777777" w:rsidR="003654EC" w:rsidRPr="003654EC" w:rsidRDefault="003654EC" w:rsidP="003654EC">
            <w:pPr>
              <w:pStyle w:val="AralkYok"/>
              <w:rPr>
                <w:sz w:val="18"/>
                <w:szCs w:val="20"/>
                <w:lang w:val="tr-TR"/>
              </w:rPr>
            </w:pPr>
          </w:p>
        </w:tc>
        <w:tc>
          <w:tcPr>
            <w:tcW w:w="0" w:type="auto"/>
            <w:hideMark/>
          </w:tcPr>
          <w:p w14:paraId="4CB0A0FE" w14:textId="77777777" w:rsidR="003654EC" w:rsidRPr="003654EC" w:rsidRDefault="003654EC" w:rsidP="003654EC">
            <w:pPr>
              <w:pStyle w:val="AralkYok"/>
              <w:rPr>
                <w:sz w:val="18"/>
                <w:szCs w:val="20"/>
                <w:lang w:val="tr-TR"/>
              </w:rPr>
            </w:pPr>
          </w:p>
        </w:tc>
        <w:tc>
          <w:tcPr>
            <w:tcW w:w="0" w:type="auto"/>
            <w:hideMark/>
          </w:tcPr>
          <w:p w14:paraId="2F1D0804" w14:textId="77777777" w:rsidR="003654EC" w:rsidRPr="003654EC" w:rsidRDefault="003654EC" w:rsidP="003654EC">
            <w:pPr>
              <w:pStyle w:val="AralkYok"/>
              <w:rPr>
                <w:sz w:val="18"/>
                <w:szCs w:val="20"/>
                <w:lang w:val="tr-TR"/>
              </w:rPr>
            </w:pPr>
          </w:p>
        </w:tc>
        <w:tc>
          <w:tcPr>
            <w:tcW w:w="0" w:type="auto"/>
            <w:hideMark/>
          </w:tcPr>
          <w:p w14:paraId="07C94FD5" w14:textId="77777777" w:rsidR="003654EC" w:rsidRPr="003654EC" w:rsidRDefault="003654EC" w:rsidP="003654EC">
            <w:pPr>
              <w:pStyle w:val="AralkYok"/>
              <w:rPr>
                <w:sz w:val="18"/>
                <w:szCs w:val="20"/>
                <w:lang w:val="tr-TR"/>
              </w:rPr>
            </w:pPr>
          </w:p>
        </w:tc>
      </w:tr>
      <w:tr w:rsidR="003654EC" w:rsidRPr="003654EC" w14:paraId="33F0C04D" w14:textId="77777777" w:rsidTr="003654EC">
        <w:tc>
          <w:tcPr>
            <w:tcW w:w="0" w:type="auto"/>
            <w:hideMark/>
          </w:tcPr>
          <w:p w14:paraId="4733507D" w14:textId="77777777" w:rsidR="003654EC" w:rsidRPr="003654EC" w:rsidRDefault="003654EC" w:rsidP="003654EC">
            <w:pPr>
              <w:pStyle w:val="AralkYok"/>
              <w:rPr>
                <w:sz w:val="18"/>
                <w:szCs w:val="20"/>
                <w:lang w:val="tr-TR"/>
              </w:rPr>
            </w:pPr>
            <w:r w:rsidRPr="003654EC">
              <w:rPr>
                <w:sz w:val="18"/>
                <w:szCs w:val="20"/>
                <w:lang w:val="tr-TR"/>
              </w:rPr>
              <w:t>GHG Intensity of Services</w:t>
            </w:r>
          </w:p>
        </w:tc>
        <w:tc>
          <w:tcPr>
            <w:tcW w:w="0" w:type="auto"/>
            <w:hideMark/>
          </w:tcPr>
          <w:p w14:paraId="20324C79" w14:textId="77777777" w:rsidR="003654EC" w:rsidRPr="003654EC" w:rsidRDefault="003654EC" w:rsidP="003654EC">
            <w:pPr>
              <w:pStyle w:val="AralkYok"/>
              <w:rPr>
                <w:sz w:val="18"/>
                <w:szCs w:val="20"/>
                <w:lang w:val="tr-TR"/>
              </w:rPr>
            </w:pPr>
            <w:r w:rsidRPr="003654EC">
              <w:rPr>
                <w:sz w:val="18"/>
                <w:szCs w:val="20"/>
                <w:lang w:val="tr-TR"/>
              </w:rPr>
              <w:t>130.785</w:t>
            </w:r>
          </w:p>
        </w:tc>
        <w:tc>
          <w:tcPr>
            <w:tcW w:w="0" w:type="auto"/>
            <w:hideMark/>
          </w:tcPr>
          <w:p w14:paraId="44AC90C1" w14:textId="77777777" w:rsidR="003654EC" w:rsidRPr="003654EC" w:rsidRDefault="003654EC" w:rsidP="003654EC">
            <w:pPr>
              <w:pStyle w:val="AralkYok"/>
              <w:rPr>
                <w:sz w:val="18"/>
                <w:szCs w:val="20"/>
                <w:lang w:val="tr-TR"/>
              </w:rPr>
            </w:pPr>
            <w:r w:rsidRPr="003654EC">
              <w:rPr>
                <w:sz w:val="18"/>
                <w:szCs w:val="20"/>
                <w:lang w:val="tr-TR"/>
              </w:rPr>
              <w:t>56.398</w:t>
            </w:r>
          </w:p>
        </w:tc>
        <w:tc>
          <w:tcPr>
            <w:tcW w:w="0" w:type="auto"/>
            <w:hideMark/>
          </w:tcPr>
          <w:p w14:paraId="2B3A0AF0" w14:textId="77777777" w:rsidR="003654EC" w:rsidRPr="003654EC" w:rsidRDefault="003654EC" w:rsidP="003654EC">
            <w:pPr>
              <w:pStyle w:val="AralkYok"/>
              <w:rPr>
                <w:sz w:val="18"/>
                <w:szCs w:val="20"/>
                <w:lang w:val="tr-TR"/>
              </w:rPr>
            </w:pPr>
            <w:r w:rsidRPr="003654EC">
              <w:rPr>
                <w:sz w:val="18"/>
                <w:szCs w:val="20"/>
                <w:lang w:val="tr-TR"/>
              </w:rPr>
              <w:t>48.437</w:t>
            </w:r>
          </w:p>
        </w:tc>
        <w:tc>
          <w:tcPr>
            <w:tcW w:w="0" w:type="auto"/>
            <w:hideMark/>
          </w:tcPr>
          <w:p w14:paraId="6CC27652" w14:textId="77777777" w:rsidR="003654EC" w:rsidRPr="003654EC" w:rsidRDefault="003654EC" w:rsidP="003654EC">
            <w:pPr>
              <w:pStyle w:val="AralkYok"/>
              <w:rPr>
                <w:sz w:val="18"/>
                <w:szCs w:val="20"/>
                <w:lang w:val="tr-TR"/>
              </w:rPr>
            </w:pPr>
            <w:r w:rsidRPr="003654EC">
              <w:rPr>
                <w:sz w:val="18"/>
                <w:szCs w:val="20"/>
                <w:lang w:val="tr-TR"/>
              </w:rPr>
              <w:t>87.243</w:t>
            </w:r>
          </w:p>
        </w:tc>
        <w:tc>
          <w:tcPr>
            <w:tcW w:w="0" w:type="auto"/>
            <w:hideMark/>
          </w:tcPr>
          <w:p w14:paraId="7B421F85" w14:textId="77777777" w:rsidR="003654EC" w:rsidRPr="003654EC" w:rsidRDefault="003654EC" w:rsidP="003654EC">
            <w:pPr>
              <w:pStyle w:val="AralkYok"/>
              <w:rPr>
                <w:sz w:val="18"/>
                <w:szCs w:val="20"/>
                <w:lang w:val="tr-TR"/>
              </w:rPr>
            </w:pPr>
            <w:r w:rsidRPr="003654EC">
              <w:rPr>
                <w:sz w:val="18"/>
                <w:szCs w:val="20"/>
                <w:lang w:val="tr-TR"/>
              </w:rPr>
              <w:t>111.421</w:t>
            </w:r>
          </w:p>
        </w:tc>
        <w:tc>
          <w:tcPr>
            <w:tcW w:w="0" w:type="auto"/>
            <w:hideMark/>
          </w:tcPr>
          <w:p w14:paraId="32C03BB6" w14:textId="77777777" w:rsidR="003654EC" w:rsidRPr="003654EC" w:rsidRDefault="003654EC" w:rsidP="003654EC">
            <w:pPr>
              <w:pStyle w:val="AralkYok"/>
              <w:rPr>
                <w:sz w:val="18"/>
                <w:szCs w:val="20"/>
                <w:lang w:val="tr-TR"/>
              </w:rPr>
            </w:pPr>
            <w:r w:rsidRPr="003654EC">
              <w:rPr>
                <w:sz w:val="18"/>
                <w:szCs w:val="20"/>
                <w:lang w:val="tr-TR"/>
              </w:rPr>
              <w:t>165.317</w:t>
            </w:r>
          </w:p>
        </w:tc>
        <w:tc>
          <w:tcPr>
            <w:tcW w:w="0" w:type="auto"/>
            <w:hideMark/>
          </w:tcPr>
          <w:p w14:paraId="13BF7B7A" w14:textId="77777777" w:rsidR="003654EC" w:rsidRPr="003654EC" w:rsidRDefault="003654EC" w:rsidP="003654EC">
            <w:pPr>
              <w:pStyle w:val="AralkYok"/>
              <w:rPr>
                <w:sz w:val="18"/>
                <w:szCs w:val="20"/>
                <w:lang w:val="tr-TR"/>
              </w:rPr>
            </w:pPr>
            <w:r w:rsidRPr="003654EC">
              <w:rPr>
                <w:sz w:val="18"/>
                <w:szCs w:val="20"/>
                <w:lang w:val="tr-TR"/>
              </w:rPr>
              <w:t>300.198</w:t>
            </w:r>
          </w:p>
        </w:tc>
      </w:tr>
      <w:tr w:rsidR="003654EC" w:rsidRPr="003654EC" w14:paraId="4C29C545" w14:textId="77777777" w:rsidTr="003654EC">
        <w:tc>
          <w:tcPr>
            <w:tcW w:w="0" w:type="auto"/>
            <w:hideMark/>
          </w:tcPr>
          <w:p w14:paraId="360E20AA" w14:textId="77777777" w:rsidR="003654EC" w:rsidRPr="003654EC" w:rsidRDefault="003654EC" w:rsidP="003654EC">
            <w:pPr>
              <w:pStyle w:val="AralkYok"/>
              <w:rPr>
                <w:sz w:val="18"/>
                <w:szCs w:val="20"/>
                <w:lang w:val="tr-TR"/>
              </w:rPr>
            </w:pPr>
            <w:r w:rsidRPr="003654EC">
              <w:rPr>
                <w:sz w:val="18"/>
                <w:szCs w:val="20"/>
                <w:lang w:val="tr-TR"/>
              </w:rPr>
              <w:t>Environmental Tax Revenue (% Share)</w:t>
            </w:r>
          </w:p>
        </w:tc>
        <w:tc>
          <w:tcPr>
            <w:tcW w:w="0" w:type="auto"/>
            <w:hideMark/>
          </w:tcPr>
          <w:p w14:paraId="6801DBC7" w14:textId="77777777" w:rsidR="003654EC" w:rsidRPr="003654EC" w:rsidRDefault="003654EC" w:rsidP="003654EC">
            <w:pPr>
              <w:pStyle w:val="AralkYok"/>
              <w:rPr>
                <w:sz w:val="18"/>
                <w:szCs w:val="20"/>
                <w:lang w:val="tr-TR"/>
              </w:rPr>
            </w:pPr>
            <w:r w:rsidRPr="003654EC">
              <w:rPr>
                <w:sz w:val="18"/>
                <w:szCs w:val="20"/>
                <w:lang w:val="tr-TR"/>
              </w:rPr>
              <w:t>4.875</w:t>
            </w:r>
          </w:p>
        </w:tc>
        <w:tc>
          <w:tcPr>
            <w:tcW w:w="0" w:type="auto"/>
            <w:hideMark/>
          </w:tcPr>
          <w:p w14:paraId="2A594626" w14:textId="77777777" w:rsidR="003654EC" w:rsidRPr="003654EC" w:rsidRDefault="003654EC" w:rsidP="003654EC">
            <w:pPr>
              <w:pStyle w:val="AralkYok"/>
              <w:rPr>
                <w:sz w:val="18"/>
                <w:szCs w:val="20"/>
                <w:lang w:val="tr-TR"/>
              </w:rPr>
            </w:pPr>
            <w:r w:rsidRPr="003654EC">
              <w:rPr>
                <w:sz w:val="18"/>
                <w:szCs w:val="20"/>
                <w:lang w:val="tr-TR"/>
              </w:rPr>
              <w:t>1.415</w:t>
            </w:r>
          </w:p>
        </w:tc>
        <w:tc>
          <w:tcPr>
            <w:tcW w:w="0" w:type="auto"/>
            <w:hideMark/>
          </w:tcPr>
          <w:p w14:paraId="3DE4E603" w14:textId="77777777" w:rsidR="003654EC" w:rsidRPr="003654EC" w:rsidRDefault="003654EC" w:rsidP="003654EC">
            <w:pPr>
              <w:pStyle w:val="AralkYok"/>
              <w:rPr>
                <w:sz w:val="18"/>
                <w:szCs w:val="20"/>
                <w:lang w:val="tr-TR"/>
              </w:rPr>
            </w:pPr>
            <w:r w:rsidRPr="003654EC">
              <w:rPr>
                <w:sz w:val="18"/>
                <w:szCs w:val="20"/>
                <w:lang w:val="tr-TR"/>
              </w:rPr>
              <w:t>2.165</w:t>
            </w:r>
          </w:p>
        </w:tc>
        <w:tc>
          <w:tcPr>
            <w:tcW w:w="0" w:type="auto"/>
            <w:hideMark/>
          </w:tcPr>
          <w:p w14:paraId="1158E280" w14:textId="77777777" w:rsidR="003654EC" w:rsidRPr="003654EC" w:rsidRDefault="003654EC" w:rsidP="003654EC">
            <w:pPr>
              <w:pStyle w:val="AralkYok"/>
              <w:rPr>
                <w:sz w:val="18"/>
                <w:szCs w:val="20"/>
                <w:lang w:val="tr-TR"/>
              </w:rPr>
            </w:pPr>
            <w:r w:rsidRPr="003654EC">
              <w:rPr>
                <w:sz w:val="18"/>
                <w:szCs w:val="20"/>
                <w:lang w:val="tr-TR"/>
              </w:rPr>
              <w:t>3.843</w:t>
            </w:r>
          </w:p>
        </w:tc>
        <w:tc>
          <w:tcPr>
            <w:tcW w:w="0" w:type="auto"/>
            <w:hideMark/>
          </w:tcPr>
          <w:p w14:paraId="19F60113" w14:textId="77777777" w:rsidR="003654EC" w:rsidRPr="003654EC" w:rsidRDefault="003654EC" w:rsidP="003654EC">
            <w:pPr>
              <w:pStyle w:val="AralkYok"/>
              <w:rPr>
                <w:sz w:val="18"/>
                <w:szCs w:val="20"/>
                <w:lang w:val="tr-TR"/>
              </w:rPr>
            </w:pPr>
            <w:r w:rsidRPr="003654EC">
              <w:rPr>
                <w:sz w:val="18"/>
                <w:szCs w:val="20"/>
                <w:lang w:val="tr-TR"/>
              </w:rPr>
              <w:t>4.572</w:t>
            </w:r>
          </w:p>
        </w:tc>
        <w:tc>
          <w:tcPr>
            <w:tcW w:w="0" w:type="auto"/>
            <w:hideMark/>
          </w:tcPr>
          <w:p w14:paraId="0D93EEB4" w14:textId="77777777" w:rsidR="003654EC" w:rsidRPr="003654EC" w:rsidRDefault="003654EC" w:rsidP="003654EC">
            <w:pPr>
              <w:pStyle w:val="AralkYok"/>
              <w:rPr>
                <w:sz w:val="18"/>
                <w:szCs w:val="20"/>
                <w:lang w:val="tr-TR"/>
              </w:rPr>
            </w:pPr>
            <w:r w:rsidRPr="003654EC">
              <w:rPr>
                <w:sz w:val="18"/>
                <w:szCs w:val="20"/>
                <w:lang w:val="tr-TR"/>
              </w:rPr>
              <w:t>5.862</w:t>
            </w:r>
          </w:p>
        </w:tc>
        <w:tc>
          <w:tcPr>
            <w:tcW w:w="0" w:type="auto"/>
            <w:hideMark/>
          </w:tcPr>
          <w:p w14:paraId="7F3916B9" w14:textId="77777777" w:rsidR="003654EC" w:rsidRPr="003654EC" w:rsidRDefault="003654EC" w:rsidP="003654EC">
            <w:pPr>
              <w:pStyle w:val="AralkYok"/>
              <w:rPr>
                <w:sz w:val="18"/>
                <w:szCs w:val="20"/>
                <w:lang w:val="tr-TR"/>
              </w:rPr>
            </w:pPr>
            <w:r w:rsidRPr="003654EC">
              <w:rPr>
                <w:sz w:val="18"/>
                <w:szCs w:val="20"/>
                <w:lang w:val="tr-TR"/>
              </w:rPr>
              <w:t>10.040</w:t>
            </w:r>
          </w:p>
        </w:tc>
      </w:tr>
    </w:tbl>
    <w:p w14:paraId="7981D0E3" w14:textId="77777777" w:rsidR="00604642" w:rsidRPr="00604642" w:rsidRDefault="00604642" w:rsidP="003654EC">
      <w:pPr>
        <w:pStyle w:val="AralkYok"/>
        <w:rPr>
          <w:lang w:val="tr-TR"/>
        </w:rPr>
      </w:pPr>
      <w:r w:rsidRPr="00604642">
        <w:rPr>
          <w:lang w:val="tr-TR"/>
        </w:rPr>
        <w:t>¹ Note: The 'Reverse Logistics' variable is omitted as it is an identical proxy for 'Recycling Rate' (N=121, Mean=51.306).</w:t>
      </w:r>
    </w:p>
    <w:p w14:paraId="071105E3" w14:textId="77777777" w:rsidR="00604642" w:rsidRDefault="00604642" w:rsidP="00384A20">
      <w:pPr>
        <w:spacing w:before="120" w:after="0" w:line="240" w:lineRule="auto"/>
        <w:rPr>
          <w:rFonts w:cs="Times New Roman"/>
          <w:b/>
          <w:bCs/>
          <w:lang w:val="tr-TR"/>
        </w:rPr>
      </w:pPr>
    </w:p>
    <w:p w14:paraId="429514E5" w14:textId="77777777" w:rsidR="00604642" w:rsidRDefault="00604642" w:rsidP="00384A20">
      <w:pPr>
        <w:spacing w:before="120" w:after="0" w:line="240" w:lineRule="auto"/>
        <w:rPr>
          <w:rFonts w:cs="Times New Roman"/>
          <w:b/>
          <w:bCs/>
          <w:lang w:val="tr-TR"/>
        </w:rPr>
      </w:pPr>
    </w:p>
    <w:p w14:paraId="43F4D886" w14:textId="5B305AB8" w:rsidR="00604642" w:rsidRPr="00604642" w:rsidRDefault="00604642" w:rsidP="00604642">
      <w:pPr>
        <w:rPr>
          <w:rFonts w:cs="Times New Roman"/>
          <w:b/>
          <w:bCs/>
          <w:lang w:val="tr-TR"/>
        </w:rPr>
      </w:pPr>
      <w:r w:rsidRPr="00604642">
        <w:rPr>
          <w:lang w:val="tr-TR"/>
        </w:rPr>
        <w:t xml:space="preserve">The </w:t>
      </w:r>
      <w:r w:rsidRPr="00604642">
        <w:rPr>
          <w:lang w:val="tr-TR"/>
        </w:rPr>
        <w:t>descriptive statistics for the panel indicated substantial heterogeneity among countries. To test the proposition that this heterogeneity is systematic, we first investigated whether significant structural differences exist between the EU27 member states and the non-EU OECD countries in our sample.</w:t>
      </w:r>
      <w:r>
        <w:rPr>
          <w:lang w:val="tr-TR"/>
        </w:rPr>
        <w:t xml:space="preserve"> </w:t>
      </w:r>
      <w:r w:rsidRPr="00604642">
        <w:rPr>
          <w:lang w:val="tr-TR"/>
        </w:rPr>
        <w:t>We conducted an independent samples t-test (Welch's t-test, assuming unequal variances) to compare the group means for our key digitalization indicators. The analysis was performed on the pooled dataset to utilize all available data points for each specific indicator, rather than the listwise-deleted dataset reserved for the main regression models.</w:t>
      </w:r>
      <w:r>
        <w:rPr>
          <w:lang w:val="tr-TR"/>
        </w:rPr>
        <w:t xml:space="preserve"> </w:t>
      </w:r>
      <w:r w:rsidRPr="00604642">
        <w:rPr>
          <w:lang w:val="tr-TR"/>
        </w:rPr>
        <w:t xml:space="preserve">The results, presented in </w:t>
      </w:r>
      <w:r w:rsidR="00F24A1E">
        <w:rPr>
          <w:lang w:val="tr-TR"/>
        </w:rPr>
        <w:fldChar w:fldCharType="begin"/>
      </w:r>
      <w:r w:rsidR="00F24A1E">
        <w:rPr>
          <w:lang w:val="tr-TR"/>
        </w:rPr>
        <w:instrText xml:space="preserve"> REF _Ref213681567 \h </w:instrText>
      </w:r>
      <w:r w:rsidR="00F24A1E">
        <w:rPr>
          <w:lang w:val="tr-TR"/>
        </w:rPr>
      </w:r>
      <w:r w:rsidR="00F24A1E">
        <w:rPr>
          <w:lang w:val="tr-TR"/>
        </w:rPr>
        <w:fldChar w:fldCharType="separate"/>
      </w:r>
      <w:r w:rsidR="00F24A1E">
        <w:t xml:space="preserve">Table </w:t>
      </w:r>
      <w:r w:rsidR="00F24A1E">
        <w:rPr>
          <w:noProof/>
        </w:rPr>
        <w:t>2</w:t>
      </w:r>
      <w:r w:rsidR="00F24A1E">
        <w:rPr>
          <w:lang w:val="tr-TR"/>
        </w:rPr>
        <w:fldChar w:fldCharType="end"/>
      </w:r>
      <w:r w:rsidRPr="00604642">
        <w:rPr>
          <w:lang w:val="tr-TR"/>
        </w:rPr>
        <w:t>, confirm that significant differences in digitalization indicators exist between the EU and OECD countries.</w:t>
      </w:r>
    </w:p>
    <w:p w14:paraId="09FD077F" w14:textId="4E6D74E0" w:rsidR="00F24A1E" w:rsidRDefault="00F24A1E" w:rsidP="00F24A1E">
      <w:pPr>
        <w:pStyle w:val="ResimYazs"/>
        <w:keepNext/>
      </w:pPr>
      <w:bookmarkStart w:id="1" w:name="_Ref213681567"/>
      <w:r>
        <w:t xml:space="preserve">Table </w:t>
      </w:r>
      <w:r>
        <w:fldChar w:fldCharType="begin"/>
      </w:r>
      <w:r>
        <w:instrText xml:space="preserve"> SEQ Table \* ARABIC </w:instrText>
      </w:r>
      <w:r>
        <w:fldChar w:fldCharType="separate"/>
      </w:r>
      <w:r w:rsidR="00806464">
        <w:rPr>
          <w:noProof/>
        </w:rPr>
        <w:t>2</w:t>
      </w:r>
      <w:r>
        <w:fldChar w:fldCharType="end"/>
      </w:r>
      <w:bookmarkEnd w:id="1"/>
      <w:r>
        <w:t xml:space="preserve">. </w:t>
      </w:r>
      <w:r w:rsidRPr="00501015">
        <w:t>T-Test Results for Group Differences in Digitalization (EU27 vs. Non-EU OECD)</w:t>
      </w:r>
    </w:p>
    <w:tbl>
      <w:tblPr>
        <w:tblStyle w:val="TabloKlavuzu"/>
        <w:tblW w:w="0" w:type="auto"/>
        <w:tblLook w:val="04A0" w:firstRow="1" w:lastRow="0" w:firstColumn="1" w:lastColumn="0" w:noHBand="0" w:noVBand="1"/>
      </w:tblPr>
      <w:tblGrid>
        <w:gridCol w:w="1905"/>
        <w:gridCol w:w="918"/>
        <w:gridCol w:w="1655"/>
        <w:gridCol w:w="1261"/>
        <w:gridCol w:w="892"/>
        <w:gridCol w:w="783"/>
        <w:gridCol w:w="1216"/>
      </w:tblGrid>
      <w:tr w:rsidR="00604642" w:rsidRPr="00604642" w14:paraId="6E06216C" w14:textId="77777777" w:rsidTr="00604642">
        <w:tc>
          <w:tcPr>
            <w:tcW w:w="0" w:type="auto"/>
            <w:hideMark/>
          </w:tcPr>
          <w:p w14:paraId="78959BC2" w14:textId="0270F719" w:rsidR="00604642" w:rsidRPr="00604642" w:rsidRDefault="00604642" w:rsidP="00604642">
            <w:pPr>
              <w:pStyle w:val="AralkYok"/>
              <w:rPr>
                <w:szCs w:val="20"/>
                <w:lang w:val="tr-TR"/>
              </w:rPr>
            </w:pPr>
          </w:p>
        </w:tc>
        <w:tc>
          <w:tcPr>
            <w:tcW w:w="0" w:type="auto"/>
            <w:hideMark/>
          </w:tcPr>
          <w:p w14:paraId="1E85601C" w14:textId="77777777" w:rsidR="00604642" w:rsidRPr="00604642" w:rsidRDefault="00604642" w:rsidP="00604642">
            <w:pPr>
              <w:pStyle w:val="AralkYok"/>
              <w:rPr>
                <w:szCs w:val="20"/>
                <w:lang w:val="tr-TR"/>
              </w:rPr>
            </w:pPr>
            <w:r w:rsidRPr="00604642">
              <w:rPr>
                <w:szCs w:val="20"/>
                <w:lang w:val="tr-TR"/>
              </w:rPr>
              <w:t>EU27 Mean</w:t>
            </w:r>
          </w:p>
        </w:tc>
        <w:tc>
          <w:tcPr>
            <w:tcW w:w="0" w:type="auto"/>
            <w:hideMark/>
          </w:tcPr>
          <w:p w14:paraId="7DC4C4BF" w14:textId="77777777" w:rsidR="00604642" w:rsidRPr="00604642" w:rsidRDefault="00604642" w:rsidP="00604642">
            <w:pPr>
              <w:pStyle w:val="AralkYok"/>
              <w:rPr>
                <w:szCs w:val="20"/>
                <w:lang w:val="tr-TR"/>
              </w:rPr>
            </w:pPr>
            <w:r w:rsidRPr="00604642">
              <w:rPr>
                <w:szCs w:val="20"/>
                <w:lang w:val="tr-TR"/>
              </w:rPr>
              <w:t>OECD_Non_EU Mean</w:t>
            </w:r>
          </w:p>
        </w:tc>
        <w:tc>
          <w:tcPr>
            <w:tcW w:w="0" w:type="auto"/>
            <w:hideMark/>
          </w:tcPr>
          <w:p w14:paraId="00BCC488" w14:textId="77777777" w:rsidR="00604642" w:rsidRPr="00604642" w:rsidRDefault="00604642" w:rsidP="00604642">
            <w:pPr>
              <w:pStyle w:val="AralkYok"/>
              <w:rPr>
                <w:szCs w:val="20"/>
                <w:lang w:val="tr-TR"/>
              </w:rPr>
            </w:pPr>
            <w:r w:rsidRPr="00604642">
              <w:rPr>
                <w:szCs w:val="20"/>
                <w:lang w:val="tr-TR"/>
              </w:rPr>
              <w:t>Difference (EU - OECD)</w:t>
            </w:r>
          </w:p>
        </w:tc>
        <w:tc>
          <w:tcPr>
            <w:tcW w:w="0" w:type="auto"/>
            <w:hideMark/>
          </w:tcPr>
          <w:p w14:paraId="64CC53AB" w14:textId="77777777" w:rsidR="00604642" w:rsidRPr="00604642" w:rsidRDefault="00604642" w:rsidP="00604642">
            <w:pPr>
              <w:pStyle w:val="AralkYok"/>
              <w:rPr>
                <w:szCs w:val="20"/>
                <w:lang w:val="tr-TR"/>
              </w:rPr>
            </w:pPr>
            <w:r w:rsidRPr="00604642">
              <w:rPr>
                <w:szCs w:val="20"/>
                <w:lang w:val="tr-TR"/>
              </w:rPr>
              <w:t>T-Statistic</w:t>
            </w:r>
          </w:p>
        </w:tc>
        <w:tc>
          <w:tcPr>
            <w:tcW w:w="0" w:type="auto"/>
            <w:hideMark/>
          </w:tcPr>
          <w:p w14:paraId="0DB2C528" w14:textId="77777777" w:rsidR="00604642" w:rsidRPr="00604642" w:rsidRDefault="00604642" w:rsidP="00604642">
            <w:pPr>
              <w:pStyle w:val="AralkYok"/>
              <w:rPr>
                <w:szCs w:val="20"/>
                <w:lang w:val="tr-TR"/>
              </w:rPr>
            </w:pPr>
            <w:r w:rsidRPr="00604642">
              <w:rPr>
                <w:szCs w:val="20"/>
                <w:lang w:val="tr-TR"/>
              </w:rPr>
              <w:t>P-Value</w:t>
            </w:r>
          </w:p>
        </w:tc>
        <w:tc>
          <w:tcPr>
            <w:tcW w:w="0" w:type="auto"/>
            <w:hideMark/>
          </w:tcPr>
          <w:p w14:paraId="1E423C0B" w14:textId="77777777" w:rsidR="00604642" w:rsidRPr="00604642" w:rsidRDefault="00604642" w:rsidP="00604642">
            <w:pPr>
              <w:pStyle w:val="AralkYok"/>
              <w:rPr>
                <w:szCs w:val="20"/>
                <w:lang w:val="tr-TR"/>
              </w:rPr>
            </w:pPr>
            <w:r w:rsidRPr="00604642">
              <w:rPr>
                <w:szCs w:val="20"/>
                <w:lang w:val="tr-TR"/>
              </w:rPr>
              <w:t>Significant (p&lt;0.05)</w:t>
            </w:r>
          </w:p>
        </w:tc>
      </w:tr>
      <w:tr w:rsidR="00604642" w:rsidRPr="00604642" w14:paraId="22653759" w14:textId="77777777" w:rsidTr="00604642">
        <w:tc>
          <w:tcPr>
            <w:tcW w:w="0" w:type="auto"/>
            <w:hideMark/>
          </w:tcPr>
          <w:p w14:paraId="7C3D2B9C" w14:textId="77777777" w:rsidR="00604642" w:rsidRPr="00604642" w:rsidRDefault="00604642" w:rsidP="00604642">
            <w:pPr>
              <w:pStyle w:val="AralkYok"/>
              <w:rPr>
                <w:szCs w:val="20"/>
                <w:lang w:val="tr-TR"/>
              </w:rPr>
            </w:pPr>
            <w:r w:rsidRPr="00604642">
              <w:rPr>
                <w:szCs w:val="20"/>
                <w:lang w:val="tr-TR"/>
              </w:rPr>
              <w:t>digital_skills</w:t>
            </w:r>
          </w:p>
        </w:tc>
        <w:tc>
          <w:tcPr>
            <w:tcW w:w="0" w:type="auto"/>
            <w:hideMark/>
          </w:tcPr>
          <w:p w14:paraId="51BEF7C8" w14:textId="77777777" w:rsidR="00604642" w:rsidRPr="00604642" w:rsidRDefault="00604642" w:rsidP="00604642">
            <w:pPr>
              <w:pStyle w:val="AralkYok"/>
              <w:rPr>
                <w:szCs w:val="20"/>
                <w:lang w:val="tr-TR"/>
              </w:rPr>
            </w:pPr>
            <w:r w:rsidRPr="00604642">
              <w:rPr>
                <w:szCs w:val="20"/>
                <w:lang w:val="tr-TR"/>
              </w:rPr>
              <w:t>74.3649</w:t>
            </w:r>
          </w:p>
        </w:tc>
        <w:tc>
          <w:tcPr>
            <w:tcW w:w="0" w:type="auto"/>
            <w:hideMark/>
          </w:tcPr>
          <w:p w14:paraId="26349417" w14:textId="77777777" w:rsidR="00604642" w:rsidRPr="00604642" w:rsidRDefault="00604642" w:rsidP="00604642">
            <w:pPr>
              <w:pStyle w:val="AralkYok"/>
              <w:rPr>
                <w:szCs w:val="20"/>
                <w:lang w:val="tr-TR"/>
              </w:rPr>
            </w:pPr>
            <w:r w:rsidRPr="00604642">
              <w:rPr>
                <w:szCs w:val="20"/>
                <w:lang w:val="tr-TR"/>
              </w:rPr>
              <w:t>82.3393</w:t>
            </w:r>
          </w:p>
        </w:tc>
        <w:tc>
          <w:tcPr>
            <w:tcW w:w="0" w:type="auto"/>
            <w:hideMark/>
          </w:tcPr>
          <w:p w14:paraId="4A22076D" w14:textId="77777777" w:rsidR="00604642" w:rsidRPr="00604642" w:rsidRDefault="00604642" w:rsidP="00604642">
            <w:pPr>
              <w:pStyle w:val="AralkYok"/>
              <w:rPr>
                <w:szCs w:val="20"/>
                <w:lang w:val="tr-TR"/>
              </w:rPr>
            </w:pPr>
            <w:r w:rsidRPr="00604642">
              <w:rPr>
                <w:szCs w:val="20"/>
                <w:lang w:val="tr-TR"/>
              </w:rPr>
              <w:t>-7.9744</w:t>
            </w:r>
          </w:p>
        </w:tc>
        <w:tc>
          <w:tcPr>
            <w:tcW w:w="0" w:type="auto"/>
            <w:hideMark/>
          </w:tcPr>
          <w:p w14:paraId="1683CEF8" w14:textId="77777777" w:rsidR="00604642" w:rsidRPr="00604642" w:rsidRDefault="00604642" w:rsidP="00604642">
            <w:pPr>
              <w:pStyle w:val="AralkYok"/>
              <w:rPr>
                <w:szCs w:val="20"/>
                <w:lang w:val="tr-TR"/>
              </w:rPr>
            </w:pPr>
            <w:r w:rsidRPr="00604642">
              <w:rPr>
                <w:szCs w:val="20"/>
                <w:lang w:val="tr-TR"/>
              </w:rPr>
              <w:t>-2.7790</w:t>
            </w:r>
          </w:p>
        </w:tc>
        <w:tc>
          <w:tcPr>
            <w:tcW w:w="0" w:type="auto"/>
            <w:hideMark/>
          </w:tcPr>
          <w:p w14:paraId="59A7C8EC" w14:textId="77777777" w:rsidR="00604642" w:rsidRPr="00604642" w:rsidRDefault="00604642" w:rsidP="00604642">
            <w:pPr>
              <w:pStyle w:val="AralkYok"/>
              <w:rPr>
                <w:szCs w:val="20"/>
                <w:lang w:val="tr-TR"/>
              </w:rPr>
            </w:pPr>
            <w:r w:rsidRPr="00604642">
              <w:rPr>
                <w:szCs w:val="20"/>
                <w:lang w:val="tr-TR"/>
              </w:rPr>
              <w:t>0.0078</w:t>
            </w:r>
          </w:p>
        </w:tc>
        <w:tc>
          <w:tcPr>
            <w:tcW w:w="0" w:type="auto"/>
            <w:hideMark/>
          </w:tcPr>
          <w:p w14:paraId="14D3F4DB" w14:textId="77777777" w:rsidR="00604642" w:rsidRPr="00604642" w:rsidRDefault="00604642" w:rsidP="00604642">
            <w:pPr>
              <w:pStyle w:val="AralkYok"/>
              <w:rPr>
                <w:szCs w:val="20"/>
                <w:lang w:val="tr-TR"/>
              </w:rPr>
            </w:pPr>
            <w:r w:rsidRPr="00604642">
              <w:rPr>
                <w:szCs w:val="20"/>
                <w:lang w:val="tr-TR"/>
              </w:rPr>
              <w:t>Yes</w:t>
            </w:r>
          </w:p>
        </w:tc>
      </w:tr>
      <w:tr w:rsidR="00604642" w:rsidRPr="00604642" w14:paraId="72B99E78" w14:textId="77777777" w:rsidTr="00604642">
        <w:tc>
          <w:tcPr>
            <w:tcW w:w="0" w:type="auto"/>
            <w:hideMark/>
          </w:tcPr>
          <w:p w14:paraId="2009173E" w14:textId="77777777" w:rsidR="00604642" w:rsidRPr="00604642" w:rsidRDefault="00604642" w:rsidP="00604642">
            <w:pPr>
              <w:pStyle w:val="AralkYok"/>
              <w:rPr>
                <w:szCs w:val="20"/>
                <w:lang w:val="tr-TR"/>
              </w:rPr>
            </w:pPr>
            <w:r w:rsidRPr="00604642">
              <w:rPr>
                <w:szCs w:val="20"/>
                <w:lang w:val="tr-TR"/>
              </w:rPr>
              <w:t>digital_infrastructure</w:t>
            </w:r>
          </w:p>
        </w:tc>
        <w:tc>
          <w:tcPr>
            <w:tcW w:w="0" w:type="auto"/>
            <w:hideMark/>
          </w:tcPr>
          <w:p w14:paraId="17CD6B0F" w14:textId="77777777" w:rsidR="00604642" w:rsidRPr="00604642" w:rsidRDefault="00604642" w:rsidP="00604642">
            <w:pPr>
              <w:pStyle w:val="AralkYok"/>
              <w:rPr>
                <w:szCs w:val="20"/>
                <w:lang w:val="tr-TR"/>
              </w:rPr>
            </w:pPr>
            <w:r w:rsidRPr="00604642">
              <w:rPr>
                <w:szCs w:val="20"/>
                <w:lang w:val="tr-TR"/>
              </w:rPr>
              <w:t>0.0092</w:t>
            </w:r>
          </w:p>
        </w:tc>
        <w:tc>
          <w:tcPr>
            <w:tcW w:w="0" w:type="auto"/>
            <w:hideMark/>
          </w:tcPr>
          <w:p w14:paraId="3E90E781" w14:textId="77777777" w:rsidR="00604642" w:rsidRPr="00604642" w:rsidRDefault="00604642" w:rsidP="00604642">
            <w:pPr>
              <w:pStyle w:val="AralkYok"/>
              <w:rPr>
                <w:szCs w:val="20"/>
                <w:lang w:val="tr-TR"/>
              </w:rPr>
            </w:pPr>
            <w:r w:rsidRPr="00604642">
              <w:rPr>
                <w:szCs w:val="20"/>
                <w:lang w:val="tr-TR"/>
              </w:rPr>
              <w:t>0.0063</w:t>
            </w:r>
          </w:p>
        </w:tc>
        <w:tc>
          <w:tcPr>
            <w:tcW w:w="0" w:type="auto"/>
            <w:hideMark/>
          </w:tcPr>
          <w:p w14:paraId="580E1D86" w14:textId="77777777" w:rsidR="00604642" w:rsidRPr="00604642" w:rsidRDefault="00604642" w:rsidP="00604642">
            <w:pPr>
              <w:pStyle w:val="AralkYok"/>
              <w:rPr>
                <w:szCs w:val="20"/>
                <w:lang w:val="tr-TR"/>
              </w:rPr>
            </w:pPr>
            <w:r w:rsidRPr="00604642">
              <w:rPr>
                <w:szCs w:val="20"/>
                <w:lang w:val="tr-TR"/>
              </w:rPr>
              <w:t>0.0029</w:t>
            </w:r>
          </w:p>
        </w:tc>
        <w:tc>
          <w:tcPr>
            <w:tcW w:w="0" w:type="auto"/>
            <w:hideMark/>
          </w:tcPr>
          <w:p w14:paraId="308F7978" w14:textId="77777777" w:rsidR="00604642" w:rsidRPr="00604642" w:rsidRDefault="00604642" w:rsidP="00604642">
            <w:pPr>
              <w:pStyle w:val="AralkYok"/>
              <w:rPr>
                <w:szCs w:val="20"/>
                <w:lang w:val="tr-TR"/>
              </w:rPr>
            </w:pPr>
            <w:r w:rsidRPr="00604642">
              <w:rPr>
                <w:szCs w:val="20"/>
                <w:lang w:val="tr-TR"/>
              </w:rPr>
              <w:t>2.9872</w:t>
            </w:r>
          </w:p>
        </w:tc>
        <w:tc>
          <w:tcPr>
            <w:tcW w:w="0" w:type="auto"/>
            <w:hideMark/>
          </w:tcPr>
          <w:p w14:paraId="0B33B7A1" w14:textId="77777777" w:rsidR="00604642" w:rsidRPr="00604642" w:rsidRDefault="00604642" w:rsidP="00604642">
            <w:pPr>
              <w:pStyle w:val="AralkYok"/>
              <w:rPr>
                <w:szCs w:val="20"/>
                <w:lang w:val="tr-TR"/>
              </w:rPr>
            </w:pPr>
            <w:r w:rsidRPr="00604642">
              <w:rPr>
                <w:szCs w:val="20"/>
                <w:lang w:val="tr-TR"/>
              </w:rPr>
              <w:t>0.0071</w:t>
            </w:r>
          </w:p>
        </w:tc>
        <w:tc>
          <w:tcPr>
            <w:tcW w:w="0" w:type="auto"/>
            <w:hideMark/>
          </w:tcPr>
          <w:p w14:paraId="5A185675" w14:textId="77777777" w:rsidR="00604642" w:rsidRPr="00604642" w:rsidRDefault="00604642" w:rsidP="00604642">
            <w:pPr>
              <w:pStyle w:val="AralkYok"/>
              <w:rPr>
                <w:szCs w:val="20"/>
                <w:lang w:val="tr-TR"/>
              </w:rPr>
            </w:pPr>
            <w:r w:rsidRPr="00604642">
              <w:rPr>
                <w:szCs w:val="20"/>
                <w:lang w:val="tr-TR"/>
              </w:rPr>
              <w:t>Yes</w:t>
            </w:r>
          </w:p>
        </w:tc>
      </w:tr>
      <w:tr w:rsidR="00604642" w:rsidRPr="00604642" w14:paraId="34AD2AFA" w14:textId="77777777" w:rsidTr="00604642">
        <w:tc>
          <w:tcPr>
            <w:tcW w:w="0" w:type="auto"/>
            <w:hideMark/>
          </w:tcPr>
          <w:p w14:paraId="560144DF" w14:textId="77777777" w:rsidR="00604642" w:rsidRPr="00604642" w:rsidRDefault="00604642" w:rsidP="00604642">
            <w:pPr>
              <w:pStyle w:val="AralkYok"/>
              <w:rPr>
                <w:szCs w:val="20"/>
                <w:lang w:val="tr-TR"/>
              </w:rPr>
            </w:pPr>
            <w:r w:rsidRPr="00604642">
              <w:rPr>
                <w:szCs w:val="20"/>
                <w:lang w:val="tr-TR"/>
              </w:rPr>
              <w:t>servitization</w:t>
            </w:r>
          </w:p>
        </w:tc>
        <w:tc>
          <w:tcPr>
            <w:tcW w:w="0" w:type="auto"/>
            <w:hideMark/>
          </w:tcPr>
          <w:p w14:paraId="09BC12C8" w14:textId="77777777" w:rsidR="00604642" w:rsidRPr="00604642" w:rsidRDefault="00604642" w:rsidP="00604642">
            <w:pPr>
              <w:pStyle w:val="AralkYok"/>
              <w:rPr>
                <w:szCs w:val="20"/>
                <w:lang w:val="tr-TR"/>
              </w:rPr>
            </w:pPr>
            <w:r w:rsidRPr="00604642">
              <w:rPr>
                <w:szCs w:val="20"/>
                <w:lang w:val="tr-TR"/>
              </w:rPr>
              <w:t>69.9130</w:t>
            </w:r>
          </w:p>
        </w:tc>
        <w:tc>
          <w:tcPr>
            <w:tcW w:w="0" w:type="auto"/>
            <w:hideMark/>
          </w:tcPr>
          <w:p w14:paraId="0F292820" w14:textId="77777777" w:rsidR="00604642" w:rsidRPr="00604642" w:rsidRDefault="00604642" w:rsidP="00604642">
            <w:pPr>
              <w:pStyle w:val="AralkYok"/>
              <w:rPr>
                <w:szCs w:val="20"/>
                <w:lang w:val="tr-TR"/>
              </w:rPr>
            </w:pPr>
            <w:r w:rsidRPr="00604642">
              <w:rPr>
                <w:szCs w:val="20"/>
                <w:lang w:val="tr-TR"/>
              </w:rPr>
              <w:t>73.1422</w:t>
            </w:r>
          </w:p>
        </w:tc>
        <w:tc>
          <w:tcPr>
            <w:tcW w:w="0" w:type="auto"/>
            <w:hideMark/>
          </w:tcPr>
          <w:p w14:paraId="38F50035" w14:textId="77777777" w:rsidR="00604642" w:rsidRPr="00604642" w:rsidRDefault="00604642" w:rsidP="00604642">
            <w:pPr>
              <w:pStyle w:val="AralkYok"/>
              <w:rPr>
                <w:szCs w:val="20"/>
                <w:lang w:val="tr-TR"/>
              </w:rPr>
            </w:pPr>
            <w:r w:rsidRPr="00604642">
              <w:rPr>
                <w:szCs w:val="20"/>
                <w:lang w:val="tr-TR"/>
              </w:rPr>
              <w:t>-3.2292</w:t>
            </w:r>
          </w:p>
        </w:tc>
        <w:tc>
          <w:tcPr>
            <w:tcW w:w="0" w:type="auto"/>
            <w:hideMark/>
          </w:tcPr>
          <w:p w14:paraId="2A15CE04" w14:textId="77777777" w:rsidR="00604642" w:rsidRPr="00604642" w:rsidRDefault="00604642" w:rsidP="00604642">
            <w:pPr>
              <w:pStyle w:val="AralkYok"/>
              <w:rPr>
                <w:szCs w:val="20"/>
                <w:lang w:val="tr-TR"/>
              </w:rPr>
            </w:pPr>
            <w:r w:rsidRPr="00604642">
              <w:rPr>
                <w:szCs w:val="20"/>
                <w:lang w:val="tr-TR"/>
              </w:rPr>
              <w:t>-2.4964</w:t>
            </w:r>
          </w:p>
        </w:tc>
        <w:tc>
          <w:tcPr>
            <w:tcW w:w="0" w:type="auto"/>
            <w:hideMark/>
          </w:tcPr>
          <w:p w14:paraId="218D4459" w14:textId="77777777" w:rsidR="00604642" w:rsidRPr="00604642" w:rsidRDefault="00604642" w:rsidP="00604642">
            <w:pPr>
              <w:pStyle w:val="AralkYok"/>
              <w:rPr>
                <w:szCs w:val="20"/>
                <w:lang w:val="tr-TR"/>
              </w:rPr>
            </w:pPr>
            <w:r w:rsidRPr="00604642">
              <w:rPr>
                <w:szCs w:val="20"/>
                <w:lang w:val="tr-TR"/>
              </w:rPr>
              <w:t>0.0143</w:t>
            </w:r>
          </w:p>
        </w:tc>
        <w:tc>
          <w:tcPr>
            <w:tcW w:w="0" w:type="auto"/>
            <w:hideMark/>
          </w:tcPr>
          <w:p w14:paraId="4383DC74" w14:textId="77777777" w:rsidR="00604642" w:rsidRPr="00604642" w:rsidRDefault="00604642" w:rsidP="00604642">
            <w:pPr>
              <w:pStyle w:val="AralkYok"/>
              <w:rPr>
                <w:szCs w:val="20"/>
                <w:lang w:val="tr-TR"/>
              </w:rPr>
            </w:pPr>
            <w:r w:rsidRPr="00604642">
              <w:rPr>
                <w:szCs w:val="20"/>
                <w:lang w:val="tr-TR"/>
              </w:rPr>
              <w:t>Yes</w:t>
            </w:r>
          </w:p>
        </w:tc>
      </w:tr>
    </w:tbl>
    <w:p w14:paraId="00D79115" w14:textId="77777777" w:rsidR="00604642" w:rsidRDefault="00604642" w:rsidP="00604642">
      <w:pPr>
        <w:rPr>
          <w:lang w:val="tr-TR"/>
        </w:rPr>
      </w:pPr>
    </w:p>
    <w:p w14:paraId="70E40A64" w14:textId="4E5A7F6E" w:rsidR="00604642" w:rsidRPr="00604642" w:rsidRDefault="00604642" w:rsidP="00604642">
      <w:pPr>
        <w:rPr>
          <w:lang w:val="tr-TR"/>
        </w:rPr>
      </w:pPr>
      <w:r w:rsidRPr="00604642">
        <w:rPr>
          <w:lang w:val="tr-TR"/>
        </w:rPr>
        <w:t>The analysis reveals that the EU27 and non-EU OECD groups are statistically distinct across all three dimensions of digitalization.</w:t>
      </w:r>
      <w:r>
        <w:rPr>
          <w:lang w:val="tr-TR"/>
        </w:rPr>
        <w:t xml:space="preserve"> </w:t>
      </w:r>
      <w:r w:rsidRPr="00604642">
        <w:rPr>
          <w:lang w:val="tr-TR"/>
        </w:rPr>
        <w:t xml:space="preserve"> The non-EU OECD cohort demonstrates a significantly higher rate of digital_skills (our proxy for frequent internet use) (M = 82.34) compared to the EU27 (M = 74.36), with the difference being statistically significant (t = -2.78, p &lt; 0.01). Conversely, the EU27 countries show a significantly higher average for our digital_infrastructure proxy (M = 0.0092) than their non-EU OECD counterparts (M = 0.0063), a result that is also highly significant (t = 2.99, p &lt; 0.01).</w:t>
      </w:r>
      <w:r>
        <w:rPr>
          <w:lang w:val="tr-TR"/>
        </w:rPr>
        <w:t xml:space="preserve"> </w:t>
      </w:r>
      <w:r w:rsidRPr="00604642">
        <w:rPr>
          <w:lang w:val="tr-TR"/>
        </w:rPr>
        <w:t>Finally, the non-EU OECD economies are significantly more service-oriented (our servitization proxy) (M = 73.14) than the EU27 (M = 69.91), (t = -2.50, p &lt; 0.05).</w:t>
      </w:r>
    </w:p>
    <w:p w14:paraId="173BB16B" w14:textId="3870B6A8" w:rsidR="00712FEC" w:rsidRDefault="00712FEC" w:rsidP="00F24A1E">
      <w:pPr>
        <w:spacing w:before="120" w:after="0" w:line="240" w:lineRule="auto"/>
        <w:rPr>
          <w:rFonts w:cs="Times New Roman"/>
          <w:lang w:val="tr-TR"/>
        </w:rPr>
      </w:pPr>
      <w:r w:rsidRPr="00712FEC">
        <w:rPr>
          <w:rFonts w:cs="Times New Roman"/>
          <w:lang w:val="tr-TR"/>
        </w:rPr>
        <w:br/>
      </w:r>
      <w:r w:rsidRPr="00712FEC">
        <w:rPr>
          <w:rFonts w:cs="Times New Roman"/>
          <w:b/>
          <w:bCs/>
          <w:lang w:val="tr-TR"/>
        </w:rPr>
        <w:t>H1 ve H2 Desteği:</w:t>
      </w:r>
      <w:r w:rsidRPr="00712FEC">
        <w:rPr>
          <w:rFonts w:cs="Times New Roman"/>
          <w:lang w:val="tr-TR"/>
        </w:rPr>
        <w:t> </w:t>
      </w:r>
      <w:r w:rsidRPr="00712FEC">
        <w:rPr>
          <w:rFonts w:cs="Times New Roman"/>
          <w:b/>
          <w:bCs/>
          <w:lang w:val="tr-TR"/>
        </w:rPr>
        <w:t>Döngüsel tasarımın</w:t>
      </w:r>
      <w:r w:rsidRPr="00712FEC">
        <w:rPr>
          <w:rFonts w:cs="Times New Roman"/>
          <w:lang w:val="tr-TR"/>
        </w:rPr>
        <w:t> vekil göstergesi olan yeşil patent sayıları, </w:t>
      </w:r>
      <w:r w:rsidRPr="00712FEC">
        <w:rPr>
          <w:rFonts w:cs="Times New Roman"/>
          <w:b/>
          <w:bCs/>
          <w:lang w:val="tr-TR"/>
        </w:rPr>
        <w:t>maddi döngüsellik endeksini</w:t>
      </w:r>
      <w:r w:rsidRPr="00712FEC">
        <w:rPr>
          <w:rFonts w:cs="Times New Roman"/>
          <w:lang w:val="tr-TR"/>
        </w:rPr>
        <w:t> istatistiksel olarak anlamlı şekilde olumlu yönde etkilerken (β = 0.18, p&lt;0.05), </w:t>
      </w:r>
      <w:r w:rsidRPr="00712FEC">
        <w:rPr>
          <w:rFonts w:cs="Times New Roman"/>
          <w:b/>
          <w:bCs/>
          <w:lang w:val="tr-TR"/>
        </w:rPr>
        <w:t>hizmet başına GHG yoğunluğunu</w:t>
      </w:r>
      <w:r w:rsidRPr="00712FEC">
        <w:rPr>
          <w:rFonts w:cs="Times New Roman"/>
          <w:lang w:val="tr-TR"/>
        </w:rPr>
        <w:t> negatif yönde etkilemiştir (β = -0.22, p&lt;0.01). Bu etki, modelde </w:t>
      </w:r>
      <w:r w:rsidRPr="00712FEC">
        <w:rPr>
          <w:rFonts w:cs="Times New Roman"/>
          <w:b/>
          <w:bCs/>
          <w:lang w:val="tr-TR"/>
        </w:rPr>
        <w:t>dijital yetkinlikler</w:t>
      </w:r>
      <w:r w:rsidRPr="00712FEC">
        <w:rPr>
          <w:rFonts w:cs="Times New Roman"/>
          <w:lang w:val="tr-TR"/>
        </w:rPr>
        <w:t xml:space="preserve"> (büyük veri kullanımı) kontrol edildiğinde daha da güçlenmiş, </w:t>
      </w:r>
      <w:r w:rsidRPr="00712FEC">
        <w:rPr>
          <w:rFonts w:cs="Times New Roman"/>
          <w:lang w:val="tr-TR"/>
        </w:rPr>
        <w:lastRenderedPageBreak/>
        <w:t>dijitalleşmenin tasarımın etkisini aracılık ettiği (mediate) görülmüştür. Bu bulgu, H1 ve H2'yi desteklemektedir.</w:t>
      </w:r>
    </w:p>
    <w:p w14:paraId="020E810B" w14:textId="26EF95CE" w:rsidR="00F24A1E" w:rsidRDefault="00F24A1E" w:rsidP="00F24A1E">
      <w:pPr>
        <w:spacing w:before="120" w:after="0" w:line="240" w:lineRule="auto"/>
        <w:rPr>
          <w:rFonts w:cs="Times New Roman"/>
          <w:lang w:val="tr-TR"/>
        </w:rPr>
      </w:pPr>
    </w:p>
    <w:p w14:paraId="57FF01C7" w14:textId="5DE9C799" w:rsidR="00795B61" w:rsidRPr="00795B61" w:rsidRDefault="00795B61" w:rsidP="00795B61">
      <w:pPr>
        <w:spacing w:before="120" w:after="0" w:line="240" w:lineRule="auto"/>
        <w:rPr>
          <w:rFonts w:cs="Times New Roman"/>
          <w:lang w:val="tr-TR"/>
        </w:rPr>
      </w:pPr>
      <w:r>
        <w:rPr>
          <w:rFonts w:cs="Times New Roman"/>
          <w:lang w:val="tr-TR"/>
        </w:rPr>
        <w:t>T</w:t>
      </w:r>
      <w:r w:rsidRPr="00795B61">
        <w:rPr>
          <w:rFonts w:cs="Times New Roman"/>
          <w:lang w:val="tr-TR"/>
        </w:rPr>
        <w:t xml:space="preserve">he Pearson correlation coefficient was calculated to assess the linear association between green patent counts and material circularity </w:t>
      </w:r>
      <w:r w:rsidR="0053231E">
        <w:rPr>
          <w:rFonts w:cs="Times New Roman"/>
          <w:lang w:val="tr-TR"/>
        </w:rPr>
        <w:t>use rate</w:t>
      </w:r>
      <w:r w:rsidRPr="00795B61">
        <w:rPr>
          <w:rFonts w:cs="Times New Roman"/>
          <w:lang w:val="tr-TR"/>
        </w:rPr>
        <w:t xml:space="preserve"> across 209 observations.</w:t>
      </w:r>
    </w:p>
    <w:p w14:paraId="6CF41FC2" w14:textId="77777777" w:rsidR="00795B61" w:rsidRPr="00795B61" w:rsidRDefault="00795B61" w:rsidP="00795B61">
      <w:pPr>
        <w:numPr>
          <w:ilvl w:val="0"/>
          <w:numId w:val="34"/>
        </w:numPr>
        <w:spacing w:before="120" w:after="0" w:line="240" w:lineRule="auto"/>
        <w:rPr>
          <w:rFonts w:cs="Times New Roman"/>
          <w:lang w:val="tr-TR"/>
        </w:rPr>
      </w:pPr>
      <w:r w:rsidRPr="00795B61">
        <w:rPr>
          <w:rFonts w:cs="Times New Roman"/>
          <w:b/>
          <w:bCs/>
          <w:lang w:val="tr-TR"/>
        </w:rPr>
        <w:t>Pearson correlation coefficient (r):</w:t>
      </w:r>
      <w:r w:rsidRPr="00795B61">
        <w:rPr>
          <w:rFonts w:cs="Times New Roman"/>
          <w:lang w:val="tr-TR"/>
        </w:rPr>
        <w:t xml:space="preserve"> 0.460</w:t>
      </w:r>
    </w:p>
    <w:p w14:paraId="6C7347F7" w14:textId="77777777" w:rsidR="00795B61" w:rsidRPr="00795B61" w:rsidRDefault="00795B61" w:rsidP="00795B61">
      <w:pPr>
        <w:numPr>
          <w:ilvl w:val="0"/>
          <w:numId w:val="34"/>
        </w:numPr>
        <w:spacing w:before="120" w:after="0" w:line="240" w:lineRule="auto"/>
        <w:rPr>
          <w:rFonts w:cs="Times New Roman"/>
          <w:lang w:val="tr-TR"/>
        </w:rPr>
      </w:pPr>
      <w:r w:rsidRPr="00795B61">
        <w:rPr>
          <w:rFonts w:cs="Times New Roman"/>
          <w:b/>
          <w:bCs/>
          <w:lang w:val="tr-TR"/>
        </w:rPr>
        <w:t>P-value:</w:t>
      </w:r>
      <w:r w:rsidRPr="00795B61">
        <w:rPr>
          <w:rFonts w:cs="Times New Roman"/>
          <w:lang w:val="tr-TR"/>
        </w:rPr>
        <w:t xml:space="preserve"> &lt; 0.001</w:t>
      </w:r>
    </w:p>
    <w:p w14:paraId="21209694" w14:textId="1D855C8F" w:rsidR="00795B61" w:rsidRPr="00795B61" w:rsidRDefault="00795B61" w:rsidP="00795B61">
      <w:pPr>
        <w:spacing w:before="120" w:after="0" w:line="240" w:lineRule="auto"/>
        <w:rPr>
          <w:rFonts w:cs="Times New Roman"/>
          <w:lang w:val="tr-TR"/>
        </w:rPr>
      </w:pPr>
      <w:r w:rsidRPr="00795B61">
        <w:rPr>
          <w:rFonts w:cs="Times New Roman"/>
          <w:lang w:val="tr-TR"/>
        </w:rPr>
        <w:t>The analysis indicates a statistically significant positive relationship between green patents and material circularity. This finding supports the hypothesis that higher innovation activity in circular design is associated with greater material reuse and recycling within the economy. The strength of the correlation (r ≈ 0.46) suggests a moderate relationship, consistent with the panel regression results.</w:t>
      </w:r>
      <w:r w:rsidR="0053231E">
        <w:rPr>
          <w:rFonts w:cs="Times New Roman"/>
          <w:lang w:val="tr-TR"/>
        </w:rPr>
        <w:t xml:space="preserve"> </w:t>
      </w:r>
      <w:r w:rsidR="0053231E">
        <w:rPr>
          <w:rFonts w:cs="Times New Roman"/>
          <w:lang w:val="tr-TR"/>
        </w:rPr>
        <w:fldChar w:fldCharType="begin"/>
      </w:r>
      <w:r w:rsidR="0053231E">
        <w:rPr>
          <w:rFonts w:cs="Times New Roman"/>
          <w:lang w:val="tr-TR"/>
        </w:rPr>
        <w:instrText xml:space="preserve"> REF _Ref213682695 \h </w:instrText>
      </w:r>
      <w:r w:rsidR="0053231E">
        <w:rPr>
          <w:rFonts w:cs="Times New Roman"/>
          <w:lang w:val="tr-TR"/>
        </w:rPr>
      </w:r>
      <w:r w:rsidR="0053231E">
        <w:rPr>
          <w:rFonts w:cs="Times New Roman"/>
          <w:lang w:val="tr-TR"/>
        </w:rPr>
        <w:fldChar w:fldCharType="separate"/>
      </w:r>
      <w:r w:rsidR="0053231E">
        <w:t xml:space="preserve">Figure </w:t>
      </w:r>
      <w:r w:rsidR="0053231E">
        <w:rPr>
          <w:noProof/>
        </w:rPr>
        <w:t>1</w:t>
      </w:r>
      <w:r w:rsidR="0053231E">
        <w:rPr>
          <w:rFonts w:cs="Times New Roman"/>
          <w:lang w:val="tr-TR"/>
        </w:rPr>
        <w:fldChar w:fldCharType="end"/>
      </w:r>
      <w:r w:rsidR="0053231E">
        <w:rPr>
          <w:rFonts w:cs="Times New Roman"/>
          <w:lang w:val="tr-TR"/>
        </w:rPr>
        <w:t xml:space="preserve"> </w:t>
      </w:r>
      <w:r w:rsidRPr="00795B61">
        <w:rPr>
          <w:rFonts w:cs="Times New Roman"/>
          <w:lang w:val="tr-TR"/>
        </w:rPr>
        <w:t>illustrate the linear trend and variability, confirming the positive association.</w:t>
      </w:r>
    </w:p>
    <w:p w14:paraId="6CB3318F" w14:textId="77777777" w:rsidR="0053231E" w:rsidRDefault="0053231E" w:rsidP="0053231E">
      <w:pPr>
        <w:keepNext/>
        <w:spacing w:before="120" w:after="0" w:line="240" w:lineRule="auto"/>
        <w:jc w:val="center"/>
      </w:pPr>
      <w:r>
        <w:rPr>
          <w:noProof/>
        </w:rPr>
        <w:drawing>
          <wp:inline distT="0" distB="0" distL="0" distR="0" wp14:anchorId="66956FB7" wp14:editId="1824E783">
            <wp:extent cx="5486400" cy="3291840"/>
            <wp:effectExtent l="0" t="0" r="0" b="3810"/>
            <wp:docPr id="4655863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1C4DB0D2" w14:textId="53E91758" w:rsidR="00F24A1E" w:rsidRDefault="0053231E" w:rsidP="0053231E">
      <w:pPr>
        <w:pStyle w:val="ResimYazs"/>
        <w:rPr>
          <w:rFonts w:cs="Times New Roman"/>
          <w:lang w:val="tr-TR"/>
        </w:rPr>
      </w:pPr>
      <w:bookmarkStart w:id="2" w:name="_Ref213682695"/>
      <w:r>
        <w:t xml:space="preserve">Figure </w:t>
      </w:r>
      <w:r>
        <w:fldChar w:fldCharType="begin"/>
      </w:r>
      <w:r>
        <w:instrText xml:space="preserve"> SEQ Figure \* ARABIC </w:instrText>
      </w:r>
      <w:r>
        <w:fldChar w:fldCharType="separate"/>
      </w:r>
      <w:r w:rsidR="00806464">
        <w:rPr>
          <w:noProof/>
        </w:rPr>
        <w:t>1</w:t>
      </w:r>
      <w:r>
        <w:fldChar w:fldCharType="end"/>
      </w:r>
      <w:bookmarkEnd w:id="2"/>
      <w:r>
        <w:t xml:space="preserve">. </w:t>
      </w:r>
      <w:r w:rsidRPr="00711365">
        <w:t>Comparison Green Patents vs. Circular Material Use Rate</w:t>
      </w:r>
    </w:p>
    <w:p w14:paraId="681217E1" w14:textId="77777777" w:rsidR="00712FEC" w:rsidRDefault="00712FEC" w:rsidP="00384A20">
      <w:pPr>
        <w:numPr>
          <w:ilvl w:val="0"/>
          <w:numId w:val="21"/>
        </w:numPr>
        <w:spacing w:before="120" w:after="0" w:line="240" w:lineRule="auto"/>
        <w:ind w:left="0"/>
        <w:rPr>
          <w:rFonts w:cs="Times New Roman"/>
          <w:lang w:val="tr-TR"/>
        </w:rPr>
      </w:pPr>
      <w:r w:rsidRPr="00712FEC">
        <w:rPr>
          <w:rFonts w:cs="Times New Roman"/>
          <w:b/>
          <w:bCs/>
          <w:lang w:val="tr-TR"/>
        </w:rPr>
        <w:t>H3 Kısmi Desteği:</w:t>
      </w:r>
      <w:r w:rsidRPr="00712FEC">
        <w:rPr>
          <w:rFonts w:cs="Times New Roman"/>
          <w:lang w:val="tr-TR"/>
        </w:rPr>
        <w:t> </w:t>
      </w:r>
      <w:r w:rsidRPr="00712FEC">
        <w:rPr>
          <w:rFonts w:cs="Times New Roman"/>
          <w:b/>
          <w:bCs/>
          <w:lang w:val="tr-TR"/>
        </w:rPr>
        <w:t>Dijital altyapı yatırımlarının</w:t>
      </w:r>
      <w:r w:rsidRPr="00712FEC">
        <w:rPr>
          <w:rFonts w:cs="Times New Roman"/>
          <w:lang w:val="tr-TR"/>
        </w:rPr>
        <w:t> (BT/GSYİH), </w:t>
      </w:r>
      <w:r w:rsidRPr="00712FEC">
        <w:rPr>
          <w:rFonts w:cs="Times New Roman"/>
          <w:b/>
          <w:bCs/>
          <w:lang w:val="tr-TR"/>
        </w:rPr>
        <w:t>geri dönüşüm oranları</w:t>
      </w:r>
      <w:r w:rsidRPr="00712FEC">
        <w:rPr>
          <w:rFonts w:cs="Times New Roman"/>
          <w:lang w:val="tr-TR"/>
        </w:rPr>
        <w:t> üzerindeki doğrudan etkisi pozitif yönde olmasına rağmen (β = 0.14, p&lt;0.1), istatistiksel anlamlılık sınır düzeyinde çıkmıştır. Bu, H3'e kısmi destek sağlamakta ve izlenebilirliğin etkisinin daha karmaşık mekanizmalarla işlediğine işaret etmektedir.</w:t>
      </w:r>
    </w:p>
    <w:p w14:paraId="4C15D374" w14:textId="059A73E4" w:rsidR="00EC3C6D" w:rsidRPr="00EC3C6D" w:rsidRDefault="00EC3C6D" w:rsidP="00EC3C6D">
      <w:pPr>
        <w:spacing w:before="120" w:after="0" w:line="240" w:lineRule="auto"/>
        <w:rPr>
          <w:rFonts w:cs="Times New Roman"/>
          <w:lang w:val="tr-TR"/>
        </w:rPr>
      </w:pPr>
      <w:r w:rsidRPr="00EC3C6D">
        <w:rPr>
          <w:rFonts w:cs="Times New Roman"/>
          <w:lang w:val="tr-TR"/>
        </w:rPr>
        <w:t>Hypothesis H3 proposed that digital infrastructure investments (proxied by digital_infrastructure) would have a positive and at least partially significant impact on recycling_rate (p &lt; 0.1).</w:t>
      </w:r>
      <w:r>
        <w:rPr>
          <w:rFonts w:cs="Times New Roman"/>
          <w:lang w:val="tr-TR"/>
        </w:rPr>
        <w:t xml:space="preserve"> </w:t>
      </w:r>
      <w:r w:rsidRPr="00EC3C6D">
        <w:rPr>
          <w:rFonts w:cs="Times New Roman"/>
          <w:lang w:val="tr-TR"/>
        </w:rPr>
        <w:t xml:space="preserve">Our analysis, however, reveals a complex picture that </w:t>
      </w:r>
      <w:r w:rsidRPr="00EC3C6D">
        <w:rPr>
          <w:rFonts w:cs="Times New Roman"/>
          <w:b/>
          <w:bCs/>
          <w:lang w:val="tr-TR"/>
        </w:rPr>
        <w:t>does not provide support for Hypothesis H3.</w:t>
      </w:r>
      <w:r w:rsidRPr="00EC3C6D">
        <w:rPr>
          <w:rFonts w:cs="Times New Roman"/>
          <w:lang w:val="tr-TR"/>
        </w:rPr>
        <w:t xml:space="preserve"> The diagnostic analysis of the effective sample (N=87) uncovered a significant "Simpson's Paradox" type effect.</w:t>
      </w:r>
      <w:r>
        <w:rPr>
          <w:rFonts w:cs="Times New Roman"/>
          <w:lang w:val="tr-TR"/>
        </w:rPr>
        <w:t xml:space="preserve">  </w:t>
      </w:r>
      <w:r w:rsidRPr="00EC3C6D">
        <w:rPr>
          <w:rFonts w:cs="Times New Roman"/>
          <w:lang w:val="tr-TR"/>
        </w:rPr>
        <w:t>However, this pooled "between-effect" correlation is often spurious and driven by omitted national characteristics. The more rigorous fixed-effects (FE) model, which controls for these unobserved variables and tests the "within-country" effect, tells the true story.</w:t>
      </w:r>
      <w:r>
        <w:rPr>
          <w:rFonts w:cs="Times New Roman"/>
          <w:lang w:val="tr-TR"/>
        </w:rPr>
        <w:t xml:space="preserve"> </w:t>
      </w:r>
      <w:r w:rsidRPr="00EC3C6D">
        <w:rPr>
          <w:rFonts w:cs="Times New Roman"/>
          <w:lang w:val="tr-TR"/>
        </w:rPr>
        <w:t xml:space="preserve">As shown in </w:t>
      </w:r>
      <w:r>
        <w:rPr>
          <w:rFonts w:cs="Times New Roman"/>
          <w:lang w:val="tr-TR"/>
        </w:rPr>
        <w:fldChar w:fldCharType="begin"/>
      </w:r>
      <w:r>
        <w:rPr>
          <w:rFonts w:cs="Times New Roman"/>
          <w:lang w:val="tr-TR"/>
        </w:rPr>
        <w:instrText xml:space="preserve"> REF _Ref213683314 \h </w:instrText>
      </w:r>
      <w:r>
        <w:rPr>
          <w:rFonts w:cs="Times New Roman"/>
          <w:lang w:val="tr-TR"/>
        </w:rPr>
      </w:r>
      <w:r>
        <w:rPr>
          <w:rFonts w:cs="Times New Roman"/>
          <w:lang w:val="tr-TR"/>
        </w:rPr>
        <w:fldChar w:fldCharType="separate"/>
      </w:r>
      <w:r>
        <w:t xml:space="preserve">Table </w:t>
      </w:r>
      <w:r>
        <w:rPr>
          <w:noProof/>
        </w:rPr>
        <w:t>3</w:t>
      </w:r>
      <w:r>
        <w:rPr>
          <w:rFonts w:cs="Times New Roman"/>
          <w:lang w:val="tr-TR"/>
        </w:rPr>
        <w:fldChar w:fldCharType="end"/>
      </w:r>
      <w:r w:rsidRPr="00EC3C6D">
        <w:rPr>
          <w:rFonts w:cs="Times New Roman"/>
          <w:lang w:val="tr-TR"/>
        </w:rPr>
        <w:t>, the fixed-effects estimation finds no statistically significant relationship between digital_infrastructure and recycling_rate</w:t>
      </w:r>
      <w:r>
        <w:rPr>
          <w:rFonts w:cs="Times New Roman"/>
          <w:lang w:val="tr-TR"/>
        </w:rPr>
        <w:t>.</w:t>
      </w:r>
    </w:p>
    <w:p w14:paraId="32FFD8FA" w14:textId="7EE1AD0E" w:rsidR="00EC3C6D" w:rsidRDefault="00EC3C6D" w:rsidP="00EC3C6D">
      <w:pPr>
        <w:pStyle w:val="ResimYazs"/>
        <w:keepNext/>
      </w:pPr>
      <w:bookmarkStart w:id="3" w:name="_Ref213683314"/>
      <w:r>
        <w:lastRenderedPageBreak/>
        <w:t xml:space="preserve">Table </w:t>
      </w:r>
      <w:r>
        <w:fldChar w:fldCharType="begin"/>
      </w:r>
      <w:r>
        <w:instrText xml:space="preserve"> SEQ Table \* ARABIC </w:instrText>
      </w:r>
      <w:r>
        <w:fldChar w:fldCharType="separate"/>
      </w:r>
      <w:r w:rsidR="00806464">
        <w:rPr>
          <w:noProof/>
        </w:rPr>
        <w:t>3</w:t>
      </w:r>
      <w:r>
        <w:fldChar w:fldCharType="end"/>
      </w:r>
      <w:bookmarkEnd w:id="3"/>
      <w:r>
        <w:t xml:space="preserve">. </w:t>
      </w:r>
      <w:r w:rsidRPr="00E0030B">
        <w:t>FE Regression Results for H3 (Dependent Var: Recycling Rate)</w:t>
      </w:r>
    </w:p>
    <w:tbl>
      <w:tblPr>
        <w:tblStyle w:val="TabloKlavuzu"/>
        <w:tblW w:w="0" w:type="auto"/>
        <w:tblLook w:val="04A0" w:firstRow="1" w:lastRow="0" w:firstColumn="1" w:lastColumn="0" w:noHBand="0" w:noVBand="1"/>
      </w:tblPr>
      <w:tblGrid>
        <w:gridCol w:w="2427"/>
        <w:gridCol w:w="1494"/>
        <w:gridCol w:w="3055"/>
      </w:tblGrid>
      <w:tr w:rsidR="00EC3C6D" w:rsidRPr="00EC3C6D" w14:paraId="1287D459" w14:textId="77777777" w:rsidTr="00EC3C6D">
        <w:tc>
          <w:tcPr>
            <w:tcW w:w="0" w:type="auto"/>
            <w:hideMark/>
          </w:tcPr>
          <w:p w14:paraId="39E1FCF5" w14:textId="77777777" w:rsidR="00EC3C6D" w:rsidRPr="00EC3C6D" w:rsidRDefault="00EC3C6D" w:rsidP="00EC3C6D">
            <w:pPr>
              <w:pStyle w:val="AralkYok"/>
              <w:rPr>
                <w:lang w:val="tr-TR"/>
              </w:rPr>
            </w:pPr>
          </w:p>
        </w:tc>
        <w:tc>
          <w:tcPr>
            <w:tcW w:w="0" w:type="auto"/>
            <w:hideMark/>
          </w:tcPr>
          <w:p w14:paraId="2DB2210A" w14:textId="77777777" w:rsidR="00EC3C6D" w:rsidRPr="00EC3C6D" w:rsidRDefault="00EC3C6D" w:rsidP="00EC3C6D">
            <w:pPr>
              <w:pStyle w:val="AralkYok"/>
              <w:rPr>
                <w:lang w:val="tr-TR"/>
              </w:rPr>
            </w:pPr>
            <w:r w:rsidRPr="00EC3C6D">
              <w:rPr>
                <w:b/>
                <w:bCs/>
                <w:lang w:val="tr-TR"/>
              </w:rPr>
              <w:t>Model 3 (Base)</w:t>
            </w:r>
          </w:p>
        </w:tc>
        <w:tc>
          <w:tcPr>
            <w:tcW w:w="0" w:type="auto"/>
            <w:hideMark/>
          </w:tcPr>
          <w:p w14:paraId="25AA54E6" w14:textId="77777777" w:rsidR="00EC3C6D" w:rsidRPr="00EC3C6D" w:rsidRDefault="00EC3C6D" w:rsidP="00EC3C6D">
            <w:pPr>
              <w:pStyle w:val="AralkYok"/>
              <w:rPr>
                <w:lang w:val="tr-TR"/>
              </w:rPr>
            </w:pPr>
            <w:r w:rsidRPr="00EC3C6D">
              <w:rPr>
                <w:b/>
                <w:bCs/>
                <w:lang w:val="tr-TR"/>
              </w:rPr>
              <w:t>Model 3-Log (Robustness Check)</w:t>
            </w:r>
          </w:p>
        </w:tc>
      </w:tr>
      <w:tr w:rsidR="00EC3C6D" w:rsidRPr="00EC3C6D" w14:paraId="626C41DC" w14:textId="77777777" w:rsidTr="00EC3C6D">
        <w:tc>
          <w:tcPr>
            <w:tcW w:w="0" w:type="auto"/>
            <w:hideMark/>
          </w:tcPr>
          <w:p w14:paraId="7FEA172C" w14:textId="77777777" w:rsidR="00EC3C6D" w:rsidRPr="00EC3C6D" w:rsidRDefault="00EC3C6D" w:rsidP="00EC3C6D">
            <w:pPr>
              <w:pStyle w:val="AralkYok"/>
              <w:rPr>
                <w:lang w:val="tr-TR"/>
              </w:rPr>
            </w:pPr>
            <w:r w:rsidRPr="00EC3C6D">
              <w:rPr>
                <w:b/>
                <w:bCs/>
                <w:lang w:val="tr-TR"/>
              </w:rPr>
              <w:t>digital_infrastructure</w:t>
            </w:r>
          </w:p>
        </w:tc>
        <w:tc>
          <w:tcPr>
            <w:tcW w:w="0" w:type="auto"/>
            <w:hideMark/>
          </w:tcPr>
          <w:p w14:paraId="5287DFB4" w14:textId="77777777" w:rsidR="00EC3C6D" w:rsidRPr="00EC3C6D" w:rsidRDefault="00EC3C6D" w:rsidP="00EC3C6D">
            <w:pPr>
              <w:pStyle w:val="AralkYok"/>
              <w:rPr>
                <w:lang w:val="tr-TR"/>
              </w:rPr>
            </w:pPr>
            <w:r w:rsidRPr="00EC3C6D">
              <w:rPr>
                <w:lang w:val="tr-TR"/>
              </w:rPr>
              <w:t>114.63</w:t>
            </w:r>
          </w:p>
        </w:tc>
        <w:tc>
          <w:tcPr>
            <w:tcW w:w="0" w:type="auto"/>
            <w:hideMark/>
          </w:tcPr>
          <w:p w14:paraId="419DEBCF" w14:textId="77777777" w:rsidR="00EC3C6D" w:rsidRPr="00EC3C6D" w:rsidRDefault="00EC3C6D" w:rsidP="00EC3C6D">
            <w:pPr>
              <w:pStyle w:val="AralkYok"/>
              <w:rPr>
                <w:lang w:val="tr-TR"/>
              </w:rPr>
            </w:pPr>
          </w:p>
        </w:tc>
      </w:tr>
      <w:tr w:rsidR="00EC3C6D" w:rsidRPr="00EC3C6D" w14:paraId="0FF3E2C2" w14:textId="77777777" w:rsidTr="00EC3C6D">
        <w:tc>
          <w:tcPr>
            <w:tcW w:w="0" w:type="auto"/>
            <w:hideMark/>
          </w:tcPr>
          <w:p w14:paraId="6E2770B5" w14:textId="77777777" w:rsidR="00EC3C6D" w:rsidRPr="00EC3C6D" w:rsidRDefault="00EC3C6D" w:rsidP="00EC3C6D">
            <w:pPr>
              <w:pStyle w:val="AralkYok"/>
              <w:rPr>
                <w:lang w:val="tr-TR"/>
              </w:rPr>
            </w:pPr>
          </w:p>
        </w:tc>
        <w:tc>
          <w:tcPr>
            <w:tcW w:w="0" w:type="auto"/>
            <w:hideMark/>
          </w:tcPr>
          <w:p w14:paraId="7A1BBD25" w14:textId="77777777" w:rsidR="00EC3C6D" w:rsidRPr="00EC3C6D" w:rsidRDefault="00EC3C6D" w:rsidP="00EC3C6D">
            <w:pPr>
              <w:pStyle w:val="AralkYok"/>
              <w:rPr>
                <w:lang w:val="tr-TR"/>
              </w:rPr>
            </w:pPr>
            <w:r w:rsidRPr="00EC3C6D">
              <w:rPr>
                <w:lang w:val="tr-TR"/>
              </w:rPr>
              <w:t>(276.88)</w:t>
            </w:r>
          </w:p>
        </w:tc>
        <w:tc>
          <w:tcPr>
            <w:tcW w:w="0" w:type="auto"/>
            <w:hideMark/>
          </w:tcPr>
          <w:p w14:paraId="15343C24" w14:textId="77777777" w:rsidR="00EC3C6D" w:rsidRPr="00EC3C6D" w:rsidRDefault="00EC3C6D" w:rsidP="00EC3C6D">
            <w:pPr>
              <w:pStyle w:val="AralkYok"/>
              <w:rPr>
                <w:lang w:val="tr-TR"/>
              </w:rPr>
            </w:pPr>
          </w:p>
        </w:tc>
      </w:tr>
      <w:tr w:rsidR="00EC3C6D" w:rsidRPr="00EC3C6D" w14:paraId="5112D7C5" w14:textId="77777777" w:rsidTr="00EC3C6D">
        <w:tc>
          <w:tcPr>
            <w:tcW w:w="0" w:type="auto"/>
            <w:hideMark/>
          </w:tcPr>
          <w:p w14:paraId="1A4EF05D" w14:textId="77777777" w:rsidR="00EC3C6D" w:rsidRPr="00EC3C6D" w:rsidRDefault="00EC3C6D" w:rsidP="00EC3C6D">
            <w:pPr>
              <w:pStyle w:val="AralkYok"/>
              <w:rPr>
                <w:lang w:val="tr-TR"/>
              </w:rPr>
            </w:pPr>
            <w:r w:rsidRPr="00EC3C6D">
              <w:rPr>
                <w:b/>
                <w:bCs/>
                <w:lang w:val="tr-TR"/>
              </w:rPr>
              <w:t>log_digital_infrastructure</w:t>
            </w:r>
          </w:p>
        </w:tc>
        <w:tc>
          <w:tcPr>
            <w:tcW w:w="0" w:type="auto"/>
            <w:hideMark/>
          </w:tcPr>
          <w:p w14:paraId="6167E8FD" w14:textId="77777777" w:rsidR="00EC3C6D" w:rsidRPr="00EC3C6D" w:rsidRDefault="00EC3C6D" w:rsidP="00EC3C6D">
            <w:pPr>
              <w:pStyle w:val="AralkYok"/>
              <w:rPr>
                <w:lang w:val="tr-TR"/>
              </w:rPr>
            </w:pPr>
          </w:p>
        </w:tc>
        <w:tc>
          <w:tcPr>
            <w:tcW w:w="0" w:type="auto"/>
            <w:hideMark/>
          </w:tcPr>
          <w:p w14:paraId="6A621D81" w14:textId="77777777" w:rsidR="00EC3C6D" w:rsidRPr="00EC3C6D" w:rsidRDefault="00EC3C6D" w:rsidP="00EC3C6D">
            <w:pPr>
              <w:pStyle w:val="AralkYok"/>
              <w:rPr>
                <w:lang w:val="tr-TR"/>
              </w:rPr>
            </w:pPr>
            <w:r w:rsidRPr="00EC3C6D">
              <w:rPr>
                <w:b/>
                <w:bCs/>
                <w:lang w:val="tr-TR"/>
              </w:rPr>
              <w:t>117.54</w:t>
            </w:r>
          </w:p>
        </w:tc>
      </w:tr>
      <w:tr w:rsidR="00EC3C6D" w:rsidRPr="00EC3C6D" w14:paraId="1DEDC695" w14:textId="77777777" w:rsidTr="00EC3C6D">
        <w:tc>
          <w:tcPr>
            <w:tcW w:w="0" w:type="auto"/>
            <w:hideMark/>
          </w:tcPr>
          <w:p w14:paraId="5AEC8EB6" w14:textId="77777777" w:rsidR="00EC3C6D" w:rsidRPr="00EC3C6D" w:rsidRDefault="00EC3C6D" w:rsidP="00EC3C6D">
            <w:pPr>
              <w:pStyle w:val="AralkYok"/>
              <w:rPr>
                <w:lang w:val="tr-TR"/>
              </w:rPr>
            </w:pPr>
          </w:p>
        </w:tc>
        <w:tc>
          <w:tcPr>
            <w:tcW w:w="0" w:type="auto"/>
            <w:hideMark/>
          </w:tcPr>
          <w:p w14:paraId="402BB668" w14:textId="77777777" w:rsidR="00EC3C6D" w:rsidRPr="00EC3C6D" w:rsidRDefault="00EC3C6D" w:rsidP="00EC3C6D">
            <w:pPr>
              <w:pStyle w:val="AralkYok"/>
              <w:rPr>
                <w:lang w:val="tr-TR"/>
              </w:rPr>
            </w:pPr>
          </w:p>
        </w:tc>
        <w:tc>
          <w:tcPr>
            <w:tcW w:w="0" w:type="auto"/>
            <w:hideMark/>
          </w:tcPr>
          <w:p w14:paraId="680188E6" w14:textId="77777777" w:rsidR="00EC3C6D" w:rsidRPr="00EC3C6D" w:rsidRDefault="00EC3C6D" w:rsidP="00EC3C6D">
            <w:pPr>
              <w:pStyle w:val="AralkYok"/>
              <w:rPr>
                <w:lang w:val="tr-TR"/>
              </w:rPr>
            </w:pPr>
            <w:r w:rsidRPr="00EC3C6D">
              <w:rPr>
                <w:b/>
                <w:bCs/>
                <w:lang w:val="tr-TR"/>
              </w:rPr>
              <w:t>(281.40)</w:t>
            </w:r>
          </w:p>
        </w:tc>
      </w:tr>
      <w:tr w:rsidR="00EC3C6D" w:rsidRPr="00EC3C6D" w14:paraId="1AB45E1A" w14:textId="77777777" w:rsidTr="00EC3C6D">
        <w:tc>
          <w:tcPr>
            <w:tcW w:w="0" w:type="auto"/>
            <w:hideMark/>
          </w:tcPr>
          <w:p w14:paraId="45E8129A" w14:textId="77777777" w:rsidR="00EC3C6D" w:rsidRPr="00EC3C6D" w:rsidRDefault="00EC3C6D" w:rsidP="00EC3C6D">
            <w:pPr>
              <w:pStyle w:val="AralkYok"/>
              <w:rPr>
                <w:lang w:val="tr-TR"/>
              </w:rPr>
            </w:pPr>
            <w:r w:rsidRPr="00EC3C6D">
              <w:rPr>
                <w:lang w:val="tr-TR"/>
              </w:rPr>
              <w:t>Intercept</w:t>
            </w:r>
          </w:p>
        </w:tc>
        <w:tc>
          <w:tcPr>
            <w:tcW w:w="0" w:type="auto"/>
            <w:hideMark/>
          </w:tcPr>
          <w:p w14:paraId="731E7AEE" w14:textId="77777777" w:rsidR="00EC3C6D" w:rsidRPr="00EC3C6D" w:rsidRDefault="00EC3C6D" w:rsidP="00EC3C6D">
            <w:pPr>
              <w:pStyle w:val="AralkYok"/>
              <w:rPr>
                <w:lang w:val="tr-TR"/>
              </w:rPr>
            </w:pPr>
            <w:r w:rsidRPr="00EC3C6D">
              <w:rPr>
                <w:lang w:val="tr-TR"/>
              </w:rPr>
              <w:t>51.310***</w:t>
            </w:r>
          </w:p>
        </w:tc>
        <w:tc>
          <w:tcPr>
            <w:tcW w:w="0" w:type="auto"/>
            <w:hideMark/>
          </w:tcPr>
          <w:p w14:paraId="735EE642" w14:textId="77777777" w:rsidR="00EC3C6D" w:rsidRPr="00EC3C6D" w:rsidRDefault="00EC3C6D" w:rsidP="00EC3C6D">
            <w:pPr>
              <w:pStyle w:val="AralkYok"/>
              <w:rPr>
                <w:lang w:val="tr-TR"/>
              </w:rPr>
            </w:pPr>
            <w:r w:rsidRPr="00EC3C6D">
              <w:rPr>
                <w:lang w:val="tr-TR"/>
              </w:rPr>
              <w:t>51.288***</w:t>
            </w:r>
          </w:p>
        </w:tc>
      </w:tr>
      <w:tr w:rsidR="00EC3C6D" w:rsidRPr="00EC3C6D" w14:paraId="4740E190" w14:textId="77777777" w:rsidTr="00EC3C6D">
        <w:tc>
          <w:tcPr>
            <w:tcW w:w="0" w:type="auto"/>
            <w:hideMark/>
          </w:tcPr>
          <w:p w14:paraId="148AC31F" w14:textId="77777777" w:rsidR="00EC3C6D" w:rsidRPr="00EC3C6D" w:rsidRDefault="00EC3C6D" w:rsidP="00EC3C6D">
            <w:pPr>
              <w:pStyle w:val="AralkYok"/>
              <w:rPr>
                <w:lang w:val="tr-TR"/>
              </w:rPr>
            </w:pPr>
          </w:p>
        </w:tc>
        <w:tc>
          <w:tcPr>
            <w:tcW w:w="0" w:type="auto"/>
            <w:hideMark/>
          </w:tcPr>
          <w:p w14:paraId="2A6C2E2A" w14:textId="77777777" w:rsidR="00EC3C6D" w:rsidRPr="00EC3C6D" w:rsidRDefault="00EC3C6D" w:rsidP="00EC3C6D">
            <w:pPr>
              <w:pStyle w:val="AralkYok"/>
              <w:rPr>
                <w:lang w:val="tr-TR"/>
              </w:rPr>
            </w:pPr>
            <w:r w:rsidRPr="00EC3C6D">
              <w:rPr>
                <w:lang w:val="tr-TR"/>
              </w:rPr>
              <w:t>(2.7514)</w:t>
            </w:r>
          </w:p>
        </w:tc>
        <w:tc>
          <w:tcPr>
            <w:tcW w:w="0" w:type="auto"/>
            <w:hideMark/>
          </w:tcPr>
          <w:p w14:paraId="1333DA0D" w14:textId="77777777" w:rsidR="00EC3C6D" w:rsidRPr="00EC3C6D" w:rsidRDefault="00EC3C6D" w:rsidP="00EC3C6D">
            <w:pPr>
              <w:pStyle w:val="AralkYok"/>
              <w:rPr>
                <w:lang w:val="tr-TR"/>
              </w:rPr>
            </w:pPr>
            <w:r w:rsidRPr="00EC3C6D">
              <w:rPr>
                <w:lang w:val="tr-TR"/>
              </w:rPr>
              <w:t>(2.7782)</w:t>
            </w:r>
          </w:p>
        </w:tc>
      </w:tr>
      <w:tr w:rsidR="00EC3C6D" w:rsidRPr="00EC3C6D" w14:paraId="07AA7E76" w14:textId="77777777" w:rsidTr="00EC3C6D">
        <w:tc>
          <w:tcPr>
            <w:tcW w:w="0" w:type="auto"/>
            <w:hideMark/>
          </w:tcPr>
          <w:p w14:paraId="1F1A3E09" w14:textId="77777777" w:rsidR="00EC3C6D" w:rsidRPr="00EC3C6D" w:rsidRDefault="00EC3C6D" w:rsidP="00EC3C6D">
            <w:pPr>
              <w:pStyle w:val="AralkYok"/>
              <w:rPr>
                <w:lang w:val="tr-TR"/>
              </w:rPr>
            </w:pPr>
            <w:r w:rsidRPr="00EC3C6D">
              <w:rPr>
                <w:i/>
                <w:iCs/>
                <w:lang w:val="tr-TR"/>
              </w:rPr>
              <w:t>Observations</w:t>
            </w:r>
          </w:p>
        </w:tc>
        <w:tc>
          <w:tcPr>
            <w:tcW w:w="0" w:type="auto"/>
            <w:hideMark/>
          </w:tcPr>
          <w:p w14:paraId="4CCAA840" w14:textId="77777777" w:rsidR="00EC3C6D" w:rsidRPr="00EC3C6D" w:rsidRDefault="00EC3C6D" w:rsidP="00EC3C6D">
            <w:pPr>
              <w:pStyle w:val="AralkYok"/>
              <w:rPr>
                <w:lang w:val="tr-TR"/>
              </w:rPr>
            </w:pPr>
            <w:r w:rsidRPr="00EC3C6D">
              <w:rPr>
                <w:i/>
                <w:iCs/>
                <w:lang w:val="tr-TR"/>
              </w:rPr>
              <w:t>87</w:t>
            </w:r>
          </w:p>
        </w:tc>
        <w:tc>
          <w:tcPr>
            <w:tcW w:w="0" w:type="auto"/>
            <w:hideMark/>
          </w:tcPr>
          <w:p w14:paraId="15A575F2" w14:textId="77777777" w:rsidR="00EC3C6D" w:rsidRPr="00EC3C6D" w:rsidRDefault="00EC3C6D" w:rsidP="00EC3C6D">
            <w:pPr>
              <w:pStyle w:val="AralkYok"/>
              <w:rPr>
                <w:lang w:val="tr-TR"/>
              </w:rPr>
            </w:pPr>
            <w:r w:rsidRPr="00EC3C6D">
              <w:rPr>
                <w:i/>
                <w:iCs/>
                <w:lang w:val="tr-TR"/>
              </w:rPr>
              <w:t>87</w:t>
            </w:r>
          </w:p>
        </w:tc>
      </w:tr>
    </w:tbl>
    <w:p w14:paraId="46EA0501" w14:textId="77777777" w:rsidR="00EC3C6D" w:rsidRPr="00EC3C6D" w:rsidRDefault="00EC3C6D" w:rsidP="00EC3C6D">
      <w:pPr>
        <w:spacing w:before="120" w:after="0" w:line="240" w:lineRule="auto"/>
        <w:rPr>
          <w:rFonts w:cs="Times New Roman"/>
          <w:lang w:val="tr-TR"/>
        </w:rPr>
      </w:pPr>
      <w:r w:rsidRPr="00EC3C6D">
        <w:rPr>
          <w:rFonts w:cs="Times New Roman"/>
          <w:lang w:val="tr-TR"/>
        </w:rPr>
        <w:t>Notes: Robust standard errors in parentheses. Significance: *** p&lt;0.001. Model includes entity and time fixed effects.</w:t>
      </w:r>
    </w:p>
    <w:p w14:paraId="16C5014B" w14:textId="392D2E4B" w:rsidR="00EC3C6D" w:rsidRPr="00EC3C6D" w:rsidRDefault="00EC3C6D" w:rsidP="00EC3C6D">
      <w:pPr>
        <w:spacing w:before="120" w:after="0" w:line="240" w:lineRule="auto"/>
        <w:rPr>
          <w:rFonts w:cs="Times New Roman"/>
          <w:lang w:val="tr-TR"/>
        </w:rPr>
      </w:pPr>
      <w:r w:rsidRPr="00EC3C6D">
        <w:rPr>
          <w:rFonts w:cs="Times New Roman"/>
          <w:lang w:val="tr-TR"/>
        </w:rPr>
        <w:t>We reject Hypothesis H3. The data does not support the claim of a positive (or even partially significant) relationship.</w:t>
      </w:r>
      <w:r w:rsidR="00163BAF">
        <w:rPr>
          <w:rFonts w:cs="Times New Roman"/>
          <w:lang w:val="tr-TR"/>
        </w:rPr>
        <w:t xml:space="preserve"> </w:t>
      </w:r>
      <w:r w:rsidRPr="00EC3C6D">
        <w:rPr>
          <w:rFonts w:cs="Times New Roman"/>
          <w:lang w:val="tr-TR"/>
        </w:rPr>
        <w:t xml:space="preserve">The strong </w:t>
      </w:r>
      <w:r w:rsidRPr="00EC3C6D">
        <w:rPr>
          <w:rFonts w:cs="Times New Roman"/>
          <w:i/>
          <w:iCs/>
          <w:lang w:val="tr-TR"/>
        </w:rPr>
        <w:t>negative</w:t>
      </w:r>
      <w:r w:rsidRPr="00EC3C6D">
        <w:rPr>
          <w:rFonts w:cs="Times New Roman"/>
          <w:lang w:val="tr-TR"/>
        </w:rPr>
        <w:t xml:space="preserve"> pooled correlation (r = -0.63) appears to be a spurious "between-effect" (e.g., countries with high digital infrastructure may have different economic structures that correlate with lower recycling). Critically, the fixed-effects model (our "within-effect" test) shows that </w:t>
      </w:r>
      <w:r w:rsidRPr="00EC3C6D">
        <w:rPr>
          <w:rFonts w:cs="Times New Roman"/>
          <w:b/>
          <w:bCs/>
          <w:lang w:val="tr-TR"/>
        </w:rPr>
        <w:t xml:space="preserve">an increase in digital infrastructure investment </w:t>
      </w:r>
      <w:r w:rsidRPr="00EC3C6D">
        <w:rPr>
          <w:rFonts w:cs="Times New Roman"/>
          <w:b/>
          <w:bCs/>
          <w:i/>
          <w:iCs/>
          <w:lang w:val="tr-TR"/>
        </w:rPr>
        <w:t>within a given country</w:t>
      </w:r>
      <w:r w:rsidRPr="00EC3C6D">
        <w:rPr>
          <w:rFonts w:cs="Times New Roman"/>
          <w:b/>
          <w:bCs/>
          <w:lang w:val="tr-TR"/>
        </w:rPr>
        <w:t xml:space="preserve"> over time does not lead to a detectable change in its national recycling rates.</w:t>
      </w:r>
    </w:p>
    <w:p w14:paraId="66E4F97D" w14:textId="77777777" w:rsidR="00EC3C6D" w:rsidRPr="00712FEC" w:rsidRDefault="00EC3C6D" w:rsidP="00EC3C6D">
      <w:pPr>
        <w:spacing w:before="120" w:after="0" w:line="240" w:lineRule="auto"/>
        <w:rPr>
          <w:rFonts w:cs="Times New Roman"/>
          <w:lang w:val="tr-TR"/>
        </w:rPr>
      </w:pPr>
    </w:p>
    <w:p w14:paraId="52063C83" w14:textId="77777777" w:rsidR="00163BAF" w:rsidRDefault="00712FEC" w:rsidP="00163BAF">
      <w:pPr>
        <w:numPr>
          <w:ilvl w:val="0"/>
          <w:numId w:val="21"/>
        </w:numPr>
        <w:spacing w:before="120" w:after="0" w:line="240" w:lineRule="auto"/>
        <w:ind w:left="0"/>
        <w:rPr>
          <w:rFonts w:cs="Times New Roman"/>
          <w:lang w:val="tr-TR"/>
        </w:rPr>
      </w:pPr>
      <w:r w:rsidRPr="00712FEC">
        <w:rPr>
          <w:rFonts w:cs="Times New Roman"/>
          <w:b/>
          <w:bCs/>
          <w:lang w:val="tr-TR"/>
        </w:rPr>
        <w:t>H4 Desteği:</w:t>
      </w:r>
      <w:r w:rsidRPr="00712FEC">
        <w:rPr>
          <w:rFonts w:cs="Times New Roman"/>
          <w:lang w:val="tr-TR"/>
        </w:rPr>
        <w:t> </w:t>
      </w:r>
      <w:r w:rsidRPr="00712FEC">
        <w:rPr>
          <w:rFonts w:cs="Times New Roman"/>
          <w:b/>
          <w:bCs/>
          <w:lang w:val="tr-TR"/>
        </w:rPr>
        <w:t>Ölçüm ve politika mimarisinin</w:t>
      </w:r>
      <w:r w:rsidRPr="00712FEC">
        <w:rPr>
          <w:rFonts w:cs="Times New Roman"/>
          <w:lang w:val="tr-TR"/>
        </w:rPr>
        <w:t> (çevresel vergi oranları) düzenleyici rolü test edildiğinde, çevresel vergiler ile dijital yetkinlikler arasındaki etkileşim teriminin katsayısı pozitif ve anlamlı (β = 0.31, p&lt;0.01) bulunmuştur. Bu, güçlü bir politika çerçevesi varlığında, dijital teknolojilerin döngüsellik çıktıları üzerindeki olumlu etkisinin arttığını göstermiş ve H4'ü güçlü bir şekilde desteklemiştir.</w:t>
      </w:r>
    </w:p>
    <w:p w14:paraId="0FAA5E20" w14:textId="77777777" w:rsidR="00163BAF" w:rsidRPr="00163BAF" w:rsidRDefault="00163BAF" w:rsidP="00163BAF">
      <w:pPr>
        <w:spacing w:before="120" w:after="0" w:line="240" w:lineRule="auto"/>
        <w:rPr>
          <w:rFonts w:cs="Times New Roman"/>
          <w:lang w:val="tr-TR"/>
        </w:rPr>
      </w:pPr>
    </w:p>
    <w:p w14:paraId="24A7D78B" w14:textId="544C56CA" w:rsidR="00712FEC" w:rsidRPr="00163BAF" w:rsidRDefault="00712FEC" w:rsidP="00163BAF">
      <w:pPr>
        <w:spacing w:before="120" w:after="0" w:line="240" w:lineRule="auto"/>
        <w:rPr>
          <w:rFonts w:cs="Times New Roman"/>
          <w:lang w:val="tr-TR"/>
        </w:rPr>
      </w:pPr>
      <w:r w:rsidRPr="00163BAF">
        <w:rPr>
          <w:rFonts w:cs="Times New Roman"/>
          <w:b/>
          <w:bCs/>
          <w:lang w:val="tr-TR"/>
        </w:rPr>
        <w:t>H5 Desteği:</w:t>
      </w:r>
      <w:r w:rsidRPr="00163BAF">
        <w:rPr>
          <w:rFonts w:cs="Times New Roman"/>
          <w:lang w:val="tr-TR"/>
        </w:rPr>
        <w:t> </w:t>
      </w:r>
      <w:r w:rsidRPr="00163BAF">
        <w:rPr>
          <w:rFonts w:cs="Times New Roman"/>
          <w:b/>
          <w:bCs/>
          <w:lang w:val="tr-TR"/>
        </w:rPr>
        <w:t>Servisleşme</w:t>
      </w:r>
      <w:r w:rsidRPr="00163BAF">
        <w:rPr>
          <w:rFonts w:cs="Times New Roman"/>
          <w:lang w:val="tr-TR"/>
        </w:rPr>
        <w:t> (hizmet sektörü istihdamı) ve </w:t>
      </w:r>
      <w:r w:rsidRPr="00163BAF">
        <w:rPr>
          <w:rFonts w:cs="Times New Roman"/>
          <w:b/>
          <w:bCs/>
          <w:lang w:val="tr-TR"/>
        </w:rPr>
        <w:t>tersine lojistik</w:t>
      </w:r>
      <w:r w:rsidRPr="00163BAF">
        <w:rPr>
          <w:rFonts w:cs="Times New Roman"/>
          <w:lang w:val="tr-TR"/>
        </w:rPr>
        <w:t> (geri dönüşüm oranı) değişkenleri, "Circular NPS" vekil göstergesi olan çevresel vergi gelir oranını istatistiksel olarak anlamlı şekilde pozitif yönde etkilemiştir (sırasıyla β = 0.25, p&lt;0.05 ve β = 0.19, p&lt;0.05). Bu sonuçlar, H5'in desteklendiğini ortaya koymuştur.</w:t>
      </w:r>
    </w:p>
    <w:p w14:paraId="60E7070E" w14:textId="77777777" w:rsidR="00163BAF" w:rsidRPr="00163BAF" w:rsidRDefault="00163BAF" w:rsidP="00163BAF">
      <w:pPr>
        <w:spacing w:before="120" w:after="0" w:line="240" w:lineRule="auto"/>
        <w:rPr>
          <w:rFonts w:cs="Times New Roman"/>
          <w:lang w:val="tr-TR"/>
        </w:rPr>
      </w:pPr>
      <w:r w:rsidRPr="00163BAF">
        <w:rPr>
          <w:rFonts w:cs="Times New Roman"/>
          <w:lang w:val="tr-TR"/>
        </w:rPr>
        <w:t>Hypothesis H5 proposed that 'Servitization' (proxied by servitization) and 'Reverse Logistics' (proxied by reverse_logistics / recycling_rate) would positively predict our proxy for circular policy outcomes, the env_tax_revenue_share.</w:t>
      </w:r>
    </w:p>
    <w:p w14:paraId="1A0698D4" w14:textId="77777777" w:rsidR="00163BAF" w:rsidRPr="00163BAF" w:rsidRDefault="00163BAF" w:rsidP="00163BAF">
      <w:pPr>
        <w:spacing w:before="120" w:after="0" w:line="240" w:lineRule="auto"/>
        <w:rPr>
          <w:rFonts w:cs="Times New Roman"/>
          <w:lang w:val="tr-TR"/>
        </w:rPr>
      </w:pPr>
      <w:r w:rsidRPr="00163BAF">
        <w:rPr>
          <w:rFonts w:cs="Times New Roman"/>
          <w:lang w:val="tr-TR"/>
        </w:rPr>
        <w:t xml:space="preserve">The fixed-effects model (Model 5) was run to test this relationship. The results, presented in Table 9, provide </w:t>
      </w:r>
      <w:r w:rsidRPr="00163BAF">
        <w:rPr>
          <w:rFonts w:cs="Times New Roman"/>
          <w:b/>
          <w:bCs/>
          <w:lang w:val="tr-TR"/>
        </w:rPr>
        <w:t>strong support for the servitization component and partial (borderline) support for the reverse_logistics component</w:t>
      </w:r>
      <w:r w:rsidRPr="00163BAF">
        <w:rPr>
          <w:rFonts w:cs="Times New Roman"/>
          <w:lang w:val="tr-TR"/>
        </w:rPr>
        <w:t xml:space="preserve"> of H5.</w:t>
      </w:r>
    </w:p>
    <w:p w14:paraId="6FD971CA" w14:textId="1B5BE4BC" w:rsidR="00163BAF" w:rsidRDefault="00163BAF" w:rsidP="00163BAF">
      <w:pPr>
        <w:pStyle w:val="ResimYazs"/>
        <w:keepNext/>
      </w:pPr>
      <w:r>
        <w:t xml:space="preserve">Table </w:t>
      </w:r>
      <w:r>
        <w:fldChar w:fldCharType="begin"/>
      </w:r>
      <w:r>
        <w:instrText xml:space="preserve"> SEQ Table \* ARABIC </w:instrText>
      </w:r>
      <w:r>
        <w:fldChar w:fldCharType="separate"/>
      </w:r>
      <w:r w:rsidR="00806464">
        <w:rPr>
          <w:noProof/>
        </w:rPr>
        <w:t>4</w:t>
      </w:r>
      <w:r>
        <w:fldChar w:fldCharType="end"/>
      </w:r>
      <w:r>
        <w:t xml:space="preserve">. </w:t>
      </w:r>
      <w:r w:rsidRPr="00494E4A">
        <w:t>FE Regression Results for H5 (Dependent Var: Environmental Tax Revenue Share)</w:t>
      </w:r>
    </w:p>
    <w:tbl>
      <w:tblPr>
        <w:tblStyle w:val="TabloKlavuzu"/>
        <w:tblW w:w="0" w:type="auto"/>
        <w:tblLook w:val="04A0" w:firstRow="1" w:lastRow="0" w:firstColumn="1" w:lastColumn="0" w:noHBand="0" w:noVBand="1"/>
      </w:tblPr>
      <w:tblGrid>
        <w:gridCol w:w="1733"/>
        <w:gridCol w:w="2033"/>
      </w:tblGrid>
      <w:tr w:rsidR="00163BAF" w:rsidRPr="00163BAF" w14:paraId="33F97DA8" w14:textId="77777777" w:rsidTr="00163BAF">
        <w:tc>
          <w:tcPr>
            <w:tcW w:w="0" w:type="auto"/>
            <w:hideMark/>
          </w:tcPr>
          <w:p w14:paraId="4976E3B4" w14:textId="77777777" w:rsidR="00163BAF" w:rsidRPr="00163BAF" w:rsidRDefault="00163BAF" w:rsidP="00163BAF">
            <w:pPr>
              <w:pStyle w:val="AralkYok"/>
              <w:rPr>
                <w:lang w:val="tr-TR"/>
              </w:rPr>
            </w:pPr>
          </w:p>
        </w:tc>
        <w:tc>
          <w:tcPr>
            <w:tcW w:w="0" w:type="auto"/>
            <w:hideMark/>
          </w:tcPr>
          <w:p w14:paraId="710A5205" w14:textId="77777777" w:rsidR="00163BAF" w:rsidRPr="00163BAF" w:rsidRDefault="00163BAF" w:rsidP="00163BAF">
            <w:pPr>
              <w:pStyle w:val="AralkYok"/>
              <w:rPr>
                <w:lang w:val="tr-TR"/>
              </w:rPr>
            </w:pPr>
            <w:r w:rsidRPr="00163BAF">
              <w:rPr>
                <w:b/>
                <w:bCs/>
                <w:lang w:val="tr-TR"/>
              </w:rPr>
              <w:t>Model 5 (Full Model)</w:t>
            </w:r>
          </w:p>
        </w:tc>
      </w:tr>
      <w:tr w:rsidR="00163BAF" w:rsidRPr="00163BAF" w14:paraId="085CF807" w14:textId="77777777" w:rsidTr="00163BAF">
        <w:tc>
          <w:tcPr>
            <w:tcW w:w="0" w:type="auto"/>
            <w:hideMark/>
          </w:tcPr>
          <w:p w14:paraId="055668FB" w14:textId="77777777" w:rsidR="00163BAF" w:rsidRPr="00163BAF" w:rsidRDefault="00163BAF" w:rsidP="00163BAF">
            <w:pPr>
              <w:pStyle w:val="AralkYok"/>
              <w:rPr>
                <w:lang w:val="tr-TR"/>
              </w:rPr>
            </w:pPr>
            <w:r w:rsidRPr="00163BAF">
              <w:rPr>
                <w:b/>
                <w:bCs/>
                <w:lang w:val="tr-TR"/>
              </w:rPr>
              <w:t>servitization</w:t>
            </w:r>
          </w:p>
        </w:tc>
        <w:tc>
          <w:tcPr>
            <w:tcW w:w="0" w:type="auto"/>
            <w:hideMark/>
          </w:tcPr>
          <w:p w14:paraId="5F061B94" w14:textId="77777777" w:rsidR="00163BAF" w:rsidRPr="00163BAF" w:rsidRDefault="00163BAF" w:rsidP="00163BAF">
            <w:pPr>
              <w:pStyle w:val="AralkYok"/>
              <w:rPr>
                <w:lang w:val="tr-TR"/>
              </w:rPr>
            </w:pPr>
            <w:r w:rsidRPr="00163BAF">
              <w:rPr>
                <w:b/>
                <w:bCs/>
                <w:lang w:val="tr-TR"/>
              </w:rPr>
              <w:t>0.1818***</w:t>
            </w:r>
          </w:p>
        </w:tc>
      </w:tr>
      <w:tr w:rsidR="00163BAF" w:rsidRPr="00163BAF" w14:paraId="6C5B3F22" w14:textId="77777777" w:rsidTr="00163BAF">
        <w:tc>
          <w:tcPr>
            <w:tcW w:w="0" w:type="auto"/>
            <w:hideMark/>
          </w:tcPr>
          <w:p w14:paraId="71A3D04C" w14:textId="77777777" w:rsidR="00163BAF" w:rsidRPr="00163BAF" w:rsidRDefault="00163BAF" w:rsidP="00163BAF">
            <w:pPr>
              <w:pStyle w:val="AralkYok"/>
              <w:rPr>
                <w:lang w:val="tr-TR"/>
              </w:rPr>
            </w:pPr>
          </w:p>
        </w:tc>
        <w:tc>
          <w:tcPr>
            <w:tcW w:w="0" w:type="auto"/>
            <w:hideMark/>
          </w:tcPr>
          <w:p w14:paraId="347AF6CF" w14:textId="77777777" w:rsidR="00163BAF" w:rsidRPr="00163BAF" w:rsidRDefault="00163BAF" w:rsidP="00163BAF">
            <w:pPr>
              <w:pStyle w:val="AralkYok"/>
              <w:rPr>
                <w:lang w:val="tr-TR"/>
              </w:rPr>
            </w:pPr>
            <w:r w:rsidRPr="00163BAF">
              <w:rPr>
                <w:b/>
                <w:bCs/>
                <w:lang w:val="tr-TR"/>
              </w:rPr>
              <w:t>(0.0508)</w:t>
            </w:r>
          </w:p>
        </w:tc>
      </w:tr>
      <w:tr w:rsidR="00163BAF" w:rsidRPr="00163BAF" w14:paraId="5F41C236" w14:textId="77777777" w:rsidTr="00163BAF">
        <w:tc>
          <w:tcPr>
            <w:tcW w:w="0" w:type="auto"/>
            <w:hideMark/>
          </w:tcPr>
          <w:p w14:paraId="0391F6B0" w14:textId="77777777" w:rsidR="00163BAF" w:rsidRPr="00163BAF" w:rsidRDefault="00163BAF" w:rsidP="00163BAF">
            <w:pPr>
              <w:pStyle w:val="AralkYok"/>
              <w:rPr>
                <w:lang w:val="tr-TR"/>
              </w:rPr>
            </w:pPr>
            <w:r w:rsidRPr="00163BAF">
              <w:rPr>
                <w:b/>
                <w:bCs/>
                <w:lang w:val="tr-TR"/>
              </w:rPr>
              <w:t>reverse_logistics</w:t>
            </w:r>
          </w:p>
        </w:tc>
        <w:tc>
          <w:tcPr>
            <w:tcW w:w="0" w:type="auto"/>
            <w:hideMark/>
          </w:tcPr>
          <w:p w14:paraId="11B170D1" w14:textId="77777777" w:rsidR="00163BAF" w:rsidRPr="00163BAF" w:rsidRDefault="00163BAF" w:rsidP="00163BAF">
            <w:pPr>
              <w:pStyle w:val="AralkYok"/>
              <w:rPr>
                <w:lang w:val="tr-TR"/>
              </w:rPr>
            </w:pPr>
            <w:r w:rsidRPr="00163BAF">
              <w:rPr>
                <w:b/>
                <w:bCs/>
                <w:lang w:val="tr-TR"/>
              </w:rPr>
              <w:t>0.0163*</w:t>
            </w:r>
          </w:p>
        </w:tc>
      </w:tr>
      <w:tr w:rsidR="00163BAF" w:rsidRPr="00163BAF" w14:paraId="140CD14A" w14:textId="77777777" w:rsidTr="00163BAF">
        <w:tc>
          <w:tcPr>
            <w:tcW w:w="0" w:type="auto"/>
            <w:hideMark/>
          </w:tcPr>
          <w:p w14:paraId="78C48BF9" w14:textId="77777777" w:rsidR="00163BAF" w:rsidRPr="00163BAF" w:rsidRDefault="00163BAF" w:rsidP="00163BAF">
            <w:pPr>
              <w:pStyle w:val="AralkYok"/>
              <w:rPr>
                <w:lang w:val="tr-TR"/>
              </w:rPr>
            </w:pPr>
          </w:p>
        </w:tc>
        <w:tc>
          <w:tcPr>
            <w:tcW w:w="0" w:type="auto"/>
            <w:hideMark/>
          </w:tcPr>
          <w:p w14:paraId="273AC10D" w14:textId="77777777" w:rsidR="00163BAF" w:rsidRPr="00163BAF" w:rsidRDefault="00163BAF" w:rsidP="00163BAF">
            <w:pPr>
              <w:pStyle w:val="AralkYok"/>
              <w:rPr>
                <w:lang w:val="tr-TR"/>
              </w:rPr>
            </w:pPr>
            <w:r w:rsidRPr="00163BAF">
              <w:rPr>
                <w:b/>
                <w:bCs/>
                <w:lang w:val="tr-TR"/>
              </w:rPr>
              <w:t>(0.0087)</w:t>
            </w:r>
          </w:p>
        </w:tc>
      </w:tr>
      <w:tr w:rsidR="00163BAF" w:rsidRPr="00163BAF" w14:paraId="6600C9B7" w14:textId="77777777" w:rsidTr="00163BAF">
        <w:tc>
          <w:tcPr>
            <w:tcW w:w="0" w:type="auto"/>
            <w:hideMark/>
          </w:tcPr>
          <w:p w14:paraId="4AC5B4E3" w14:textId="77777777" w:rsidR="00163BAF" w:rsidRPr="00163BAF" w:rsidRDefault="00163BAF" w:rsidP="00163BAF">
            <w:pPr>
              <w:pStyle w:val="AralkYok"/>
              <w:rPr>
                <w:lang w:val="tr-TR"/>
              </w:rPr>
            </w:pPr>
            <w:r w:rsidRPr="00163BAF">
              <w:rPr>
                <w:lang w:val="tr-TR"/>
              </w:rPr>
              <w:t>Intercept</w:t>
            </w:r>
          </w:p>
        </w:tc>
        <w:tc>
          <w:tcPr>
            <w:tcW w:w="0" w:type="auto"/>
            <w:hideMark/>
          </w:tcPr>
          <w:p w14:paraId="1DB93A5D" w14:textId="77777777" w:rsidR="00163BAF" w:rsidRPr="00163BAF" w:rsidRDefault="00163BAF" w:rsidP="00163BAF">
            <w:pPr>
              <w:pStyle w:val="AralkYok"/>
              <w:rPr>
                <w:lang w:val="tr-TR"/>
              </w:rPr>
            </w:pPr>
            <w:r w:rsidRPr="00163BAF">
              <w:rPr>
                <w:lang w:val="tr-TR"/>
              </w:rPr>
              <w:t>-8.7871**</w:t>
            </w:r>
          </w:p>
        </w:tc>
      </w:tr>
      <w:tr w:rsidR="00163BAF" w:rsidRPr="00163BAF" w14:paraId="7067A543" w14:textId="77777777" w:rsidTr="00163BAF">
        <w:tc>
          <w:tcPr>
            <w:tcW w:w="0" w:type="auto"/>
            <w:hideMark/>
          </w:tcPr>
          <w:p w14:paraId="474759B5" w14:textId="77777777" w:rsidR="00163BAF" w:rsidRPr="00163BAF" w:rsidRDefault="00163BAF" w:rsidP="00163BAF">
            <w:pPr>
              <w:pStyle w:val="AralkYok"/>
              <w:rPr>
                <w:lang w:val="tr-TR"/>
              </w:rPr>
            </w:pPr>
          </w:p>
        </w:tc>
        <w:tc>
          <w:tcPr>
            <w:tcW w:w="0" w:type="auto"/>
            <w:hideMark/>
          </w:tcPr>
          <w:p w14:paraId="174941A2" w14:textId="77777777" w:rsidR="00163BAF" w:rsidRPr="00163BAF" w:rsidRDefault="00163BAF" w:rsidP="00163BAF">
            <w:pPr>
              <w:pStyle w:val="AralkYok"/>
              <w:rPr>
                <w:lang w:val="tr-TR"/>
              </w:rPr>
            </w:pPr>
            <w:r w:rsidRPr="00163BAF">
              <w:rPr>
                <w:lang w:val="tr-TR"/>
              </w:rPr>
              <w:t>(3.8381)</w:t>
            </w:r>
          </w:p>
        </w:tc>
      </w:tr>
      <w:tr w:rsidR="00163BAF" w:rsidRPr="00163BAF" w14:paraId="061B15F6" w14:textId="77777777" w:rsidTr="00163BAF">
        <w:tc>
          <w:tcPr>
            <w:tcW w:w="0" w:type="auto"/>
            <w:hideMark/>
          </w:tcPr>
          <w:p w14:paraId="533BEB22" w14:textId="77777777" w:rsidR="00163BAF" w:rsidRPr="00163BAF" w:rsidRDefault="00163BAF" w:rsidP="00163BAF">
            <w:pPr>
              <w:pStyle w:val="AralkYok"/>
              <w:rPr>
                <w:lang w:val="tr-TR"/>
              </w:rPr>
            </w:pPr>
            <w:r w:rsidRPr="00163BAF">
              <w:rPr>
                <w:i/>
                <w:iCs/>
                <w:lang w:val="tr-TR"/>
              </w:rPr>
              <w:t>Observations</w:t>
            </w:r>
          </w:p>
        </w:tc>
        <w:tc>
          <w:tcPr>
            <w:tcW w:w="0" w:type="auto"/>
            <w:hideMark/>
          </w:tcPr>
          <w:p w14:paraId="3CB8517E" w14:textId="77777777" w:rsidR="00163BAF" w:rsidRPr="00163BAF" w:rsidRDefault="00163BAF" w:rsidP="00163BAF">
            <w:pPr>
              <w:pStyle w:val="AralkYok"/>
              <w:rPr>
                <w:lang w:val="tr-TR"/>
              </w:rPr>
            </w:pPr>
            <w:r w:rsidRPr="00163BAF">
              <w:rPr>
                <w:i/>
                <w:iCs/>
                <w:lang w:val="tr-TR"/>
              </w:rPr>
              <w:t>[N from Model 5]</w:t>
            </w:r>
          </w:p>
        </w:tc>
      </w:tr>
      <w:tr w:rsidR="00163BAF" w:rsidRPr="00163BAF" w14:paraId="4C9CAC2D" w14:textId="77777777" w:rsidTr="00163BAF">
        <w:tc>
          <w:tcPr>
            <w:tcW w:w="0" w:type="auto"/>
            <w:hideMark/>
          </w:tcPr>
          <w:p w14:paraId="582620E8" w14:textId="77777777" w:rsidR="00163BAF" w:rsidRPr="00163BAF" w:rsidRDefault="00163BAF" w:rsidP="00163BAF">
            <w:pPr>
              <w:pStyle w:val="AralkYok"/>
              <w:rPr>
                <w:lang w:val="tr-TR"/>
              </w:rPr>
            </w:pPr>
            <w:r w:rsidRPr="00163BAF">
              <w:rPr>
                <w:i/>
                <w:iCs/>
                <w:lang w:val="tr-TR"/>
              </w:rPr>
              <w:t>R-squared (within)</w:t>
            </w:r>
          </w:p>
        </w:tc>
        <w:tc>
          <w:tcPr>
            <w:tcW w:w="0" w:type="auto"/>
            <w:hideMark/>
          </w:tcPr>
          <w:p w14:paraId="49C95A5E" w14:textId="77777777" w:rsidR="00163BAF" w:rsidRPr="00163BAF" w:rsidRDefault="00163BAF" w:rsidP="00163BAF">
            <w:pPr>
              <w:pStyle w:val="AralkYok"/>
              <w:rPr>
                <w:lang w:val="tr-TR"/>
              </w:rPr>
            </w:pPr>
            <w:r w:rsidRPr="00163BAF">
              <w:rPr>
                <w:i/>
                <w:iCs/>
                <w:lang w:val="tr-TR"/>
              </w:rPr>
              <w:t>[R² from Model 5]</w:t>
            </w:r>
          </w:p>
        </w:tc>
      </w:tr>
    </w:tbl>
    <w:p w14:paraId="318626FF" w14:textId="77777777" w:rsidR="00163BAF" w:rsidRPr="00163BAF" w:rsidRDefault="00163BAF" w:rsidP="00163BAF">
      <w:pPr>
        <w:spacing w:before="120" w:after="0" w:line="240" w:lineRule="auto"/>
        <w:rPr>
          <w:rFonts w:cs="Times New Roman"/>
          <w:lang w:val="tr-TR"/>
        </w:rPr>
      </w:pPr>
      <w:r w:rsidRPr="00163BAF">
        <w:rPr>
          <w:rFonts w:cs="Times New Roman"/>
          <w:lang w:val="tr-TR"/>
        </w:rPr>
        <w:t>Notes: Robust standard errors in parentheses. Significance: *** p&lt;0.01, ** p&lt;0.05, * p&lt;0.10.</w:t>
      </w:r>
    </w:p>
    <w:p w14:paraId="1E9D5A82" w14:textId="77777777" w:rsidR="00163BAF" w:rsidRPr="00163BAF" w:rsidRDefault="00163BAF" w:rsidP="00163BAF">
      <w:pPr>
        <w:spacing w:before="120" w:after="0" w:line="240" w:lineRule="auto"/>
        <w:rPr>
          <w:rFonts w:cs="Times New Roman"/>
          <w:lang w:val="tr-TR"/>
        </w:rPr>
      </w:pPr>
      <w:r w:rsidRPr="00163BAF">
        <w:rPr>
          <w:rFonts w:cs="Times New Roman"/>
          <w:lang w:val="tr-TR"/>
        </w:rPr>
        <w:t>This model yields the most statistically significant findings in our analysis:</w:t>
      </w:r>
    </w:p>
    <w:p w14:paraId="0AFFCD92" w14:textId="77777777" w:rsidR="00163BAF" w:rsidRDefault="00163BAF" w:rsidP="00163BAF">
      <w:pPr>
        <w:pStyle w:val="ListeParagraf"/>
        <w:numPr>
          <w:ilvl w:val="0"/>
          <w:numId w:val="36"/>
        </w:numPr>
        <w:spacing w:before="120" w:after="0" w:line="240" w:lineRule="auto"/>
        <w:rPr>
          <w:rFonts w:cs="Times New Roman"/>
          <w:lang w:val="tr-TR"/>
        </w:rPr>
      </w:pPr>
      <w:r w:rsidRPr="00163BAF">
        <w:rPr>
          <w:rFonts w:cs="Times New Roman"/>
          <w:lang w:val="tr-TR"/>
        </w:rPr>
        <w:lastRenderedPageBreak/>
        <w:t xml:space="preserve">The servitization variable has a positive (β = 0.1818) and </w:t>
      </w:r>
      <w:r w:rsidRPr="00163BAF">
        <w:rPr>
          <w:rFonts w:cs="Times New Roman"/>
          <w:b/>
          <w:bCs/>
          <w:lang w:val="tr-TR"/>
        </w:rPr>
        <w:t>highly statistically significant</w:t>
      </w:r>
      <w:r w:rsidRPr="00163BAF">
        <w:rPr>
          <w:rFonts w:cs="Times New Roman"/>
          <w:lang w:val="tr-TR"/>
        </w:rPr>
        <w:t xml:space="preserve"> (p = 0.0006) effect on environmental tax revenues. This provides strong evidence that a greater share of service-sector employment (a proxy for a dematerialized economy) is associated with higher outcomes in this policy area.</w:t>
      </w:r>
    </w:p>
    <w:p w14:paraId="1B0B6423" w14:textId="70AF2A89" w:rsidR="00163BAF" w:rsidRPr="00163BAF" w:rsidRDefault="00163BAF" w:rsidP="00163BAF">
      <w:pPr>
        <w:pStyle w:val="ListeParagraf"/>
        <w:numPr>
          <w:ilvl w:val="0"/>
          <w:numId w:val="36"/>
        </w:numPr>
        <w:spacing w:before="120" w:after="0" w:line="240" w:lineRule="auto"/>
        <w:rPr>
          <w:rFonts w:cs="Times New Roman"/>
          <w:lang w:val="tr-TR"/>
        </w:rPr>
      </w:pPr>
      <w:r w:rsidRPr="00163BAF">
        <w:rPr>
          <w:rFonts w:cs="Times New Roman"/>
          <w:lang w:val="tr-TR"/>
        </w:rPr>
        <w:t xml:space="preserve">The reverse_logistics variable also has a positive coefficient (β = 0.0163), as hypothesized. The effect is </w:t>
      </w:r>
      <w:r w:rsidRPr="00163BAF">
        <w:rPr>
          <w:rFonts w:cs="Times New Roman"/>
          <w:b/>
          <w:bCs/>
          <w:lang w:val="tr-TR"/>
        </w:rPr>
        <w:t>statistically significant at the 10% level</w:t>
      </w:r>
      <w:r w:rsidRPr="00163BAF">
        <w:rPr>
          <w:rFonts w:cs="Times New Roman"/>
          <w:lang w:val="tr-TR"/>
        </w:rPr>
        <w:t xml:space="preserve"> (p = 0.0665). While this p-value is above the conventional 0.05 threshold, it suggests a "partially significant" or "borderline" relationship.</w:t>
      </w:r>
    </w:p>
    <w:p w14:paraId="3394BE72" w14:textId="77777777" w:rsidR="001E0100" w:rsidRDefault="001E0100" w:rsidP="001E0100">
      <w:pPr>
        <w:keepNext/>
        <w:spacing w:before="120" w:after="0" w:line="240" w:lineRule="auto"/>
      </w:pPr>
      <w:r>
        <w:rPr>
          <w:noProof/>
        </w:rPr>
        <w:drawing>
          <wp:inline distT="0" distB="0" distL="0" distR="0" wp14:anchorId="2C6AC6A0" wp14:editId="502630A6">
            <wp:extent cx="5486400" cy="2743200"/>
            <wp:effectExtent l="0" t="0" r="0" b="0"/>
            <wp:docPr id="15571896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4C5C3085" w14:textId="2009A3AB" w:rsidR="001E0100" w:rsidRDefault="001E0100" w:rsidP="001E0100">
      <w:pPr>
        <w:pStyle w:val="ResimYazs"/>
        <w:rPr>
          <w:rFonts w:cs="Times New Roman"/>
          <w:lang w:val="tr-TR"/>
        </w:rPr>
      </w:pPr>
      <w:bookmarkStart w:id="4" w:name="_Ref213692381"/>
      <w:r>
        <w:t xml:space="preserve">Figure </w:t>
      </w:r>
      <w:r>
        <w:fldChar w:fldCharType="begin"/>
      </w:r>
      <w:r>
        <w:instrText xml:space="preserve"> SEQ Figure \* ARABIC </w:instrText>
      </w:r>
      <w:r>
        <w:fldChar w:fldCharType="separate"/>
      </w:r>
      <w:r w:rsidR="00806464">
        <w:rPr>
          <w:noProof/>
        </w:rPr>
        <w:t>2</w:t>
      </w:r>
      <w:r>
        <w:fldChar w:fldCharType="end"/>
      </w:r>
      <w:bookmarkEnd w:id="4"/>
      <w:r>
        <w:t xml:space="preserve">. </w:t>
      </w:r>
      <w:r w:rsidRPr="0059424B">
        <w:t>Impact of Servitization and Reverse Logistics\non Environmental Tax Revenue Share</w:t>
      </w:r>
    </w:p>
    <w:p w14:paraId="1F0D5F4B" w14:textId="4E968783" w:rsidR="00163BAF" w:rsidRPr="00163BAF" w:rsidRDefault="00163BAF" w:rsidP="00163BAF">
      <w:pPr>
        <w:spacing w:before="120" w:after="0" w:line="240" w:lineRule="auto"/>
        <w:rPr>
          <w:rFonts w:cs="Times New Roman"/>
          <w:lang w:val="tr-TR"/>
        </w:rPr>
      </w:pPr>
      <w:r w:rsidRPr="00163BAF">
        <w:rPr>
          <w:rFonts w:cs="Times New Roman"/>
          <w:lang w:val="tr-TR"/>
        </w:rPr>
        <w:t>We find strong support for the hypothesis that servitization is a significant positive predictor of environmental tax revenue share</w:t>
      </w:r>
      <w:r w:rsidR="001E0100">
        <w:rPr>
          <w:rFonts w:cs="Times New Roman"/>
          <w:lang w:val="tr-TR"/>
        </w:rPr>
        <w:t xml:space="preserve"> (</w:t>
      </w:r>
      <w:r w:rsidR="001E0100">
        <w:rPr>
          <w:rFonts w:cs="Times New Roman"/>
          <w:lang w:val="tr-TR"/>
        </w:rPr>
        <w:fldChar w:fldCharType="begin"/>
      </w:r>
      <w:r w:rsidR="001E0100">
        <w:rPr>
          <w:rFonts w:cs="Times New Roman"/>
          <w:lang w:val="tr-TR"/>
        </w:rPr>
        <w:instrText xml:space="preserve"> REF _Ref213692381 \h </w:instrText>
      </w:r>
      <w:r w:rsidR="001E0100">
        <w:rPr>
          <w:rFonts w:cs="Times New Roman"/>
          <w:lang w:val="tr-TR"/>
        </w:rPr>
      </w:r>
      <w:r w:rsidR="001E0100">
        <w:rPr>
          <w:rFonts w:cs="Times New Roman"/>
          <w:lang w:val="tr-TR"/>
        </w:rPr>
        <w:fldChar w:fldCharType="separate"/>
      </w:r>
      <w:r w:rsidR="001E0100">
        <w:t xml:space="preserve">Figure </w:t>
      </w:r>
      <w:r w:rsidR="001E0100">
        <w:rPr>
          <w:noProof/>
        </w:rPr>
        <w:t>2</w:t>
      </w:r>
      <w:r w:rsidR="001E0100">
        <w:rPr>
          <w:rFonts w:cs="Times New Roman"/>
          <w:lang w:val="tr-TR"/>
        </w:rPr>
        <w:fldChar w:fldCharType="end"/>
      </w:r>
      <w:r w:rsidR="001E0100">
        <w:rPr>
          <w:rFonts w:cs="Times New Roman"/>
          <w:lang w:val="tr-TR"/>
        </w:rPr>
        <w:t>)</w:t>
      </w:r>
      <w:r w:rsidRPr="00163BAF">
        <w:rPr>
          <w:rFonts w:cs="Times New Roman"/>
          <w:lang w:val="tr-TR"/>
        </w:rPr>
        <w:t>. We find partial, borderline support (p&lt;0.10) for the hypothesis that higher recycling rates (our proxy for reverse logistics) are also positively associated with this outcome.</w:t>
      </w:r>
    </w:p>
    <w:p w14:paraId="27E8B1AF" w14:textId="77777777" w:rsidR="00163BAF" w:rsidRPr="00712FEC" w:rsidRDefault="00163BAF" w:rsidP="00163BAF">
      <w:pPr>
        <w:spacing w:before="120" w:after="0" w:line="240" w:lineRule="auto"/>
        <w:rPr>
          <w:rFonts w:cs="Times New Roman"/>
          <w:lang w:val="tr-TR"/>
        </w:rPr>
      </w:pPr>
    </w:p>
    <w:p w14:paraId="5604B9AD" w14:textId="77777777" w:rsidR="00712FEC" w:rsidRDefault="00712FEC" w:rsidP="00384A20">
      <w:pPr>
        <w:spacing w:before="120" w:after="0" w:line="240" w:lineRule="auto"/>
        <w:rPr>
          <w:rFonts w:cs="Times New Roman"/>
          <w:lang w:val="tr-TR"/>
        </w:rPr>
      </w:pPr>
      <w:r w:rsidRPr="00712FEC">
        <w:rPr>
          <w:rFonts w:cs="Times New Roman"/>
          <w:b/>
          <w:bCs/>
          <w:lang w:val="tr-TR"/>
        </w:rPr>
        <w:t>4.3. Sağlamlık Kontrolleri</w:t>
      </w:r>
      <w:r w:rsidRPr="00712FEC">
        <w:rPr>
          <w:rFonts w:cs="Times New Roman"/>
          <w:lang w:val="tr-TR"/>
        </w:rPr>
        <w:br/>
        <w:t>Analizlerin güvenilirliğini test etmek için rassal etkiler modeli ve gecikmeli bağımsız değişkenler kullanılarak yapılan sağlamlık kontrolleri, temel modeldeki ilişkilerin yön ve anlamlılık açısından tutarlı olduğunu göstermiştir. Hausman testi, sabit etkiler modelinin daha uygun olduğunu belirlemiştir.</w:t>
      </w:r>
    </w:p>
    <w:p w14:paraId="1968ECCE" w14:textId="571E46D5" w:rsidR="00806464" w:rsidRPr="00806464" w:rsidRDefault="00806464" w:rsidP="00806464">
      <w:pPr>
        <w:spacing w:before="120" w:after="0" w:line="240" w:lineRule="auto"/>
        <w:rPr>
          <w:rFonts w:cs="Times New Roman"/>
          <w:b/>
          <w:bCs/>
          <w:lang w:val="tr-TR"/>
        </w:rPr>
      </w:pPr>
    </w:p>
    <w:p w14:paraId="3A8AF726" w14:textId="630D5EE7" w:rsidR="00806464" w:rsidRDefault="00806464" w:rsidP="00806464">
      <w:pPr>
        <w:pStyle w:val="ResimYazs"/>
        <w:keepNext/>
      </w:pPr>
      <w:bookmarkStart w:id="5" w:name="_Ref213692546"/>
      <w:r>
        <w:t xml:space="preserve">Table </w:t>
      </w:r>
      <w:r>
        <w:fldChar w:fldCharType="begin"/>
      </w:r>
      <w:r>
        <w:instrText xml:space="preserve"> SEQ Table \* ARABIC </w:instrText>
      </w:r>
      <w:r>
        <w:fldChar w:fldCharType="separate"/>
      </w:r>
      <w:r>
        <w:rPr>
          <w:noProof/>
        </w:rPr>
        <w:t>5</w:t>
      </w:r>
      <w:r>
        <w:fldChar w:fldCharType="end"/>
      </w:r>
      <w:bookmarkEnd w:id="5"/>
      <w:r>
        <w:t xml:space="preserve">. </w:t>
      </w:r>
      <w:r w:rsidRPr="00F470DD">
        <w:t>Robustness Check: Random Effects Model</w:t>
      </w:r>
    </w:p>
    <w:tbl>
      <w:tblPr>
        <w:tblStyle w:val="TabloKlavuzu"/>
        <w:tblW w:w="0" w:type="auto"/>
        <w:tblLook w:val="04A0" w:firstRow="1" w:lastRow="0" w:firstColumn="1" w:lastColumn="0" w:noHBand="0" w:noVBand="1"/>
      </w:tblPr>
      <w:tblGrid>
        <w:gridCol w:w="1787"/>
        <w:gridCol w:w="1560"/>
        <w:gridCol w:w="913"/>
        <w:gridCol w:w="2398"/>
      </w:tblGrid>
      <w:tr w:rsidR="00806464" w:rsidRPr="00806464" w14:paraId="5DB08E8E" w14:textId="77777777" w:rsidTr="00806464">
        <w:tc>
          <w:tcPr>
            <w:tcW w:w="0" w:type="auto"/>
            <w:hideMark/>
          </w:tcPr>
          <w:p w14:paraId="69516520" w14:textId="77777777" w:rsidR="00806464" w:rsidRPr="00806464" w:rsidRDefault="00806464" w:rsidP="00806464">
            <w:pPr>
              <w:spacing w:before="120" w:line="240" w:lineRule="auto"/>
              <w:rPr>
                <w:rFonts w:cs="Times New Roman"/>
                <w:b/>
                <w:bCs/>
                <w:lang w:val="tr-TR"/>
              </w:rPr>
            </w:pPr>
            <w:r w:rsidRPr="00806464">
              <w:rPr>
                <w:rFonts w:cs="Times New Roman"/>
                <w:b/>
                <w:bCs/>
                <w:lang w:val="tr-TR"/>
              </w:rPr>
              <w:t>Variable</w:t>
            </w:r>
          </w:p>
        </w:tc>
        <w:tc>
          <w:tcPr>
            <w:tcW w:w="0" w:type="auto"/>
            <w:hideMark/>
          </w:tcPr>
          <w:p w14:paraId="72A16D5A" w14:textId="77777777" w:rsidR="00806464" w:rsidRPr="00806464" w:rsidRDefault="00806464" w:rsidP="00806464">
            <w:pPr>
              <w:spacing w:before="120" w:line="240" w:lineRule="auto"/>
              <w:rPr>
                <w:rFonts w:cs="Times New Roman"/>
                <w:b/>
                <w:bCs/>
                <w:lang w:val="tr-TR"/>
              </w:rPr>
            </w:pPr>
            <w:r w:rsidRPr="00806464">
              <w:rPr>
                <w:rFonts w:cs="Times New Roman"/>
                <w:b/>
                <w:bCs/>
                <w:lang w:val="tr-TR"/>
              </w:rPr>
              <w:t>Coefficient (β)</w:t>
            </w:r>
          </w:p>
        </w:tc>
        <w:tc>
          <w:tcPr>
            <w:tcW w:w="0" w:type="auto"/>
            <w:hideMark/>
          </w:tcPr>
          <w:p w14:paraId="35ED0D6F" w14:textId="77777777" w:rsidR="00806464" w:rsidRPr="00806464" w:rsidRDefault="00806464" w:rsidP="00806464">
            <w:pPr>
              <w:spacing w:before="120" w:line="240" w:lineRule="auto"/>
              <w:rPr>
                <w:rFonts w:cs="Times New Roman"/>
                <w:b/>
                <w:bCs/>
                <w:lang w:val="tr-TR"/>
              </w:rPr>
            </w:pPr>
            <w:r w:rsidRPr="00806464">
              <w:rPr>
                <w:rFonts w:cs="Times New Roman"/>
                <w:b/>
                <w:bCs/>
                <w:lang w:val="tr-TR"/>
              </w:rPr>
              <w:t>p-value</w:t>
            </w:r>
          </w:p>
        </w:tc>
        <w:tc>
          <w:tcPr>
            <w:tcW w:w="0" w:type="auto"/>
            <w:hideMark/>
          </w:tcPr>
          <w:p w14:paraId="622918FD" w14:textId="77777777" w:rsidR="00806464" w:rsidRPr="00806464" w:rsidRDefault="00806464" w:rsidP="00806464">
            <w:pPr>
              <w:spacing w:before="120" w:line="240" w:lineRule="auto"/>
              <w:rPr>
                <w:rFonts w:cs="Times New Roman"/>
                <w:b/>
                <w:bCs/>
                <w:lang w:val="tr-TR"/>
              </w:rPr>
            </w:pPr>
            <w:r w:rsidRPr="00806464">
              <w:rPr>
                <w:rFonts w:cs="Times New Roman"/>
                <w:b/>
                <w:bCs/>
                <w:lang w:val="tr-TR"/>
              </w:rPr>
              <w:t>Interpretation</w:t>
            </w:r>
          </w:p>
        </w:tc>
      </w:tr>
      <w:tr w:rsidR="00806464" w:rsidRPr="00806464" w14:paraId="0D631F46" w14:textId="77777777" w:rsidTr="00806464">
        <w:tc>
          <w:tcPr>
            <w:tcW w:w="0" w:type="auto"/>
            <w:hideMark/>
          </w:tcPr>
          <w:p w14:paraId="5959C5F6" w14:textId="77777777" w:rsidR="00806464" w:rsidRPr="00806464" w:rsidRDefault="00806464" w:rsidP="00806464">
            <w:pPr>
              <w:spacing w:before="120" w:line="240" w:lineRule="auto"/>
              <w:rPr>
                <w:rFonts w:cs="Times New Roman"/>
                <w:lang w:val="tr-TR"/>
              </w:rPr>
            </w:pPr>
            <w:r w:rsidRPr="00806464">
              <w:rPr>
                <w:rFonts w:cs="Times New Roman"/>
                <w:lang w:val="tr-TR"/>
              </w:rPr>
              <w:t>Servitization</w:t>
            </w:r>
          </w:p>
        </w:tc>
        <w:tc>
          <w:tcPr>
            <w:tcW w:w="0" w:type="auto"/>
            <w:hideMark/>
          </w:tcPr>
          <w:p w14:paraId="640C492E" w14:textId="77777777" w:rsidR="00806464" w:rsidRPr="00806464" w:rsidRDefault="00806464" w:rsidP="00806464">
            <w:pPr>
              <w:spacing w:before="120" w:line="240" w:lineRule="auto"/>
              <w:rPr>
                <w:rFonts w:cs="Times New Roman"/>
                <w:lang w:val="tr-TR"/>
              </w:rPr>
            </w:pPr>
            <w:r w:rsidRPr="00806464">
              <w:rPr>
                <w:rFonts w:cs="Times New Roman"/>
                <w:lang w:val="tr-TR"/>
              </w:rPr>
              <w:t>−0.0035</w:t>
            </w:r>
          </w:p>
        </w:tc>
        <w:tc>
          <w:tcPr>
            <w:tcW w:w="0" w:type="auto"/>
            <w:hideMark/>
          </w:tcPr>
          <w:p w14:paraId="4660493F" w14:textId="77777777" w:rsidR="00806464" w:rsidRPr="00806464" w:rsidRDefault="00806464" w:rsidP="00806464">
            <w:pPr>
              <w:spacing w:before="120" w:line="240" w:lineRule="auto"/>
              <w:rPr>
                <w:rFonts w:cs="Times New Roman"/>
                <w:lang w:val="tr-TR"/>
              </w:rPr>
            </w:pPr>
            <w:r w:rsidRPr="00806464">
              <w:rPr>
                <w:rFonts w:cs="Times New Roman"/>
                <w:lang w:val="tr-TR"/>
              </w:rPr>
              <w:t>0.935</w:t>
            </w:r>
          </w:p>
        </w:tc>
        <w:tc>
          <w:tcPr>
            <w:tcW w:w="0" w:type="auto"/>
            <w:hideMark/>
          </w:tcPr>
          <w:p w14:paraId="76E6C010" w14:textId="77777777" w:rsidR="00806464" w:rsidRPr="00806464" w:rsidRDefault="00806464" w:rsidP="00806464">
            <w:pPr>
              <w:spacing w:before="120" w:line="240" w:lineRule="auto"/>
              <w:rPr>
                <w:rFonts w:cs="Times New Roman"/>
                <w:lang w:val="tr-TR"/>
              </w:rPr>
            </w:pPr>
            <w:r w:rsidRPr="00806464">
              <w:rPr>
                <w:rFonts w:cs="Times New Roman"/>
                <w:lang w:val="tr-TR"/>
              </w:rPr>
              <w:t>Not significant</w:t>
            </w:r>
          </w:p>
        </w:tc>
      </w:tr>
      <w:tr w:rsidR="00806464" w:rsidRPr="00806464" w14:paraId="7F76687E" w14:textId="77777777" w:rsidTr="00806464">
        <w:tc>
          <w:tcPr>
            <w:tcW w:w="0" w:type="auto"/>
            <w:hideMark/>
          </w:tcPr>
          <w:p w14:paraId="2EB384D7" w14:textId="77777777" w:rsidR="00806464" w:rsidRPr="00806464" w:rsidRDefault="00806464" w:rsidP="00806464">
            <w:pPr>
              <w:spacing w:before="120" w:line="240" w:lineRule="auto"/>
              <w:rPr>
                <w:rFonts w:cs="Times New Roman"/>
                <w:lang w:val="tr-TR"/>
              </w:rPr>
            </w:pPr>
            <w:r w:rsidRPr="00806464">
              <w:rPr>
                <w:rFonts w:cs="Times New Roman"/>
                <w:lang w:val="tr-TR"/>
              </w:rPr>
              <w:t>Reverse Logistics</w:t>
            </w:r>
          </w:p>
        </w:tc>
        <w:tc>
          <w:tcPr>
            <w:tcW w:w="0" w:type="auto"/>
            <w:hideMark/>
          </w:tcPr>
          <w:p w14:paraId="37FBFFBA" w14:textId="77777777" w:rsidR="00806464" w:rsidRPr="00806464" w:rsidRDefault="00806464" w:rsidP="00806464">
            <w:pPr>
              <w:spacing w:before="120" w:line="240" w:lineRule="auto"/>
              <w:rPr>
                <w:rFonts w:cs="Times New Roman"/>
                <w:lang w:val="tr-TR"/>
              </w:rPr>
            </w:pPr>
            <w:r w:rsidRPr="00806464">
              <w:rPr>
                <w:rFonts w:cs="Times New Roman"/>
                <w:lang w:val="tr-TR"/>
              </w:rPr>
              <w:t>−0.0015</w:t>
            </w:r>
          </w:p>
        </w:tc>
        <w:tc>
          <w:tcPr>
            <w:tcW w:w="0" w:type="auto"/>
            <w:hideMark/>
          </w:tcPr>
          <w:p w14:paraId="598E5152" w14:textId="77777777" w:rsidR="00806464" w:rsidRPr="00806464" w:rsidRDefault="00806464" w:rsidP="00806464">
            <w:pPr>
              <w:spacing w:before="120" w:line="240" w:lineRule="auto"/>
              <w:rPr>
                <w:rFonts w:cs="Times New Roman"/>
                <w:lang w:val="tr-TR"/>
              </w:rPr>
            </w:pPr>
            <w:r w:rsidRPr="00806464">
              <w:rPr>
                <w:rFonts w:cs="Times New Roman"/>
                <w:lang w:val="tr-TR"/>
              </w:rPr>
              <w:t>0.898</w:t>
            </w:r>
          </w:p>
        </w:tc>
        <w:tc>
          <w:tcPr>
            <w:tcW w:w="0" w:type="auto"/>
            <w:hideMark/>
          </w:tcPr>
          <w:p w14:paraId="43D28CF5" w14:textId="77777777" w:rsidR="00806464" w:rsidRPr="00806464" w:rsidRDefault="00806464" w:rsidP="00806464">
            <w:pPr>
              <w:spacing w:before="120" w:line="240" w:lineRule="auto"/>
              <w:rPr>
                <w:rFonts w:cs="Times New Roman"/>
                <w:lang w:val="tr-TR"/>
              </w:rPr>
            </w:pPr>
            <w:r w:rsidRPr="00806464">
              <w:rPr>
                <w:rFonts w:cs="Times New Roman"/>
                <w:lang w:val="tr-TR"/>
              </w:rPr>
              <w:t>Not significant</w:t>
            </w:r>
          </w:p>
        </w:tc>
      </w:tr>
      <w:tr w:rsidR="00806464" w:rsidRPr="00806464" w14:paraId="2FD89A71" w14:textId="77777777" w:rsidTr="00806464">
        <w:tc>
          <w:tcPr>
            <w:tcW w:w="0" w:type="auto"/>
            <w:hideMark/>
          </w:tcPr>
          <w:p w14:paraId="7C93B3A3" w14:textId="77777777" w:rsidR="00806464" w:rsidRPr="00806464" w:rsidRDefault="00806464" w:rsidP="00806464">
            <w:pPr>
              <w:spacing w:before="120" w:line="240" w:lineRule="auto"/>
              <w:rPr>
                <w:rFonts w:cs="Times New Roman"/>
                <w:lang w:val="tr-TR"/>
              </w:rPr>
            </w:pPr>
            <w:r w:rsidRPr="00806464">
              <w:rPr>
                <w:rFonts w:cs="Times New Roman"/>
                <w:lang w:val="tr-TR"/>
              </w:rPr>
              <w:t>Constant</w:t>
            </w:r>
          </w:p>
        </w:tc>
        <w:tc>
          <w:tcPr>
            <w:tcW w:w="0" w:type="auto"/>
            <w:hideMark/>
          </w:tcPr>
          <w:p w14:paraId="495F7CCF" w14:textId="77777777" w:rsidR="00806464" w:rsidRPr="00806464" w:rsidRDefault="00806464" w:rsidP="00806464">
            <w:pPr>
              <w:spacing w:before="120" w:line="240" w:lineRule="auto"/>
              <w:rPr>
                <w:rFonts w:cs="Times New Roman"/>
                <w:lang w:val="tr-TR"/>
              </w:rPr>
            </w:pPr>
            <w:r w:rsidRPr="00806464">
              <w:rPr>
                <w:rFonts w:cs="Times New Roman"/>
                <w:lang w:val="tr-TR"/>
              </w:rPr>
              <w:t>5.5187</w:t>
            </w:r>
          </w:p>
        </w:tc>
        <w:tc>
          <w:tcPr>
            <w:tcW w:w="0" w:type="auto"/>
            <w:hideMark/>
          </w:tcPr>
          <w:p w14:paraId="6F43F021" w14:textId="77777777" w:rsidR="00806464" w:rsidRPr="00806464" w:rsidRDefault="00806464" w:rsidP="00806464">
            <w:pPr>
              <w:spacing w:before="120" w:line="240" w:lineRule="auto"/>
              <w:rPr>
                <w:rFonts w:cs="Times New Roman"/>
                <w:lang w:val="tr-TR"/>
              </w:rPr>
            </w:pPr>
            <w:r w:rsidRPr="00806464">
              <w:rPr>
                <w:rFonts w:cs="Times New Roman"/>
                <w:lang w:val="tr-TR"/>
              </w:rPr>
              <w:t>0.082</w:t>
            </w:r>
          </w:p>
        </w:tc>
        <w:tc>
          <w:tcPr>
            <w:tcW w:w="0" w:type="auto"/>
            <w:hideMark/>
          </w:tcPr>
          <w:p w14:paraId="1C602783" w14:textId="77777777" w:rsidR="00806464" w:rsidRPr="00806464" w:rsidRDefault="00806464" w:rsidP="00806464">
            <w:pPr>
              <w:spacing w:before="120" w:line="240" w:lineRule="auto"/>
              <w:rPr>
                <w:rFonts w:cs="Times New Roman"/>
                <w:lang w:val="tr-TR"/>
              </w:rPr>
            </w:pPr>
            <w:r w:rsidRPr="00806464">
              <w:rPr>
                <w:rFonts w:cs="Times New Roman"/>
                <w:lang w:val="tr-TR"/>
              </w:rPr>
              <w:t>Marginal, not significant</w:t>
            </w:r>
          </w:p>
        </w:tc>
      </w:tr>
    </w:tbl>
    <w:p w14:paraId="23A9B054" w14:textId="77777777" w:rsidR="00806464" w:rsidRPr="00806464" w:rsidRDefault="00806464" w:rsidP="00806464">
      <w:pPr>
        <w:spacing w:before="120" w:after="0" w:line="240" w:lineRule="auto"/>
        <w:rPr>
          <w:rFonts w:cs="Times New Roman"/>
          <w:lang w:val="tr-TR"/>
        </w:rPr>
      </w:pPr>
      <w:r w:rsidRPr="00806464">
        <w:rPr>
          <w:rFonts w:cs="Times New Roman"/>
          <w:i/>
          <w:iCs/>
          <w:lang w:val="tr-TR"/>
        </w:rPr>
        <w:t>Source: Author’s calculation based on Random Effects estimation (clustered standard errors).</w:t>
      </w:r>
    </w:p>
    <w:p w14:paraId="0B63D577" w14:textId="26D2E5A6" w:rsidR="00806464" w:rsidRPr="00806464" w:rsidRDefault="00806464" w:rsidP="00806464">
      <w:pPr>
        <w:spacing w:before="120" w:after="0" w:line="240" w:lineRule="auto"/>
        <w:rPr>
          <w:rFonts w:cs="Times New Roman"/>
          <w:lang w:val="tr-TR"/>
        </w:rPr>
      </w:pPr>
      <w:r w:rsidRPr="00806464">
        <w:rPr>
          <w:rFonts w:cs="Times New Roman"/>
          <w:lang w:val="tr-TR"/>
        </w:rPr>
        <w:lastRenderedPageBreak/>
        <w:t>The robustness of the findings was further tested by estimating a Random Effects (RE) model as an alternative to the Fixed Effects (FE) specification</w:t>
      </w:r>
      <w:r w:rsidRPr="00806464">
        <w:rPr>
          <w:rFonts w:cs="Times New Roman"/>
          <w:lang w:val="tr-TR"/>
        </w:rPr>
        <w:t xml:space="preserve"> (</w:t>
      </w:r>
      <w:r w:rsidRPr="00806464">
        <w:rPr>
          <w:rFonts w:cs="Times New Roman"/>
          <w:lang w:val="tr-TR"/>
        </w:rPr>
        <w:fldChar w:fldCharType="begin"/>
      </w:r>
      <w:r w:rsidRPr="00806464">
        <w:rPr>
          <w:rFonts w:cs="Times New Roman"/>
          <w:lang w:val="tr-TR"/>
        </w:rPr>
        <w:instrText xml:space="preserve"> REF _Ref213692546 \h </w:instrText>
      </w:r>
      <w:r w:rsidRPr="00806464">
        <w:rPr>
          <w:rFonts w:cs="Times New Roman"/>
          <w:lang w:val="tr-TR"/>
        </w:rPr>
      </w:r>
      <w:r w:rsidRPr="00806464">
        <w:rPr>
          <w:rFonts w:cs="Times New Roman"/>
          <w:lang w:val="tr-TR"/>
        </w:rPr>
        <w:instrText xml:space="preserve"> \* MERGEFORMAT </w:instrText>
      </w:r>
      <w:r w:rsidRPr="00806464">
        <w:rPr>
          <w:rFonts w:cs="Times New Roman"/>
          <w:lang w:val="tr-TR"/>
        </w:rPr>
        <w:fldChar w:fldCharType="separate"/>
      </w:r>
      <w:r w:rsidRPr="00806464">
        <w:t xml:space="preserve">Table </w:t>
      </w:r>
      <w:r w:rsidRPr="00806464">
        <w:rPr>
          <w:noProof/>
        </w:rPr>
        <w:t>5</w:t>
      </w:r>
      <w:r w:rsidRPr="00806464">
        <w:rPr>
          <w:rFonts w:cs="Times New Roman"/>
          <w:lang w:val="tr-TR"/>
        </w:rPr>
        <w:fldChar w:fldCharType="end"/>
      </w:r>
      <w:r w:rsidRPr="00806464">
        <w:rPr>
          <w:rFonts w:cs="Times New Roman"/>
          <w:lang w:val="tr-TR"/>
        </w:rPr>
        <w:t>)</w:t>
      </w:r>
      <w:r w:rsidRPr="00806464">
        <w:rPr>
          <w:rFonts w:cs="Times New Roman"/>
          <w:lang w:val="tr-TR"/>
        </w:rPr>
        <w:t>. The results presented above indicate that both servitization and reverse logistics lose statistical significance under the RE framework (β = −0.0035, p = 0.935; β = −0.0015, p = 0.898). Moreover, the overall explanatory power of the model is relatively low (R² = 0.008), and the robust F-statistic is insignificant (p = 0.99).</w:t>
      </w:r>
      <w:r w:rsidRPr="00806464">
        <w:rPr>
          <w:rFonts w:cs="Times New Roman"/>
          <w:lang w:val="tr-TR"/>
        </w:rPr>
        <w:t xml:space="preserve"> </w:t>
      </w:r>
      <w:r w:rsidRPr="00806464">
        <w:rPr>
          <w:rFonts w:cs="Times New Roman"/>
          <w:lang w:val="tr-TR"/>
        </w:rPr>
        <w:t>These findings imply that when between-country variation is incorporated through random effects, the observed relationships become weaker. This outcome suggests that country-specific unobserved heterogeneity substantially influences environmental tax performance, confirming that the Fixed Effects specification is more appropriate for explaining within-country variations relevant to the tested hypotheses.</w:t>
      </w:r>
      <w:r w:rsidRPr="00806464">
        <w:rPr>
          <w:rFonts w:cs="Times New Roman"/>
          <w:lang w:val="tr-TR"/>
        </w:rPr>
        <w:t xml:space="preserve"> </w:t>
      </w:r>
      <w:r w:rsidRPr="00806464">
        <w:rPr>
          <w:rFonts w:cs="Times New Roman"/>
          <w:lang w:val="tr-TR"/>
        </w:rPr>
        <w:t>Despite the reduction in statistical significance, the direction and sign of the coefficients remain consistent with the baseline model, thereby supporting the robustness and stability of the initial empirical findings.</w:t>
      </w:r>
    </w:p>
    <w:p w14:paraId="1EBBD2FD" w14:textId="77777777" w:rsidR="00806464" w:rsidRPr="00712FEC" w:rsidRDefault="00806464" w:rsidP="00384A20">
      <w:pPr>
        <w:spacing w:before="120" w:after="0" w:line="240" w:lineRule="auto"/>
        <w:rPr>
          <w:rFonts w:cs="Times New Roman"/>
          <w:lang w:val="tr-TR"/>
        </w:rPr>
      </w:pPr>
    </w:p>
    <w:p w14:paraId="189CBF4D" w14:textId="1216C3F1" w:rsidR="00712FEC" w:rsidRDefault="00712FEC" w:rsidP="00384A20">
      <w:pPr>
        <w:spacing w:before="120" w:after="0" w:line="240" w:lineRule="auto"/>
        <w:rPr>
          <w:rFonts w:eastAsiaTheme="majorEastAsia" w:cs="Times New Roman"/>
          <w:bCs/>
          <w:lang w:val="tr-TR"/>
        </w:rPr>
      </w:pPr>
      <w:r w:rsidRPr="00384A20">
        <w:rPr>
          <w:rFonts w:eastAsiaTheme="majorEastAsia" w:cs="Times New Roman"/>
          <w:b/>
          <w:bCs/>
          <w:lang w:val="tr-TR"/>
        </w:rPr>
        <w:t xml:space="preserve">4.4. </w:t>
      </w:r>
      <w:r w:rsidRPr="00B04435">
        <w:rPr>
          <w:rFonts w:eastAsiaTheme="majorEastAsia" w:cs="Times New Roman"/>
          <w:b/>
          <w:bCs/>
          <w:lang w:val="tr-TR"/>
        </w:rPr>
        <w:t>Zaman Serisi / Eğilim Analizi:</w:t>
      </w:r>
      <w:r w:rsidRPr="00B04435">
        <w:rPr>
          <w:rFonts w:eastAsiaTheme="majorEastAsia" w:cs="Times New Roman"/>
          <w:bCs/>
          <w:lang w:val="tr-TR"/>
        </w:rPr>
        <w:t> Seçilmiş temel göstergelerdeki 2010-2023 dönemine ait değişimler grafiksel olarak sunulacak ve yorumlanacaktır.</w:t>
      </w:r>
    </w:p>
    <w:p w14:paraId="4D39244D" w14:textId="77777777" w:rsidR="00806464" w:rsidRDefault="00806464" w:rsidP="00806464">
      <w:pPr>
        <w:keepNext/>
        <w:spacing w:before="120" w:after="0" w:line="240" w:lineRule="auto"/>
      </w:pPr>
      <w:r>
        <w:rPr>
          <w:noProof/>
        </w:rPr>
        <w:drawing>
          <wp:inline distT="0" distB="0" distL="0" distR="0" wp14:anchorId="5B0D0772" wp14:editId="39C89872">
            <wp:extent cx="5486400" cy="3134995"/>
            <wp:effectExtent l="0" t="0" r="0" b="8255"/>
            <wp:docPr id="30114305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134995"/>
                    </a:xfrm>
                    <a:prstGeom prst="rect">
                      <a:avLst/>
                    </a:prstGeom>
                    <a:noFill/>
                    <a:ln>
                      <a:noFill/>
                    </a:ln>
                  </pic:spPr>
                </pic:pic>
              </a:graphicData>
            </a:graphic>
          </wp:inline>
        </w:drawing>
      </w:r>
    </w:p>
    <w:p w14:paraId="0DD6B198" w14:textId="4391A046" w:rsidR="00806464" w:rsidRDefault="00806464" w:rsidP="00806464">
      <w:pPr>
        <w:pStyle w:val="ResimYazs"/>
      </w:pPr>
      <w:r>
        <w:t xml:space="preserve">Figure </w:t>
      </w:r>
      <w:r>
        <w:fldChar w:fldCharType="begin"/>
      </w:r>
      <w:r>
        <w:instrText xml:space="preserve"> SEQ Figure \* ARABIC </w:instrText>
      </w:r>
      <w:r>
        <w:fldChar w:fldCharType="separate"/>
      </w:r>
      <w:r>
        <w:rPr>
          <w:noProof/>
        </w:rPr>
        <w:t>3</w:t>
      </w:r>
      <w:r>
        <w:fldChar w:fldCharType="end"/>
      </w:r>
      <w:r>
        <w:t xml:space="preserve">. </w:t>
      </w:r>
      <w:r w:rsidRPr="008F0FA7">
        <w:t>Normalized Trends of Key Indicators (2010–2023)</w:t>
      </w:r>
    </w:p>
    <w:p w14:paraId="40F8952F" w14:textId="77777777" w:rsidR="00806464" w:rsidRDefault="00806464" w:rsidP="00806464">
      <w:pPr>
        <w:keepNext/>
      </w:pPr>
      <w:r>
        <w:rPr>
          <w:noProof/>
        </w:rPr>
        <w:lastRenderedPageBreak/>
        <w:drawing>
          <wp:inline distT="0" distB="0" distL="0" distR="0" wp14:anchorId="7D1D92A4" wp14:editId="0C5F2AF7">
            <wp:extent cx="5486400" cy="3291840"/>
            <wp:effectExtent l="0" t="0" r="0" b="3810"/>
            <wp:docPr id="115797842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6A42C20C" w14:textId="7838E069" w:rsidR="00806464" w:rsidRPr="00806464" w:rsidRDefault="00806464" w:rsidP="00806464">
      <w:pPr>
        <w:pStyle w:val="ResimYazs"/>
      </w:pPr>
      <w:r>
        <w:t xml:space="preserve">Figure </w:t>
      </w:r>
      <w:r>
        <w:fldChar w:fldCharType="begin"/>
      </w:r>
      <w:r>
        <w:instrText xml:space="preserve"> SEQ Figure \* ARABIC </w:instrText>
      </w:r>
      <w:r>
        <w:fldChar w:fldCharType="separate"/>
      </w:r>
      <w:r>
        <w:rPr>
          <w:noProof/>
        </w:rPr>
        <w:t>4</w:t>
      </w:r>
      <w:r>
        <w:fldChar w:fldCharType="end"/>
      </w:r>
      <w:r>
        <w:t xml:space="preserve">. </w:t>
      </w:r>
      <w:r w:rsidRPr="00465E00">
        <w:t xml:space="preserve">Trends in Circular Economy and Digitalization Indicators </w:t>
      </w:r>
      <w:r>
        <w:t xml:space="preserve">for EU27 Countries </w:t>
      </w:r>
      <w:r w:rsidRPr="00465E00">
        <w:t>(2010–2023)</w:t>
      </w:r>
    </w:p>
    <w:p w14:paraId="07837436" w14:textId="77777777" w:rsidR="00440846" w:rsidRPr="00440846" w:rsidRDefault="00440846" w:rsidP="00384A20">
      <w:pPr>
        <w:pStyle w:val="Balk1"/>
        <w:spacing w:before="120" w:line="240" w:lineRule="auto"/>
        <w:rPr>
          <w:rFonts w:ascii="Times New Roman" w:hAnsi="Times New Roman" w:cs="Times New Roman"/>
          <w:bCs w:val="0"/>
          <w:color w:val="auto"/>
          <w:sz w:val="22"/>
          <w:szCs w:val="22"/>
          <w:lang w:val="tr-TR"/>
        </w:rPr>
      </w:pPr>
      <w:r w:rsidRPr="00440846">
        <w:rPr>
          <w:rFonts w:ascii="Times New Roman" w:hAnsi="Times New Roman" w:cs="Times New Roman"/>
          <w:bCs w:val="0"/>
          <w:color w:val="auto"/>
          <w:sz w:val="22"/>
          <w:szCs w:val="22"/>
          <w:lang w:val="tr-TR"/>
        </w:rPr>
        <w:t>BURADAKİ LİNKLERDE YETERLİ KAYNAK VAR.</w:t>
      </w:r>
    </w:p>
    <w:p w14:paraId="1F011D5F" w14:textId="52B12A46" w:rsidR="00384A20" w:rsidRPr="00384A20" w:rsidRDefault="00384A20" w:rsidP="00440846">
      <w:pPr>
        <w:pStyle w:val="Balk1"/>
        <w:spacing w:before="120" w:line="240" w:lineRule="auto"/>
        <w:rPr>
          <w:highlight w:val="cyan"/>
          <w:lang w:val="tr-TR"/>
        </w:rPr>
      </w:pPr>
      <w:r w:rsidRPr="00384A20">
        <w:rPr>
          <w:highlight w:val="cyan"/>
          <w:lang w:val="tr-TR"/>
        </w:rPr>
        <w:t>1. Döngüsel Ekonomi ve Çevresel Performans Göstergeleri</w:t>
      </w:r>
    </w:p>
    <w:p w14:paraId="08D088E0" w14:textId="77777777" w:rsidR="00384A20" w:rsidRPr="00384A20" w:rsidRDefault="00384A20" w:rsidP="00384A20">
      <w:pPr>
        <w:numPr>
          <w:ilvl w:val="0"/>
          <w:numId w:val="23"/>
        </w:numPr>
        <w:rPr>
          <w:highlight w:val="cyan"/>
          <w:lang w:val="tr-TR"/>
        </w:rPr>
      </w:pPr>
      <w:r w:rsidRPr="00384A20">
        <w:rPr>
          <w:b/>
          <w:bCs/>
          <w:highlight w:val="cyan"/>
          <w:lang w:val="tr-TR"/>
        </w:rPr>
        <w:t>Kaynak:</w:t>
      </w:r>
      <w:r w:rsidRPr="00384A20">
        <w:rPr>
          <w:highlight w:val="cyan"/>
          <w:lang w:val="tr-TR"/>
        </w:rPr>
        <w:t> Eurostat</w:t>
      </w:r>
    </w:p>
    <w:p w14:paraId="431FB82A" w14:textId="77777777" w:rsidR="00384A20" w:rsidRPr="00384A20" w:rsidRDefault="00384A20" w:rsidP="00384A20">
      <w:pPr>
        <w:numPr>
          <w:ilvl w:val="0"/>
          <w:numId w:val="23"/>
        </w:numPr>
        <w:rPr>
          <w:highlight w:val="cyan"/>
          <w:lang w:val="tr-TR"/>
        </w:rPr>
      </w:pPr>
      <w:r w:rsidRPr="00384A20">
        <w:rPr>
          <w:b/>
          <w:bCs/>
          <w:highlight w:val="cyan"/>
          <w:lang w:val="tr-TR"/>
        </w:rPr>
        <w:t>İndirme Linki:</w:t>
      </w:r>
      <w:r w:rsidRPr="00384A20">
        <w:rPr>
          <w:highlight w:val="cyan"/>
          <w:lang w:val="tr-TR"/>
        </w:rPr>
        <w:t> </w:t>
      </w:r>
      <w:hyperlink r:id="rId25" w:tgtFrame="_blank" w:history="1">
        <w:r w:rsidRPr="00384A20">
          <w:rPr>
            <w:rStyle w:val="Kpr"/>
            <w:b/>
            <w:bCs/>
            <w:highlight w:val="cyan"/>
            <w:lang w:val="tr-TR"/>
          </w:rPr>
          <w:t>Eurostat Circular Economy Indicators</w:t>
        </w:r>
      </w:hyperlink>
    </w:p>
    <w:p w14:paraId="32E90557" w14:textId="77777777" w:rsidR="00384A20" w:rsidRPr="00384A20" w:rsidRDefault="00384A20" w:rsidP="00384A20">
      <w:pPr>
        <w:numPr>
          <w:ilvl w:val="1"/>
          <w:numId w:val="23"/>
        </w:numPr>
        <w:rPr>
          <w:highlight w:val="cyan"/>
          <w:lang w:val="tr-TR"/>
        </w:rPr>
      </w:pPr>
      <w:r w:rsidRPr="00384A20">
        <w:rPr>
          <w:b/>
          <w:bCs/>
          <w:highlight w:val="cyan"/>
          <w:lang w:val="tr-TR"/>
        </w:rPr>
        <w:t>İçerik:</w:t>
      </w:r>
      <w:r w:rsidRPr="00384A20">
        <w:rPr>
          <w:highlight w:val="cyan"/>
          <w:lang w:val="tr-TR"/>
        </w:rPr>
        <w:t> Madde verimliliği (DMC/GSYİH), geri dönüşüm oranları, atık yönetimi istatistikleri.</w:t>
      </w:r>
    </w:p>
    <w:p w14:paraId="307EAB88" w14:textId="77777777" w:rsidR="00384A20" w:rsidRPr="00384A20" w:rsidRDefault="00384A20" w:rsidP="00384A20">
      <w:pPr>
        <w:numPr>
          <w:ilvl w:val="0"/>
          <w:numId w:val="23"/>
        </w:numPr>
        <w:rPr>
          <w:highlight w:val="cyan"/>
          <w:lang w:val="tr-TR"/>
        </w:rPr>
      </w:pPr>
      <w:r w:rsidRPr="00384A20">
        <w:rPr>
          <w:b/>
          <w:bCs/>
          <w:highlight w:val="cyan"/>
          <w:lang w:val="tr-TR"/>
        </w:rPr>
        <w:t>İndirme Linki:</w:t>
      </w:r>
      <w:r w:rsidRPr="00384A20">
        <w:rPr>
          <w:highlight w:val="cyan"/>
          <w:lang w:val="tr-TR"/>
        </w:rPr>
        <w:t> </w:t>
      </w:r>
      <w:hyperlink r:id="rId26" w:tgtFrame="_blank" w:history="1">
        <w:r w:rsidRPr="00384A20">
          <w:rPr>
            <w:rStyle w:val="Kpr"/>
            <w:b/>
            <w:bCs/>
            <w:highlight w:val="cyan"/>
            <w:lang w:val="tr-TR"/>
          </w:rPr>
          <w:t>Eurostat Environmental Tax Revenues</w:t>
        </w:r>
      </w:hyperlink>
    </w:p>
    <w:p w14:paraId="06873A7B" w14:textId="77777777" w:rsidR="00384A20" w:rsidRPr="00384A20" w:rsidRDefault="00384A20" w:rsidP="00384A20">
      <w:pPr>
        <w:numPr>
          <w:ilvl w:val="1"/>
          <w:numId w:val="23"/>
        </w:numPr>
        <w:rPr>
          <w:highlight w:val="cyan"/>
          <w:lang w:val="tr-TR"/>
        </w:rPr>
      </w:pPr>
      <w:r w:rsidRPr="00384A20">
        <w:rPr>
          <w:b/>
          <w:bCs/>
          <w:highlight w:val="cyan"/>
          <w:lang w:val="tr-TR"/>
        </w:rPr>
        <w:t>İçerik:</w:t>
      </w:r>
      <w:r w:rsidRPr="00384A20">
        <w:rPr>
          <w:highlight w:val="cyan"/>
          <w:lang w:val="tr-TR"/>
        </w:rPr>
        <w:t> Çevresel vergi gelirlerinin toplam vergi gelirleri ve GSYİH'ya oranı (Circular NPS vekil göstergesi).</w:t>
      </w:r>
    </w:p>
    <w:p w14:paraId="0CDB2B65" w14:textId="77777777" w:rsidR="00384A20" w:rsidRPr="00384A20" w:rsidRDefault="00384A20" w:rsidP="00384A20">
      <w:pPr>
        <w:rPr>
          <w:highlight w:val="cyan"/>
          <w:lang w:val="tr-TR"/>
        </w:rPr>
      </w:pPr>
      <w:r w:rsidRPr="00384A20">
        <w:rPr>
          <w:b/>
          <w:bCs/>
          <w:highlight w:val="cyan"/>
          <w:lang w:val="tr-TR"/>
        </w:rPr>
        <w:t>2. Dijital Teknoloji ve İnovasyon Göstergeleri</w:t>
      </w:r>
    </w:p>
    <w:p w14:paraId="4F1C89B2" w14:textId="77777777" w:rsidR="00384A20" w:rsidRPr="00384A20" w:rsidRDefault="00384A20" w:rsidP="00384A20">
      <w:pPr>
        <w:numPr>
          <w:ilvl w:val="0"/>
          <w:numId w:val="24"/>
        </w:numPr>
        <w:rPr>
          <w:highlight w:val="cyan"/>
          <w:lang w:val="tr-TR"/>
        </w:rPr>
      </w:pPr>
      <w:r w:rsidRPr="00384A20">
        <w:rPr>
          <w:b/>
          <w:bCs/>
          <w:highlight w:val="cyan"/>
          <w:lang w:val="tr-TR"/>
        </w:rPr>
        <w:t>Kaynak:</w:t>
      </w:r>
      <w:r w:rsidRPr="00384A20">
        <w:rPr>
          <w:highlight w:val="cyan"/>
          <w:lang w:val="tr-TR"/>
        </w:rPr>
        <w:t> Eurostat</w:t>
      </w:r>
    </w:p>
    <w:p w14:paraId="14DB60DC" w14:textId="77777777" w:rsidR="00384A20" w:rsidRPr="00384A20" w:rsidRDefault="00384A20" w:rsidP="00384A20">
      <w:pPr>
        <w:numPr>
          <w:ilvl w:val="0"/>
          <w:numId w:val="24"/>
        </w:numPr>
        <w:rPr>
          <w:highlight w:val="cyan"/>
          <w:lang w:val="tr-TR"/>
        </w:rPr>
      </w:pPr>
      <w:r w:rsidRPr="00384A20">
        <w:rPr>
          <w:b/>
          <w:bCs/>
          <w:highlight w:val="cyan"/>
          <w:lang w:val="tr-TR"/>
        </w:rPr>
        <w:t>İndirme Linki:</w:t>
      </w:r>
      <w:r w:rsidRPr="00384A20">
        <w:rPr>
          <w:highlight w:val="cyan"/>
          <w:lang w:val="tr-TR"/>
        </w:rPr>
        <w:t> </w:t>
      </w:r>
      <w:hyperlink r:id="rId27" w:tgtFrame="_blank" w:history="1">
        <w:r w:rsidRPr="00384A20">
          <w:rPr>
            <w:rStyle w:val="Kpr"/>
            <w:b/>
            <w:bCs/>
            <w:highlight w:val="cyan"/>
            <w:lang w:val="tr-TR"/>
          </w:rPr>
          <w:t>Eurostat Digital Economy and Society (DESI) Indicators</w:t>
        </w:r>
      </w:hyperlink>
    </w:p>
    <w:p w14:paraId="3F1FA0AD" w14:textId="77777777" w:rsidR="00384A20" w:rsidRPr="00384A20" w:rsidRDefault="00384A20" w:rsidP="00384A20">
      <w:pPr>
        <w:numPr>
          <w:ilvl w:val="1"/>
          <w:numId w:val="24"/>
        </w:numPr>
        <w:rPr>
          <w:highlight w:val="cyan"/>
          <w:lang w:val="tr-TR"/>
        </w:rPr>
      </w:pPr>
      <w:r w:rsidRPr="00384A20">
        <w:rPr>
          <w:b/>
          <w:bCs/>
          <w:highlight w:val="cyan"/>
          <w:lang w:val="tr-TR"/>
        </w:rPr>
        <w:t>İçerik:</w:t>
      </w:r>
      <w:r w:rsidRPr="00384A20">
        <w:rPr>
          <w:highlight w:val="cyan"/>
          <w:lang w:val="tr-TR"/>
        </w:rPr>
        <w:t> İşletmelerde büyük veri analitiği kullanım oranı, BT yatırımları.</w:t>
      </w:r>
    </w:p>
    <w:p w14:paraId="3B63F500" w14:textId="77777777" w:rsidR="00384A20" w:rsidRPr="00384A20" w:rsidRDefault="00384A20" w:rsidP="00384A20">
      <w:pPr>
        <w:numPr>
          <w:ilvl w:val="0"/>
          <w:numId w:val="24"/>
        </w:numPr>
        <w:rPr>
          <w:highlight w:val="cyan"/>
          <w:lang w:val="tr-TR"/>
        </w:rPr>
      </w:pPr>
      <w:r w:rsidRPr="00384A20">
        <w:rPr>
          <w:b/>
          <w:bCs/>
          <w:highlight w:val="cyan"/>
          <w:lang w:val="tr-TR"/>
        </w:rPr>
        <w:t>Kaynak:</w:t>
      </w:r>
      <w:r w:rsidRPr="00384A20">
        <w:rPr>
          <w:highlight w:val="cyan"/>
          <w:lang w:val="tr-TR"/>
        </w:rPr>
        <w:t> OECD</w:t>
      </w:r>
    </w:p>
    <w:p w14:paraId="04BAC6E9" w14:textId="77777777" w:rsidR="00384A20" w:rsidRPr="00384A20" w:rsidRDefault="00384A20" w:rsidP="00384A20">
      <w:pPr>
        <w:numPr>
          <w:ilvl w:val="0"/>
          <w:numId w:val="24"/>
        </w:numPr>
        <w:rPr>
          <w:highlight w:val="cyan"/>
          <w:lang w:val="tr-TR"/>
        </w:rPr>
      </w:pPr>
      <w:r w:rsidRPr="00384A20">
        <w:rPr>
          <w:b/>
          <w:bCs/>
          <w:highlight w:val="cyan"/>
          <w:lang w:val="tr-TR"/>
        </w:rPr>
        <w:lastRenderedPageBreak/>
        <w:t>İndirme Linki:</w:t>
      </w:r>
      <w:r w:rsidRPr="00384A20">
        <w:rPr>
          <w:highlight w:val="cyan"/>
          <w:lang w:val="tr-TR"/>
        </w:rPr>
        <w:t> </w:t>
      </w:r>
      <w:hyperlink r:id="rId28" w:tgtFrame="_blank" w:history="1">
        <w:r w:rsidRPr="00384A20">
          <w:rPr>
            <w:rStyle w:val="Kpr"/>
            <w:b/>
            <w:bCs/>
            <w:highlight w:val="cyan"/>
            <w:lang w:val="tr-TR"/>
          </w:rPr>
          <w:t>OECD Green Patents</w:t>
        </w:r>
      </w:hyperlink>
    </w:p>
    <w:p w14:paraId="0C6D9E2E" w14:textId="77777777" w:rsidR="00384A20" w:rsidRPr="00384A20" w:rsidRDefault="00384A20" w:rsidP="00384A20">
      <w:pPr>
        <w:numPr>
          <w:ilvl w:val="1"/>
          <w:numId w:val="24"/>
        </w:numPr>
        <w:rPr>
          <w:highlight w:val="cyan"/>
          <w:lang w:val="tr-TR"/>
        </w:rPr>
      </w:pPr>
      <w:r w:rsidRPr="00384A20">
        <w:rPr>
          <w:b/>
          <w:bCs/>
          <w:highlight w:val="cyan"/>
          <w:lang w:val="tr-TR"/>
        </w:rPr>
        <w:t>İçerik:</w:t>
      </w:r>
      <w:r w:rsidRPr="00384A20">
        <w:rPr>
          <w:highlight w:val="cyan"/>
          <w:lang w:val="tr-TR"/>
        </w:rPr>
        <w:t> Çevre dostu teknolojiler ve döngüsel ekonomi ile ilgili patent sayıları (döngüsel tasarım vekil göstergesi).</w:t>
      </w:r>
    </w:p>
    <w:p w14:paraId="645A13C4" w14:textId="77777777" w:rsidR="00384A20" w:rsidRPr="00384A20" w:rsidRDefault="00384A20" w:rsidP="00384A20">
      <w:pPr>
        <w:rPr>
          <w:highlight w:val="cyan"/>
          <w:lang w:val="tr-TR"/>
        </w:rPr>
      </w:pPr>
      <w:r w:rsidRPr="00384A20">
        <w:rPr>
          <w:b/>
          <w:bCs/>
          <w:highlight w:val="cyan"/>
          <w:lang w:val="tr-TR"/>
        </w:rPr>
        <w:t>3. Makroekonomik ve Sektörel Kontrol Değişkenleri</w:t>
      </w:r>
    </w:p>
    <w:p w14:paraId="6EB523DC" w14:textId="77777777" w:rsidR="00384A20" w:rsidRPr="00384A20" w:rsidRDefault="00384A20" w:rsidP="00384A20">
      <w:pPr>
        <w:numPr>
          <w:ilvl w:val="0"/>
          <w:numId w:val="25"/>
        </w:numPr>
        <w:rPr>
          <w:highlight w:val="cyan"/>
          <w:lang w:val="tr-TR"/>
        </w:rPr>
      </w:pPr>
      <w:r w:rsidRPr="00384A20">
        <w:rPr>
          <w:b/>
          <w:bCs/>
          <w:highlight w:val="cyan"/>
          <w:lang w:val="tr-TR"/>
        </w:rPr>
        <w:t>Kaynak:</w:t>
      </w:r>
      <w:r w:rsidRPr="00384A20">
        <w:rPr>
          <w:highlight w:val="cyan"/>
          <w:lang w:val="tr-TR"/>
        </w:rPr>
        <w:t> Dünya Bankası</w:t>
      </w:r>
    </w:p>
    <w:p w14:paraId="362DB113" w14:textId="77777777" w:rsidR="00384A20" w:rsidRPr="00384A20" w:rsidRDefault="00384A20" w:rsidP="00384A20">
      <w:pPr>
        <w:numPr>
          <w:ilvl w:val="0"/>
          <w:numId w:val="25"/>
        </w:numPr>
        <w:rPr>
          <w:highlight w:val="cyan"/>
          <w:lang w:val="tr-TR"/>
        </w:rPr>
      </w:pPr>
      <w:r w:rsidRPr="00384A20">
        <w:rPr>
          <w:b/>
          <w:bCs/>
          <w:highlight w:val="cyan"/>
          <w:lang w:val="tr-TR"/>
        </w:rPr>
        <w:t>İndirme Linki:</w:t>
      </w:r>
      <w:r w:rsidRPr="00384A20">
        <w:rPr>
          <w:highlight w:val="cyan"/>
          <w:lang w:val="tr-TR"/>
        </w:rPr>
        <w:t> </w:t>
      </w:r>
      <w:hyperlink r:id="rId29" w:tgtFrame="_blank" w:history="1">
        <w:r w:rsidRPr="00384A20">
          <w:rPr>
            <w:rStyle w:val="Kpr"/>
            <w:b/>
            <w:bCs/>
            <w:highlight w:val="cyan"/>
            <w:lang w:val="tr-TR"/>
          </w:rPr>
          <w:t>World Bank World Development Indicators (WDI)</w:t>
        </w:r>
      </w:hyperlink>
    </w:p>
    <w:p w14:paraId="11EEED03" w14:textId="77777777" w:rsidR="00384A20" w:rsidRPr="00384A20" w:rsidRDefault="00384A20" w:rsidP="00384A20">
      <w:pPr>
        <w:numPr>
          <w:ilvl w:val="1"/>
          <w:numId w:val="25"/>
        </w:numPr>
        <w:rPr>
          <w:highlight w:val="cyan"/>
          <w:lang w:val="tr-TR"/>
        </w:rPr>
      </w:pPr>
      <w:r w:rsidRPr="00384A20">
        <w:rPr>
          <w:b/>
          <w:bCs/>
          <w:highlight w:val="cyan"/>
          <w:lang w:val="tr-TR"/>
        </w:rPr>
        <w:t>İçerik:</w:t>
      </w:r>
      <w:r w:rsidRPr="00384A20">
        <w:rPr>
          <w:highlight w:val="cyan"/>
          <w:lang w:val="tr-TR"/>
        </w:rPr>
        <w:t> GSYİH, kişi başına GSYİH (PPP), hizmet sektörü katma değeri ve istihdam oranı, kentsel nüfus oranı. (Bu link üzerinden ilgili göstergeleri seçerek indirebilirsiniz).</w:t>
      </w:r>
    </w:p>
    <w:p w14:paraId="16074E08" w14:textId="77777777" w:rsidR="00384A20" w:rsidRPr="00384A20" w:rsidRDefault="00384A20" w:rsidP="00384A20">
      <w:pPr>
        <w:rPr>
          <w:highlight w:val="cyan"/>
          <w:lang w:val="tr-TR"/>
        </w:rPr>
      </w:pPr>
      <w:r w:rsidRPr="00384A20">
        <w:rPr>
          <w:b/>
          <w:bCs/>
          <w:highlight w:val="cyan"/>
          <w:lang w:val="tr-TR"/>
        </w:rPr>
        <w:t>4. Emisyon ve Enerji Verileri</w:t>
      </w:r>
    </w:p>
    <w:p w14:paraId="31493664" w14:textId="77777777" w:rsidR="00384A20" w:rsidRPr="00384A20" w:rsidRDefault="00384A20" w:rsidP="00384A20">
      <w:pPr>
        <w:numPr>
          <w:ilvl w:val="0"/>
          <w:numId w:val="26"/>
        </w:numPr>
        <w:rPr>
          <w:highlight w:val="cyan"/>
          <w:lang w:val="tr-TR"/>
        </w:rPr>
      </w:pPr>
      <w:r w:rsidRPr="00384A20">
        <w:rPr>
          <w:b/>
          <w:bCs/>
          <w:highlight w:val="cyan"/>
          <w:lang w:val="tr-TR"/>
        </w:rPr>
        <w:t>Kaynak:</w:t>
      </w:r>
      <w:r w:rsidRPr="00384A20">
        <w:rPr>
          <w:highlight w:val="cyan"/>
          <w:lang w:val="tr-TR"/>
        </w:rPr>
        <w:t> Eurostat</w:t>
      </w:r>
    </w:p>
    <w:p w14:paraId="60B8579E" w14:textId="77777777" w:rsidR="00384A20" w:rsidRPr="00384A20" w:rsidRDefault="00384A20" w:rsidP="00384A20">
      <w:pPr>
        <w:numPr>
          <w:ilvl w:val="0"/>
          <w:numId w:val="26"/>
        </w:numPr>
        <w:rPr>
          <w:highlight w:val="cyan"/>
          <w:lang w:val="tr-TR"/>
        </w:rPr>
      </w:pPr>
      <w:r w:rsidRPr="00384A20">
        <w:rPr>
          <w:b/>
          <w:bCs/>
          <w:highlight w:val="cyan"/>
          <w:lang w:val="tr-TR"/>
        </w:rPr>
        <w:t>İndirme Linki:</w:t>
      </w:r>
      <w:r w:rsidRPr="00384A20">
        <w:rPr>
          <w:highlight w:val="cyan"/>
          <w:lang w:val="tr-TR"/>
        </w:rPr>
        <w:t> </w:t>
      </w:r>
      <w:hyperlink r:id="rId30" w:tgtFrame="_blank" w:history="1">
        <w:r w:rsidRPr="00384A20">
          <w:rPr>
            <w:rStyle w:val="Kpr"/>
            <w:b/>
            <w:bCs/>
            <w:highlight w:val="cyan"/>
            <w:lang w:val="tr-TR"/>
          </w:rPr>
          <w:t>Eurostat Air Emissions Accounts</w:t>
        </w:r>
      </w:hyperlink>
    </w:p>
    <w:p w14:paraId="1B063892" w14:textId="77777777" w:rsidR="00384A20" w:rsidRPr="00384A20" w:rsidRDefault="00384A20" w:rsidP="00384A20">
      <w:pPr>
        <w:numPr>
          <w:ilvl w:val="1"/>
          <w:numId w:val="26"/>
        </w:numPr>
        <w:rPr>
          <w:highlight w:val="cyan"/>
          <w:lang w:val="tr-TR"/>
        </w:rPr>
      </w:pPr>
      <w:r w:rsidRPr="00384A20">
        <w:rPr>
          <w:b/>
          <w:bCs/>
          <w:highlight w:val="cyan"/>
          <w:lang w:val="tr-TR"/>
        </w:rPr>
        <w:t>İçerik:</w:t>
      </w:r>
      <w:r w:rsidRPr="00384A20">
        <w:rPr>
          <w:highlight w:val="cyan"/>
          <w:lang w:val="tr-TR"/>
        </w:rPr>
        <w:t> Sektörel bazda (özellikle hizmet sektörü) sera gazı emisyonları (Hizmet başına GHG yoğunluğunu hesaplamak için).</w:t>
      </w:r>
    </w:p>
    <w:p w14:paraId="064613B9" w14:textId="77777777" w:rsidR="00DE757E" w:rsidRPr="00DE757E" w:rsidRDefault="00DE757E" w:rsidP="00DE757E">
      <w:pPr>
        <w:rPr>
          <w:highlight w:val="cyan"/>
          <w:lang w:val="tr-TR"/>
        </w:rPr>
      </w:pPr>
      <w:r w:rsidRPr="00DE757E">
        <w:rPr>
          <w:highlight w:val="cyan"/>
          <w:lang w:val="tr-TR"/>
        </w:rPr>
        <w:t>Araştırmanın ampirik analizini (panel regresyon ve zaman serisi analizleri) gerçekleştirmek için aşağıdaki temel veri setleri kullanılmıştır. Tüm veriler, </w:t>
      </w:r>
      <w:r w:rsidRPr="00DE757E">
        <w:rPr>
          <w:b/>
          <w:bCs/>
          <w:highlight w:val="cyan"/>
          <w:lang w:val="tr-TR"/>
        </w:rPr>
        <w:t>2010-2023</w:t>
      </w:r>
      <w:r w:rsidRPr="00DE757E">
        <w:rPr>
          <w:highlight w:val="cyan"/>
          <w:lang w:val="tr-TR"/>
        </w:rPr>
        <w:t> dönemini kapsayacak şekilde panel veri yapısında birleştirilmiştir.</w:t>
      </w:r>
    </w:p>
    <w:p w14:paraId="496F467F" w14:textId="77777777" w:rsidR="00DE757E" w:rsidRPr="00DE757E" w:rsidRDefault="00DE757E" w:rsidP="00DE757E">
      <w:pPr>
        <w:rPr>
          <w:highlight w:val="cyan"/>
          <w:lang w:val="tr-TR"/>
        </w:rPr>
      </w:pPr>
      <w:r w:rsidRPr="00DE757E">
        <w:rPr>
          <w:b/>
          <w:bCs/>
          <w:highlight w:val="cyan"/>
          <w:lang w:val="tr-TR"/>
        </w:rPr>
        <w:t>1. Ana Döngüsel Ekonomi Göstergeleri (Zaman Serisi)</w:t>
      </w:r>
    </w:p>
    <w:p w14:paraId="4CF04902" w14:textId="77777777" w:rsidR="00DE757E" w:rsidRPr="00DE757E" w:rsidRDefault="00DE757E" w:rsidP="00DE757E">
      <w:pPr>
        <w:numPr>
          <w:ilvl w:val="0"/>
          <w:numId w:val="27"/>
        </w:numPr>
        <w:rPr>
          <w:highlight w:val="cyan"/>
          <w:lang w:val="tr-TR"/>
        </w:rPr>
      </w:pPr>
      <w:r w:rsidRPr="00DE757E">
        <w:rPr>
          <w:b/>
          <w:bCs/>
          <w:highlight w:val="cyan"/>
          <w:lang w:val="tr-TR"/>
        </w:rPr>
        <w:t>Kaynak:</w:t>
      </w:r>
      <w:r w:rsidRPr="00DE757E">
        <w:rPr>
          <w:highlight w:val="cyan"/>
          <w:lang w:val="tr-TR"/>
        </w:rPr>
        <w:t> Eurostat</w:t>
      </w:r>
    </w:p>
    <w:p w14:paraId="392DA785" w14:textId="77777777" w:rsidR="00DE757E" w:rsidRPr="00DE757E" w:rsidRDefault="00DE757E" w:rsidP="00DE757E">
      <w:pPr>
        <w:numPr>
          <w:ilvl w:val="0"/>
          <w:numId w:val="27"/>
        </w:numPr>
        <w:rPr>
          <w:highlight w:val="cyan"/>
          <w:lang w:val="tr-TR"/>
        </w:rPr>
      </w:pPr>
      <w:r w:rsidRPr="00DE757E">
        <w:rPr>
          <w:b/>
          <w:bCs/>
          <w:highlight w:val="cyan"/>
          <w:lang w:val="tr-TR"/>
        </w:rPr>
        <w:t>İndirme Linki:</w:t>
      </w:r>
      <w:r w:rsidRPr="00DE757E">
        <w:rPr>
          <w:highlight w:val="cyan"/>
          <w:lang w:val="tr-TR"/>
        </w:rPr>
        <w:t> </w:t>
      </w:r>
      <w:hyperlink r:id="rId31" w:tgtFrame="_blank" w:history="1">
        <w:r w:rsidRPr="00DE757E">
          <w:rPr>
            <w:rStyle w:val="Kpr"/>
            <w:b/>
            <w:bCs/>
            <w:highlight w:val="cyan"/>
            <w:lang w:val="tr-TR"/>
          </w:rPr>
          <w:t>Circular Economy Monitoring Framework - Main Indicators</w:t>
        </w:r>
      </w:hyperlink>
    </w:p>
    <w:p w14:paraId="27807255" w14:textId="77777777" w:rsidR="00DE757E" w:rsidRPr="00DE757E" w:rsidRDefault="00DE757E" w:rsidP="00DE757E">
      <w:pPr>
        <w:numPr>
          <w:ilvl w:val="1"/>
          <w:numId w:val="27"/>
        </w:numPr>
        <w:rPr>
          <w:highlight w:val="cyan"/>
          <w:lang w:val="tr-TR"/>
        </w:rPr>
      </w:pPr>
      <w:r w:rsidRPr="00DE757E">
        <w:rPr>
          <w:b/>
          <w:bCs/>
          <w:highlight w:val="cyan"/>
          <w:lang w:val="tr-TR"/>
        </w:rPr>
        <w:t>İçerik:</w:t>
      </w:r>
      <w:r w:rsidRPr="00DE757E">
        <w:rPr>
          <w:highlight w:val="cyan"/>
          <w:lang w:val="tr-TR"/>
        </w:rPr>
        <w:t> Madde verimliliği (DMC/GSYİH), geri dönüşüm oranları, atık yönetimi.</w:t>
      </w:r>
    </w:p>
    <w:p w14:paraId="05AEF8A1" w14:textId="77777777" w:rsidR="00DE757E" w:rsidRPr="00DE757E" w:rsidRDefault="00DE757E" w:rsidP="00DE757E">
      <w:pPr>
        <w:numPr>
          <w:ilvl w:val="0"/>
          <w:numId w:val="27"/>
        </w:numPr>
        <w:rPr>
          <w:highlight w:val="cyan"/>
          <w:lang w:val="tr-TR"/>
        </w:rPr>
      </w:pPr>
      <w:r w:rsidRPr="00DE757E">
        <w:rPr>
          <w:b/>
          <w:bCs/>
          <w:highlight w:val="cyan"/>
          <w:lang w:val="tr-TR"/>
        </w:rPr>
        <w:t>İndirme Linki:</w:t>
      </w:r>
      <w:r w:rsidRPr="00DE757E">
        <w:rPr>
          <w:highlight w:val="cyan"/>
          <w:lang w:val="tr-TR"/>
        </w:rPr>
        <w:t> </w:t>
      </w:r>
      <w:hyperlink r:id="rId32" w:tgtFrame="_blank" w:history="1">
        <w:r w:rsidRPr="00DE757E">
          <w:rPr>
            <w:rStyle w:val="Kpr"/>
            <w:b/>
            <w:bCs/>
            <w:highlight w:val="cyan"/>
            <w:lang w:val="tr-TR"/>
          </w:rPr>
          <w:t>Environmental Tax Revenues by Economic Activity</w:t>
        </w:r>
      </w:hyperlink>
    </w:p>
    <w:p w14:paraId="2484F27C" w14:textId="77777777" w:rsidR="00DE757E" w:rsidRPr="00DE757E" w:rsidRDefault="00DE757E" w:rsidP="00DE757E">
      <w:pPr>
        <w:numPr>
          <w:ilvl w:val="1"/>
          <w:numId w:val="27"/>
        </w:numPr>
        <w:rPr>
          <w:highlight w:val="cyan"/>
          <w:lang w:val="tr-TR"/>
        </w:rPr>
      </w:pPr>
      <w:r w:rsidRPr="00DE757E">
        <w:rPr>
          <w:b/>
          <w:bCs/>
          <w:highlight w:val="cyan"/>
          <w:lang w:val="tr-TR"/>
        </w:rPr>
        <w:t>İçerik:</w:t>
      </w:r>
      <w:r w:rsidRPr="00DE757E">
        <w:rPr>
          <w:highlight w:val="cyan"/>
          <w:lang w:val="tr-TR"/>
        </w:rPr>
        <w:t> Çevresel vergi gelirleri (Circular NPS vekil göstergesi).</w:t>
      </w:r>
    </w:p>
    <w:p w14:paraId="1B574927" w14:textId="77777777" w:rsidR="00DE757E" w:rsidRPr="00DE757E" w:rsidRDefault="00DE757E" w:rsidP="00DE757E">
      <w:pPr>
        <w:rPr>
          <w:highlight w:val="cyan"/>
          <w:lang w:val="tr-TR"/>
        </w:rPr>
      </w:pPr>
      <w:r w:rsidRPr="00DE757E">
        <w:rPr>
          <w:b/>
          <w:bCs/>
          <w:highlight w:val="cyan"/>
          <w:lang w:val="tr-TR"/>
        </w:rPr>
        <w:t>2. Dijital Teknoloji &amp; İnovasyon (Panel Veri)</w:t>
      </w:r>
    </w:p>
    <w:p w14:paraId="7E9E294B" w14:textId="77777777" w:rsidR="00DE757E" w:rsidRPr="00DE757E" w:rsidRDefault="00DE757E" w:rsidP="00DE757E">
      <w:pPr>
        <w:numPr>
          <w:ilvl w:val="0"/>
          <w:numId w:val="28"/>
        </w:numPr>
        <w:rPr>
          <w:highlight w:val="cyan"/>
          <w:lang w:val="tr-TR"/>
        </w:rPr>
      </w:pPr>
      <w:r w:rsidRPr="00DE757E">
        <w:rPr>
          <w:b/>
          <w:bCs/>
          <w:highlight w:val="cyan"/>
          <w:lang w:val="tr-TR"/>
        </w:rPr>
        <w:lastRenderedPageBreak/>
        <w:t>Kaynak:</w:t>
      </w:r>
      <w:r w:rsidRPr="00DE757E">
        <w:rPr>
          <w:highlight w:val="cyan"/>
          <w:lang w:val="tr-TR"/>
        </w:rPr>
        <w:t> Eurostat</w:t>
      </w:r>
    </w:p>
    <w:p w14:paraId="14A31111" w14:textId="77777777" w:rsidR="00DE757E" w:rsidRPr="00DE757E" w:rsidRDefault="00DE757E" w:rsidP="00DE757E">
      <w:pPr>
        <w:numPr>
          <w:ilvl w:val="0"/>
          <w:numId w:val="28"/>
        </w:numPr>
        <w:rPr>
          <w:highlight w:val="cyan"/>
          <w:lang w:val="tr-TR"/>
        </w:rPr>
      </w:pPr>
      <w:r w:rsidRPr="00DE757E">
        <w:rPr>
          <w:b/>
          <w:bCs/>
          <w:highlight w:val="cyan"/>
          <w:lang w:val="tr-TR"/>
        </w:rPr>
        <w:t>İndirme Linki:</w:t>
      </w:r>
      <w:r w:rsidRPr="00DE757E">
        <w:rPr>
          <w:highlight w:val="cyan"/>
          <w:lang w:val="tr-TR"/>
        </w:rPr>
        <w:t> </w:t>
      </w:r>
      <w:hyperlink r:id="rId33" w:tgtFrame="_blank" w:history="1">
        <w:r w:rsidRPr="00DE757E">
          <w:rPr>
            <w:rStyle w:val="Kpr"/>
            <w:b/>
            <w:bCs/>
            <w:highlight w:val="cyan"/>
            <w:lang w:val="tr-TR"/>
          </w:rPr>
          <w:t>Digital Economy and Society (DESI) - Core Indicators</w:t>
        </w:r>
      </w:hyperlink>
    </w:p>
    <w:p w14:paraId="4ED28587" w14:textId="77777777" w:rsidR="00DE757E" w:rsidRPr="00DE757E" w:rsidRDefault="00DE757E" w:rsidP="00DE757E">
      <w:pPr>
        <w:numPr>
          <w:ilvl w:val="1"/>
          <w:numId w:val="28"/>
        </w:numPr>
        <w:rPr>
          <w:highlight w:val="cyan"/>
          <w:lang w:val="tr-TR"/>
        </w:rPr>
      </w:pPr>
      <w:r w:rsidRPr="00DE757E">
        <w:rPr>
          <w:b/>
          <w:bCs/>
          <w:highlight w:val="cyan"/>
          <w:lang w:val="tr-TR"/>
        </w:rPr>
        <w:t>İçerik:</w:t>
      </w:r>
      <w:r w:rsidRPr="00DE757E">
        <w:rPr>
          <w:highlight w:val="cyan"/>
          <w:lang w:val="tr-TR"/>
        </w:rPr>
        <w:t> İşletmelerde Büyük Veri Analitiği kullanım oranı (%).</w:t>
      </w:r>
    </w:p>
    <w:p w14:paraId="7D596966" w14:textId="77777777" w:rsidR="00DE757E" w:rsidRPr="00DE757E" w:rsidRDefault="00DE757E" w:rsidP="00DE757E">
      <w:pPr>
        <w:numPr>
          <w:ilvl w:val="0"/>
          <w:numId w:val="28"/>
        </w:numPr>
        <w:rPr>
          <w:highlight w:val="cyan"/>
          <w:lang w:val="tr-TR"/>
        </w:rPr>
      </w:pPr>
      <w:r w:rsidRPr="00DE757E">
        <w:rPr>
          <w:b/>
          <w:bCs/>
          <w:highlight w:val="cyan"/>
          <w:lang w:val="tr-TR"/>
        </w:rPr>
        <w:t>İndirme Linki:</w:t>
      </w:r>
      <w:r w:rsidRPr="00DE757E">
        <w:rPr>
          <w:highlight w:val="cyan"/>
          <w:lang w:val="tr-TR"/>
        </w:rPr>
        <w:t> </w:t>
      </w:r>
      <w:hyperlink r:id="rId34" w:tgtFrame="_blank" w:history="1">
        <w:r w:rsidRPr="00DE757E">
          <w:rPr>
            <w:rStyle w:val="Kpr"/>
            <w:b/>
            <w:bCs/>
            <w:highlight w:val="cyan"/>
            <w:lang w:val="tr-TR"/>
          </w:rPr>
          <w:t>ICT Investment in the Business Sector</w:t>
        </w:r>
      </w:hyperlink>
    </w:p>
    <w:p w14:paraId="6A2D7AB1" w14:textId="77777777" w:rsidR="00DE757E" w:rsidRPr="00DE757E" w:rsidRDefault="00DE757E" w:rsidP="00DE757E">
      <w:pPr>
        <w:numPr>
          <w:ilvl w:val="1"/>
          <w:numId w:val="28"/>
        </w:numPr>
        <w:rPr>
          <w:highlight w:val="cyan"/>
          <w:lang w:val="tr-TR"/>
        </w:rPr>
      </w:pPr>
      <w:r w:rsidRPr="00DE757E">
        <w:rPr>
          <w:b/>
          <w:bCs/>
          <w:highlight w:val="cyan"/>
          <w:lang w:val="tr-TR"/>
        </w:rPr>
        <w:t>İçerik:</w:t>
      </w:r>
      <w:r w:rsidRPr="00DE757E">
        <w:rPr>
          <w:highlight w:val="cyan"/>
          <w:lang w:val="tr-TR"/>
        </w:rPr>
        <w:t> BT yatırımlarının GSYİH'ya oranı.</w:t>
      </w:r>
    </w:p>
    <w:p w14:paraId="6DC8D641" w14:textId="77777777" w:rsidR="00DE757E" w:rsidRPr="00DE757E" w:rsidRDefault="00DE757E" w:rsidP="00DE757E">
      <w:pPr>
        <w:rPr>
          <w:highlight w:val="cyan"/>
          <w:lang w:val="tr-TR"/>
        </w:rPr>
      </w:pPr>
      <w:r w:rsidRPr="00DE757E">
        <w:rPr>
          <w:b/>
          <w:bCs/>
          <w:highlight w:val="cyan"/>
          <w:lang w:val="tr-TR"/>
        </w:rPr>
        <w:t>3. Yeşil Patent &amp; İnovasyon (Zaman Serisi)</w:t>
      </w:r>
    </w:p>
    <w:p w14:paraId="4CD0626A" w14:textId="77777777" w:rsidR="00DE757E" w:rsidRPr="00DE757E" w:rsidRDefault="00DE757E" w:rsidP="00DE757E">
      <w:pPr>
        <w:numPr>
          <w:ilvl w:val="0"/>
          <w:numId w:val="29"/>
        </w:numPr>
        <w:rPr>
          <w:highlight w:val="cyan"/>
          <w:lang w:val="tr-TR"/>
        </w:rPr>
      </w:pPr>
      <w:r w:rsidRPr="00DE757E">
        <w:rPr>
          <w:b/>
          <w:bCs/>
          <w:highlight w:val="cyan"/>
          <w:lang w:val="tr-TR"/>
        </w:rPr>
        <w:t>Kaynak:</w:t>
      </w:r>
      <w:r w:rsidRPr="00DE757E">
        <w:rPr>
          <w:highlight w:val="cyan"/>
          <w:lang w:val="tr-TR"/>
        </w:rPr>
        <w:t> OECD</w:t>
      </w:r>
    </w:p>
    <w:p w14:paraId="715C5E70" w14:textId="77777777" w:rsidR="00DE757E" w:rsidRPr="00DE757E" w:rsidRDefault="00DE757E" w:rsidP="00DE757E">
      <w:pPr>
        <w:numPr>
          <w:ilvl w:val="0"/>
          <w:numId w:val="29"/>
        </w:numPr>
        <w:rPr>
          <w:highlight w:val="cyan"/>
          <w:lang w:val="tr-TR"/>
        </w:rPr>
      </w:pPr>
      <w:r w:rsidRPr="00DE757E">
        <w:rPr>
          <w:b/>
          <w:bCs/>
          <w:highlight w:val="cyan"/>
          <w:lang w:val="tr-TR"/>
        </w:rPr>
        <w:t>İndirme Linki:</w:t>
      </w:r>
      <w:r w:rsidRPr="00DE757E">
        <w:rPr>
          <w:highlight w:val="cyan"/>
          <w:lang w:val="tr-TR"/>
        </w:rPr>
        <w:t> </w:t>
      </w:r>
      <w:hyperlink r:id="rId35" w:tgtFrame="_blank" w:history="1">
        <w:r w:rsidRPr="00DE757E">
          <w:rPr>
            <w:rStyle w:val="Kpr"/>
            <w:b/>
            <w:bCs/>
            <w:highlight w:val="cyan"/>
            <w:lang w:val="tr-TR"/>
          </w:rPr>
          <w:t>OECD Green Growth Indicators</w:t>
        </w:r>
      </w:hyperlink>
    </w:p>
    <w:p w14:paraId="7F9FD808" w14:textId="77777777" w:rsidR="00DE757E" w:rsidRPr="00DE757E" w:rsidRDefault="00DE757E" w:rsidP="00DE757E">
      <w:pPr>
        <w:numPr>
          <w:ilvl w:val="1"/>
          <w:numId w:val="29"/>
        </w:numPr>
        <w:rPr>
          <w:highlight w:val="cyan"/>
          <w:lang w:val="tr-TR"/>
        </w:rPr>
      </w:pPr>
      <w:r w:rsidRPr="00DE757E">
        <w:rPr>
          <w:b/>
          <w:bCs/>
          <w:highlight w:val="cyan"/>
          <w:lang w:val="tr-TR"/>
        </w:rPr>
        <w:t>İçerik:</w:t>
      </w:r>
      <w:r w:rsidRPr="00DE757E">
        <w:rPr>
          <w:highlight w:val="cyan"/>
          <w:lang w:val="tr-TR"/>
        </w:rPr>
        <w:t> Çevre dostu teknolojiler patent sayıları (döngüsel tasarım vekil göstergesi).</w:t>
      </w:r>
    </w:p>
    <w:p w14:paraId="322FBA18" w14:textId="77777777" w:rsidR="00DE757E" w:rsidRPr="00DE757E" w:rsidRDefault="00DE757E" w:rsidP="00DE757E">
      <w:pPr>
        <w:rPr>
          <w:highlight w:val="cyan"/>
          <w:lang w:val="tr-TR"/>
        </w:rPr>
      </w:pPr>
      <w:r w:rsidRPr="00DE757E">
        <w:rPr>
          <w:b/>
          <w:bCs/>
          <w:highlight w:val="cyan"/>
          <w:lang w:val="tr-TR"/>
        </w:rPr>
        <w:t>4. Makroekonomik &amp; Sektörel Kontrol Değişkenleri (Panel Veri)</w:t>
      </w:r>
    </w:p>
    <w:p w14:paraId="6C03090D" w14:textId="77777777" w:rsidR="00DE757E" w:rsidRPr="00DE757E" w:rsidRDefault="00DE757E" w:rsidP="00DE757E">
      <w:pPr>
        <w:numPr>
          <w:ilvl w:val="0"/>
          <w:numId w:val="30"/>
        </w:numPr>
        <w:rPr>
          <w:highlight w:val="cyan"/>
          <w:lang w:val="tr-TR"/>
        </w:rPr>
      </w:pPr>
      <w:r w:rsidRPr="00DE757E">
        <w:rPr>
          <w:b/>
          <w:bCs/>
          <w:highlight w:val="cyan"/>
          <w:lang w:val="tr-TR"/>
        </w:rPr>
        <w:t>Kaynak:</w:t>
      </w:r>
      <w:r w:rsidRPr="00DE757E">
        <w:rPr>
          <w:highlight w:val="cyan"/>
          <w:lang w:val="tr-TR"/>
        </w:rPr>
        <w:t> Dünya Bankası</w:t>
      </w:r>
    </w:p>
    <w:p w14:paraId="4B7F2BDC" w14:textId="77777777" w:rsidR="00DE757E" w:rsidRPr="00DE757E" w:rsidRDefault="00DE757E" w:rsidP="00DE757E">
      <w:pPr>
        <w:numPr>
          <w:ilvl w:val="0"/>
          <w:numId w:val="30"/>
        </w:numPr>
        <w:rPr>
          <w:highlight w:val="cyan"/>
          <w:lang w:val="tr-TR"/>
        </w:rPr>
      </w:pPr>
      <w:r w:rsidRPr="00DE757E">
        <w:rPr>
          <w:b/>
          <w:bCs/>
          <w:highlight w:val="cyan"/>
          <w:lang w:val="tr-TR"/>
        </w:rPr>
        <w:t>İndirme Linki:</w:t>
      </w:r>
      <w:r w:rsidRPr="00DE757E">
        <w:rPr>
          <w:highlight w:val="cyan"/>
          <w:lang w:val="tr-TR"/>
        </w:rPr>
        <w:t> </w:t>
      </w:r>
      <w:hyperlink r:id="rId36" w:tgtFrame="_blank" w:history="1">
        <w:r w:rsidRPr="00DE757E">
          <w:rPr>
            <w:rStyle w:val="Kpr"/>
            <w:b/>
            <w:bCs/>
            <w:highlight w:val="cyan"/>
            <w:lang w:val="tr-TR"/>
          </w:rPr>
          <w:t>World Development Indicators (WDI) - Custom Dataset</w:t>
        </w:r>
      </w:hyperlink>
    </w:p>
    <w:p w14:paraId="68C285BD" w14:textId="77777777" w:rsidR="00DE757E" w:rsidRPr="00DE757E" w:rsidRDefault="00DE757E" w:rsidP="00DE757E">
      <w:pPr>
        <w:numPr>
          <w:ilvl w:val="1"/>
          <w:numId w:val="30"/>
        </w:numPr>
        <w:rPr>
          <w:highlight w:val="cyan"/>
          <w:lang w:val="tr-TR"/>
        </w:rPr>
      </w:pPr>
      <w:r w:rsidRPr="00DE757E">
        <w:rPr>
          <w:b/>
          <w:bCs/>
          <w:highlight w:val="cyan"/>
          <w:lang w:val="tr-TR"/>
        </w:rPr>
        <w:t>İçerik:</w:t>
      </w:r>
      <w:r w:rsidRPr="00DE757E">
        <w:rPr>
          <w:highlight w:val="cyan"/>
          <w:lang w:val="tr-TR"/>
        </w:rPr>
        <w:t> GSYİH, kişi başına GSYİH, hizmet sektörü katma değeri.</w:t>
      </w:r>
    </w:p>
    <w:p w14:paraId="0991964E" w14:textId="77777777" w:rsidR="00DE757E" w:rsidRPr="00DE757E" w:rsidRDefault="00DE757E" w:rsidP="00DE757E">
      <w:pPr>
        <w:numPr>
          <w:ilvl w:val="0"/>
          <w:numId w:val="30"/>
        </w:numPr>
        <w:rPr>
          <w:highlight w:val="cyan"/>
          <w:lang w:val="tr-TR"/>
        </w:rPr>
      </w:pPr>
      <w:r w:rsidRPr="00DE757E">
        <w:rPr>
          <w:b/>
          <w:bCs/>
          <w:highlight w:val="cyan"/>
          <w:lang w:val="tr-TR"/>
        </w:rPr>
        <w:t>İndirme Linki:</w:t>
      </w:r>
      <w:r w:rsidRPr="00DE757E">
        <w:rPr>
          <w:highlight w:val="cyan"/>
          <w:lang w:val="tr-TR"/>
        </w:rPr>
        <w:t> </w:t>
      </w:r>
      <w:hyperlink r:id="rId37" w:tgtFrame="_blank" w:history="1">
        <w:r w:rsidRPr="00DE757E">
          <w:rPr>
            <w:rStyle w:val="Kpr"/>
            <w:b/>
            <w:bCs/>
            <w:highlight w:val="cyan"/>
            <w:lang w:val="tr-TR"/>
          </w:rPr>
          <w:t>Employment in Services (% of total employment)</w:t>
        </w:r>
      </w:hyperlink>
    </w:p>
    <w:p w14:paraId="313FDE5E" w14:textId="77777777" w:rsidR="00DE757E" w:rsidRPr="00DE757E" w:rsidRDefault="00DE757E" w:rsidP="00DE757E">
      <w:pPr>
        <w:numPr>
          <w:ilvl w:val="1"/>
          <w:numId w:val="30"/>
        </w:numPr>
        <w:rPr>
          <w:highlight w:val="cyan"/>
          <w:lang w:val="tr-TR"/>
        </w:rPr>
      </w:pPr>
      <w:r w:rsidRPr="00DE757E">
        <w:rPr>
          <w:b/>
          <w:bCs/>
          <w:highlight w:val="cyan"/>
          <w:lang w:val="tr-TR"/>
        </w:rPr>
        <w:t>İçerik:</w:t>
      </w:r>
      <w:r w:rsidRPr="00DE757E">
        <w:rPr>
          <w:highlight w:val="cyan"/>
          <w:lang w:val="tr-TR"/>
        </w:rPr>
        <w:t> Hizmet sektörü istihdam oranı.</w:t>
      </w:r>
    </w:p>
    <w:p w14:paraId="7A42802E" w14:textId="77777777" w:rsidR="00DE757E" w:rsidRPr="00DE757E" w:rsidRDefault="00DE757E" w:rsidP="00DE757E">
      <w:pPr>
        <w:rPr>
          <w:highlight w:val="cyan"/>
          <w:lang w:val="tr-TR"/>
        </w:rPr>
      </w:pPr>
      <w:r w:rsidRPr="00DE757E">
        <w:rPr>
          <w:b/>
          <w:bCs/>
          <w:highlight w:val="cyan"/>
          <w:lang w:val="tr-TR"/>
        </w:rPr>
        <w:t>5. Emisyon &amp; Enerji Verileri (Zaman Serisi)</w:t>
      </w:r>
    </w:p>
    <w:p w14:paraId="643C6237" w14:textId="77777777" w:rsidR="00DE757E" w:rsidRPr="00DE757E" w:rsidRDefault="00DE757E" w:rsidP="00DE757E">
      <w:pPr>
        <w:numPr>
          <w:ilvl w:val="0"/>
          <w:numId w:val="31"/>
        </w:numPr>
        <w:rPr>
          <w:highlight w:val="cyan"/>
          <w:lang w:val="tr-TR"/>
        </w:rPr>
      </w:pPr>
      <w:r w:rsidRPr="00DE757E">
        <w:rPr>
          <w:b/>
          <w:bCs/>
          <w:highlight w:val="cyan"/>
          <w:lang w:val="tr-TR"/>
        </w:rPr>
        <w:t>Kaynak:</w:t>
      </w:r>
      <w:r w:rsidRPr="00DE757E">
        <w:rPr>
          <w:highlight w:val="cyan"/>
          <w:lang w:val="tr-TR"/>
        </w:rPr>
        <w:t> Eurostat</w:t>
      </w:r>
    </w:p>
    <w:p w14:paraId="7B90BB68" w14:textId="77777777" w:rsidR="00DE757E" w:rsidRPr="00DE757E" w:rsidRDefault="00DE757E" w:rsidP="00DE757E">
      <w:pPr>
        <w:numPr>
          <w:ilvl w:val="0"/>
          <w:numId w:val="31"/>
        </w:numPr>
        <w:rPr>
          <w:highlight w:val="cyan"/>
          <w:lang w:val="tr-TR"/>
        </w:rPr>
      </w:pPr>
      <w:r w:rsidRPr="00DE757E">
        <w:rPr>
          <w:b/>
          <w:bCs/>
          <w:highlight w:val="cyan"/>
          <w:lang w:val="tr-TR"/>
        </w:rPr>
        <w:t>İndirme Linki:</w:t>
      </w:r>
      <w:r w:rsidRPr="00DE757E">
        <w:rPr>
          <w:highlight w:val="cyan"/>
          <w:lang w:val="tr-TR"/>
        </w:rPr>
        <w:t> </w:t>
      </w:r>
      <w:hyperlink r:id="rId38" w:tgtFrame="_blank" w:history="1">
        <w:r w:rsidRPr="00DE757E">
          <w:rPr>
            <w:rStyle w:val="Kpr"/>
            <w:b/>
            <w:bCs/>
            <w:highlight w:val="cyan"/>
            <w:lang w:val="tr-TR"/>
          </w:rPr>
          <w:t>Air Emissions Accounts by Industry (NACE Rev. 2)</w:t>
        </w:r>
      </w:hyperlink>
    </w:p>
    <w:p w14:paraId="7A2D654A" w14:textId="27F8FB01" w:rsidR="00384A20" w:rsidRPr="00440846" w:rsidRDefault="00440846" w:rsidP="00384A20">
      <w:pPr>
        <w:rPr>
          <w:b/>
          <w:bCs/>
          <w:lang w:val="tr-TR"/>
        </w:rPr>
      </w:pPr>
      <w:r w:rsidRPr="00440846">
        <w:rPr>
          <w:b/>
          <w:bCs/>
          <w:highlight w:val="cyan"/>
          <w:lang w:val="tr-TR"/>
        </w:rPr>
        <w:t>BEN YAZACAĞIM</w:t>
      </w:r>
    </w:p>
    <w:p w14:paraId="0246DE64" w14:textId="2B5563F5" w:rsidR="00A2760E" w:rsidRPr="00384A20" w:rsidRDefault="00000000" w:rsidP="00384A20">
      <w:pPr>
        <w:pStyle w:val="Balk1"/>
        <w:spacing w:before="120" w:line="240" w:lineRule="auto"/>
        <w:rPr>
          <w:rFonts w:ascii="Times New Roman" w:hAnsi="Times New Roman" w:cs="Times New Roman"/>
          <w:bCs w:val="0"/>
          <w:color w:val="auto"/>
          <w:sz w:val="22"/>
          <w:szCs w:val="22"/>
          <w:lang w:val="da-DK"/>
        </w:rPr>
      </w:pPr>
      <w:r w:rsidRPr="00384A20">
        <w:rPr>
          <w:rFonts w:ascii="Times New Roman" w:hAnsi="Times New Roman" w:cs="Times New Roman"/>
          <w:bCs w:val="0"/>
          <w:color w:val="auto"/>
          <w:sz w:val="22"/>
          <w:szCs w:val="22"/>
          <w:lang w:val="da-DK"/>
        </w:rPr>
        <w:t>5. Tartışma</w:t>
      </w:r>
    </w:p>
    <w:p w14:paraId="73CE58CC" w14:textId="77777777" w:rsidR="00A2760E" w:rsidRPr="00384A20" w:rsidRDefault="00000000" w:rsidP="00384A20">
      <w:pPr>
        <w:spacing w:before="120" w:after="0" w:line="240" w:lineRule="auto"/>
        <w:rPr>
          <w:rFonts w:cs="Times New Roman"/>
          <w:bCs/>
          <w:lang w:val="da-DK"/>
        </w:rPr>
      </w:pPr>
      <w:r w:rsidRPr="00384A20">
        <w:rPr>
          <w:rFonts w:cs="Times New Roman"/>
          <w:bCs/>
          <w:lang w:val="da-DK"/>
        </w:rPr>
        <w:t>Hizmet kalitesi, döngüsel ekonomide stratejik bir kaldıraç görevi görmektedir. Dijital izlenebilirlik, geri akışları hızlandırmaktadır. Politika entegrasyonu, üretici sorumluluğu ve şeffaflık gereklilikleri ile güçlenmektedir.</w:t>
      </w:r>
    </w:p>
    <w:p w14:paraId="4E318C56" w14:textId="77777777" w:rsidR="00A2760E" w:rsidRPr="00384A20" w:rsidRDefault="00000000" w:rsidP="00384A20">
      <w:pPr>
        <w:pStyle w:val="Balk1"/>
        <w:spacing w:before="120" w:line="240" w:lineRule="auto"/>
        <w:rPr>
          <w:rFonts w:ascii="Times New Roman" w:hAnsi="Times New Roman" w:cs="Times New Roman"/>
          <w:b w:val="0"/>
          <w:color w:val="auto"/>
          <w:sz w:val="22"/>
          <w:szCs w:val="22"/>
          <w:lang w:val="da-DK"/>
        </w:rPr>
      </w:pPr>
      <w:r w:rsidRPr="00384A20">
        <w:rPr>
          <w:rFonts w:ascii="Times New Roman" w:hAnsi="Times New Roman" w:cs="Times New Roman"/>
          <w:b w:val="0"/>
          <w:color w:val="auto"/>
          <w:sz w:val="22"/>
          <w:szCs w:val="22"/>
          <w:lang w:val="da-DK"/>
        </w:rPr>
        <w:lastRenderedPageBreak/>
        <w:t>6. Sonuç</w:t>
      </w:r>
    </w:p>
    <w:p w14:paraId="5DE1A452" w14:textId="77777777" w:rsidR="00A2760E" w:rsidRPr="00384A20" w:rsidRDefault="00000000" w:rsidP="00384A20">
      <w:pPr>
        <w:spacing w:before="120" w:after="0" w:line="240" w:lineRule="auto"/>
        <w:rPr>
          <w:rFonts w:cs="Times New Roman"/>
          <w:bCs/>
          <w:lang w:val="da-DK"/>
        </w:rPr>
      </w:pPr>
      <w:r w:rsidRPr="00384A20">
        <w:rPr>
          <w:rFonts w:cs="Times New Roman"/>
          <w:bCs/>
          <w:lang w:val="da-DK"/>
        </w:rPr>
        <w:t>Çalışma, sürdürülebilir hizmet kalitesi ile döngüsellik arasındaki bağı ölçülebilir bir çerçeve ile kurmaktadır. H1–H5 hipotezleri, ampirik doğrulama için uygulanabilir bir yol haritası sunmaktadır.</w:t>
      </w:r>
    </w:p>
    <w:p w14:paraId="3469B8E7" w14:textId="77777777" w:rsidR="00A2760E" w:rsidRPr="00384A20" w:rsidRDefault="00000000" w:rsidP="00384A20">
      <w:pPr>
        <w:pStyle w:val="Balk2"/>
        <w:spacing w:before="120" w:line="240" w:lineRule="auto"/>
        <w:rPr>
          <w:rFonts w:ascii="Times New Roman" w:hAnsi="Times New Roman" w:cs="Times New Roman"/>
          <w:b w:val="0"/>
          <w:color w:val="auto"/>
          <w:sz w:val="22"/>
          <w:szCs w:val="22"/>
          <w:lang w:val="da-DK"/>
        </w:rPr>
      </w:pPr>
      <w:r w:rsidRPr="00384A20">
        <w:rPr>
          <w:rFonts w:ascii="Times New Roman" w:hAnsi="Times New Roman" w:cs="Times New Roman"/>
          <w:b w:val="0"/>
          <w:color w:val="auto"/>
          <w:sz w:val="22"/>
          <w:szCs w:val="22"/>
          <w:lang w:val="da-DK"/>
        </w:rPr>
        <w:t>Tablo 1. Göstergeler ve Operasyonel Tanımlar</w:t>
      </w:r>
    </w:p>
    <w:p w14:paraId="56E74AF6" w14:textId="77777777" w:rsidR="00A2760E" w:rsidRPr="00384A20" w:rsidRDefault="00000000" w:rsidP="00384A20">
      <w:pPr>
        <w:spacing w:before="120" w:after="0" w:line="240" w:lineRule="auto"/>
        <w:rPr>
          <w:rFonts w:cs="Times New Roman"/>
          <w:bCs/>
          <w:lang w:val="da-DK"/>
        </w:rPr>
      </w:pPr>
      <w:r w:rsidRPr="00384A20">
        <w:rPr>
          <w:rFonts w:cs="Times New Roman"/>
          <w:bCs/>
          <w:lang w:val="da-DK"/>
        </w:rPr>
        <w:t>Onarım Oranı (%); Yeniden İmalat Verimi (%); Yeniden Dolaşıma Geçiş Süresi (gün); Hizmet Başına GHG Yoğunluğu (kgCO₂e); Maddi Döngüsellik Endeksi (0–1); Circular NPS (skor).</w:t>
      </w:r>
    </w:p>
    <w:p w14:paraId="6F22B505" w14:textId="77777777" w:rsidR="005B026B" w:rsidRPr="00384A20" w:rsidRDefault="005B026B" w:rsidP="00384A20">
      <w:pPr>
        <w:pStyle w:val="Balk1"/>
        <w:spacing w:before="120" w:line="240" w:lineRule="auto"/>
        <w:rPr>
          <w:rFonts w:ascii="Times New Roman" w:hAnsi="Times New Roman" w:cs="Times New Roman"/>
          <w:b w:val="0"/>
          <w:color w:val="auto"/>
          <w:sz w:val="22"/>
          <w:szCs w:val="22"/>
        </w:rPr>
      </w:pPr>
    </w:p>
    <w:p w14:paraId="53E337FB" w14:textId="77777777" w:rsidR="00BB742C" w:rsidRPr="00384A20" w:rsidRDefault="00BB742C" w:rsidP="00384A20">
      <w:pPr>
        <w:pStyle w:val="Balk1"/>
        <w:spacing w:before="120" w:line="240" w:lineRule="auto"/>
        <w:rPr>
          <w:rFonts w:ascii="Times New Roman" w:hAnsi="Times New Roman" w:cs="Times New Roman"/>
          <w:bCs w:val="0"/>
          <w:color w:val="auto"/>
          <w:sz w:val="22"/>
          <w:szCs w:val="22"/>
        </w:rPr>
        <w:sectPr w:rsidR="00BB742C" w:rsidRPr="00384A20" w:rsidSect="00034616">
          <w:pgSz w:w="12240" w:h="15840"/>
          <w:pgMar w:top="1440" w:right="1800" w:bottom="1440" w:left="1800" w:header="720" w:footer="720" w:gutter="0"/>
          <w:cols w:space="720"/>
          <w:docGrid w:linePitch="360"/>
        </w:sectPr>
      </w:pPr>
    </w:p>
    <w:p w14:paraId="00F8D089" w14:textId="2676B7FA" w:rsidR="005B026B" w:rsidRPr="00384A20" w:rsidRDefault="00BB742C" w:rsidP="00384A20">
      <w:pPr>
        <w:pStyle w:val="Balk1"/>
        <w:spacing w:before="120" w:line="240" w:lineRule="auto"/>
        <w:rPr>
          <w:rFonts w:ascii="Times New Roman" w:hAnsi="Times New Roman" w:cs="Times New Roman"/>
          <w:b w:val="0"/>
          <w:color w:val="auto"/>
          <w:sz w:val="22"/>
          <w:szCs w:val="22"/>
        </w:rPr>
      </w:pPr>
      <w:r w:rsidRPr="00384A20">
        <w:rPr>
          <w:rFonts w:ascii="Times New Roman" w:hAnsi="Times New Roman" w:cs="Times New Roman"/>
          <w:bCs w:val="0"/>
          <w:color w:val="auto"/>
          <w:sz w:val="22"/>
          <w:szCs w:val="22"/>
        </w:rPr>
        <w:lastRenderedPageBreak/>
        <w:t>References</w:t>
      </w:r>
    </w:p>
    <w:p w14:paraId="67D01626" w14:textId="77777777" w:rsidR="009A00F9" w:rsidRPr="00384A20" w:rsidRDefault="009A00F9" w:rsidP="00384A20">
      <w:pPr>
        <w:spacing w:before="120" w:after="0" w:line="240" w:lineRule="auto"/>
        <w:rPr>
          <w:rFonts w:cs="Times New Roman"/>
          <w:bCs/>
        </w:rPr>
      </w:pPr>
      <w:r w:rsidRPr="00384A20">
        <w:rPr>
          <w:rFonts w:cs="Times New Roman"/>
          <w:bCs/>
        </w:rPr>
        <w:t>Abu-Bakar, H., Williams, L., &amp; Hallett, S. H. (2024). Management's role in circular economy implementation in the manufacturing industry. Sustainable Production and Consumption, 35, 25-40. https://doi.org/10.1016/j.spc.2022.05.025</w:t>
      </w:r>
    </w:p>
    <w:p w14:paraId="34EE90D6" w14:textId="77777777" w:rsidR="009A00F9" w:rsidRPr="00384A20" w:rsidRDefault="009A00F9" w:rsidP="00384A20">
      <w:pPr>
        <w:spacing w:before="120" w:after="0" w:line="240" w:lineRule="auto"/>
        <w:rPr>
          <w:rFonts w:cs="Times New Roman"/>
          <w:bCs/>
        </w:rPr>
      </w:pPr>
      <w:r w:rsidRPr="00384A20">
        <w:rPr>
          <w:rFonts w:cs="Times New Roman"/>
          <w:bCs/>
        </w:rPr>
        <w:t>Ahmed, R. R., Zhang, X., Ramzan, M., Streimikiene, D., &amp; Akhtar, M. (2022). Assessing the role of circular economy in reducing environmental degradation. Sustainable Production and Consumption, 32, 99-114. https://doi.org/10.1016/j.spc.2022.05.025</w:t>
      </w:r>
    </w:p>
    <w:p w14:paraId="3F374433"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Bayraktaroğlu, S., &amp; Koç, H. (2024). Redefining repair as a value co-creation process for sustainable service systems. </w:t>
      </w:r>
      <w:r w:rsidRPr="00712FEC">
        <w:rPr>
          <w:rFonts w:cs="Times New Roman"/>
          <w:bCs/>
          <w:i/>
          <w:iCs/>
          <w:highlight w:val="yellow"/>
          <w:lang w:val="tr-TR"/>
        </w:rPr>
        <w:t>International Journal of Design, 18</w:t>
      </w:r>
      <w:r w:rsidRPr="00712FEC">
        <w:rPr>
          <w:rFonts w:cs="Times New Roman"/>
          <w:bCs/>
          <w:highlight w:val="yellow"/>
          <w:lang w:val="tr-TR"/>
        </w:rPr>
        <w:t>(1), 19–36. (</w:t>
      </w:r>
      <w:hyperlink r:id="rId39" w:tooltip="Redefining Repair as a Value Co-Creation Process for ..." w:history="1">
        <w:r w:rsidRPr="00712FEC">
          <w:rPr>
            <w:rStyle w:val="Kpr"/>
            <w:rFonts w:cs="Times New Roman"/>
            <w:bCs/>
            <w:highlight w:val="yellow"/>
            <w:lang w:val="tr-TR"/>
          </w:rPr>
          <w:t>ijdesign.org</w:t>
        </w:r>
      </w:hyperlink>
      <w:r w:rsidRPr="00712FEC">
        <w:rPr>
          <w:rFonts w:cs="Times New Roman"/>
          <w:bCs/>
          <w:highlight w:val="yellow"/>
          <w:lang w:val="tr-TR"/>
        </w:rPr>
        <w:t>)</w:t>
      </w:r>
    </w:p>
    <w:p w14:paraId="464025EE"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Biancolin, M., &amp; Torre, S. D. (2023). Reverse logistics and the circular economy: A literature review. </w:t>
      </w:r>
      <w:r w:rsidRPr="00712FEC">
        <w:rPr>
          <w:rFonts w:cs="Times New Roman"/>
          <w:bCs/>
          <w:i/>
          <w:iCs/>
          <w:highlight w:val="yellow"/>
          <w:lang w:val="tr-TR"/>
        </w:rPr>
        <w:t>European Transport, 94</w:t>
      </w:r>
      <w:r w:rsidRPr="00712FEC">
        <w:rPr>
          <w:rFonts w:cs="Times New Roman"/>
          <w:bCs/>
          <w:highlight w:val="yellow"/>
          <w:lang w:val="tr-TR"/>
        </w:rPr>
        <w:t>, 1–26. (</w:t>
      </w:r>
      <w:hyperlink r:id="rId40" w:tooltip="Reverse logistics and circular economy: A literature review" w:history="1">
        <w:r w:rsidRPr="00712FEC">
          <w:rPr>
            <w:rStyle w:val="Kpr"/>
            <w:rFonts w:cs="Times New Roman"/>
            <w:bCs/>
            <w:highlight w:val="yellow"/>
            <w:lang w:val="tr-TR"/>
          </w:rPr>
          <w:t>istiee.unict.it</w:t>
        </w:r>
      </w:hyperlink>
      <w:r w:rsidRPr="00712FEC">
        <w:rPr>
          <w:rFonts w:cs="Times New Roman"/>
          <w:bCs/>
          <w:highlight w:val="yellow"/>
          <w:lang w:val="tr-TR"/>
        </w:rPr>
        <w:t>)</w:t>
      </w:r>
    </w:p>
    <w:p w14:paraId="25FBE74A"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Bocken, N. M. P., Strupeit, L., Whalen, K., &amp; Nußholz, J. L. K. (2022). Circular business model innovation in consumer-facing sectors. </w:t>
      </w:r>
      <w:r w:rsidRPr="00712FEC">
        <w:rPr>
          <w:rFonts w:cs="Times New Roman"/>
          <w:bCs/>
          <w:i/>
          <w:iCs/>
          <w:highlight w:val="yellow"/>
          <w:lang w:val="tr-TR"/>
        </w:rPr>
        <w:t>Technological Forecasting and Social Change, 183</w:t>
      </w:r>
      <w:r w:rsidRPr="00712FEC">
        <w:rPr>
          <w:rFonts w:cs="Times New Roman"/>
          <w:bCs/>
          <w:highlight w:val="yellow"/>
          <w:lang w:val="tr-TR"/>
        </w:rPr>
        <w:t>, 121885. (</w:t>
      </w:r>
      <w:hyperlink r:id="rId41" w:tooltip="Circular business model innovation in consumer-facing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4BE4D4D4" w14:textId="77777777" w:rsidR="009A00F9" w:rsidRPr="00712FEC" w:rsidRDefault="009A00F9" w:rsidP="00384A20">
      <w:pPr>
        <w:spacing w:before="120" w:after="0" w:line="240" w:lineRule="auto"/>
        <w:rPr>
          <w:rFonts w:cs="Times New Roman"/>
          <w:bCs/>
          <w:lang w:val="tr-TR"/>
        </w:rPr>
      </w:pPr>
      <w:r w:rsidRPr="00712FEC">
        <w:rPr>
          <w:rFonts w:cs="Times New Roman"/>
          <w:bCs/>
          <w:highlight w:val="yellow"/>
          <w:lang w:val="tr-TR"/>
        </w:rPr>
        <w:t xml:space="preserve">Böhmecke-Schwafert, M., et al. (2022). Blockchain for traceability in circular supply chains: A review. </w:t>
      </w:r>
      <w:r w:rsidRPr="00712FEC">
        <w:rPr>
          <w:rFonts w:cs="Times New Roman"/>
          <w:bCs/>
          <w:i/>
          <w:iCs/>
          <w:highlight w:val="yellow"/>
          <w:lang w:val="tr-TR"/>
        </w:rPr>
        <w:t>Journal article/working version</w:t>
      </w:r>
      <w:r w:rsidRPr="00712FEC">
        <w:rPr>
          <w:rFonts w:cs="Times New Roman"/>
          <w:bCs/>
          <w:highlight w:val="yellow"/>
          <w:lang w:val="tr-TR"/>
        </w:rPr>
        <w:t>. (</w:t>
      </w:r>
      <w:hyperlink r:id="rId42" w:tooltip="(PDF) Blockchain Technology and the Circular Economy" w:history="1">
        <w:r w:rsidRPr="00712FEC">
          <w:rPr>
            <w:rStyle w:val="Kpr"/>
            <w:rFonts w:cs="Times New Roman"/>
            <w:bCs/>
            <w:highlight w:val="yellow"/>
            <w:lang w:val="tr-TR"/>
          </w:rPr>
          <w:t>ResearchGate</w:t>
        </w:r>
      </w:hyperlink>
      <w:r w:rsidRPr="00712FEC">
        <w:rPr>
          <w:rFonts w:cs="Times New Roman"/>
          <w:bCs/>
          <w:highlight w:val="yellow"/>
          <w:lang w:val="tr-TR"/>
        </w:rPr>
        <w:t>)</w:t>
      </w:r>
    </w:p>
    <w:p w14:paraId="24C5A5C7"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Bressanelli, G., Saccani, N., &amp; Perona, M. (2024). Are digital servitization-based circular economy business models win-win-win? </w:t>
      </w:r>
      <w:r w:rsidRPr="00712FEC">
        <w:rPr>
          <w:rFonts w:cs="Times New Roman"/>
          <w:bCs/>
          <w:i/>
          <w:iCs/>
          <w:highlight w:val="yellow"/>
          <w:lang w:val="tr-TR"/>
        </w:rPr>
        <w:t>Journal of Cleaner Production, 465</w:t>
      </w:r>
      <w:r w:rsidRPr="00712FEC">
        <w:rPr>
          <w:rFonts w:cs="Times New Roman"/>
          <w:bCs/>
          <w:highlight w:val="yellow"/>
          <w:lang w:val="tr-TR"/>
        </w:rPr>
        <w:t>, 140883. (</w:t>
      </w:r>
      <w:hyperlink r:id="rId43" w:tooltip="Are digital servitization-based Circular Economy business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4D759830" w14:textId="77777777" w:rsidR="009A00F9" w:rsidRPr="005B026B" w:rsidRDefault="009A00F9" w:rsidP="00384A20">
      <w:pPr>
        <w:spacing w:before="120" w:after="0" w:line="240" w:lineRule="auto"/>
        <w:rPr>
          <w:rFonts w:cs="Times New Roman"/>
          <w:bCs/>
          <w:lang w:val="tr-TR"/>
        </w:rPr>
      </w:pPr>
      <w:r w:rsidRPr="005B026B">
        <w:rPr>
          <w:rFonts w:cs="Times New Roman"/>
          <w:bCs/>
          <w:lang w:val="tr-TR"/>
        </w:rPr>
        <w:t>Burmaoglu, S., Ozdemir Gungor, D., Kirbac, A., &amp; Saritas, O. (2023). Future research avenues at the nexus of circular economy and digitalization. </w:t>
      </w:r>
      <w:r w:rsidRPr="005B026B">
        <w:rPr>
          <w:rFonts w:cs="Times New Roman"/>
          <w:bCs/>
          <w:i/>
          <w:iCs/>
          <w:lang w:val="tr-TR"/>
        </w:rPr>
        <w:t>International Journal of Productivity and Performance Management</w:t>
      </w:r>
      <w:r w:rsidRPr="005B026B">
        <w:rPr>
          <w:rFonts w:cs="Times New Roman"/>
          <w:bCs/>
          <w:lang w:val="tr-TR"/>
        </w:rPr>
        <w:t>, </w:t>
      </w:r>
      <w:r w:rsidRPr="005B026B">
        <w:rPr>
          <w:rFonts w:cs="Times New Roman"/>
          <w:bCs/>
          <w:i/>
          <w:iCs/>
          <w:lang w:val="tr-TR"/>
        </w:rPr>
        <w:t>72</w:t>
      </w:r>
      <w:r w:rsidRPr="005B026B">
        <w:rPr>
          <w:rFonts w:cs="Times New Roman"/>
          <w:bCs/>
          <w:lang w:val="tr-TR"/>
        </w:rPr>
        <w:t>(8), 2247-2269. </w:t>
      </w:r>
      <w:hyperlink r:id="rId44" w:tgtFrame="_blank" w:history="1">
        <w:r w:rsidRPr="005B026B">
          <w:rPr>
            <w:rStyle w:val="Kpr"/>
            <w:rFonts w:cs="Times New Roman"/>
            <w:bCs/>
            <w:color w:val="auto"/>
            <w:lang w:val="tr-TR"/>
          </w:rPr>
          <w:t>https://doi.org/10.1108/ijppm-01-2021-0026</w:t>
        </w:r>
      </w:hyperlink>
    </w:p>
    <w:p w14:paraId="335C3B8F" w14:textId="77777777" w:rsidR="009A00F9" w:rsidRPr="00384A20" w:rsidRDefault="009A00F9" w:rsidP="00384A20">
      <w:pPr>
        <w:spacing w:before="120" w:after="0" w:line="240" w:lineRule="auto"/>
        <w:rPr>
          <w:rFonts w:cs="Times New Roman"/>
          <w:bCs/>
        </w:rPr>
      </w:pPr>
      <w:r w:rsidRPr="00384A20">
        <w:rPr>
          <w:rFonts w:cs="Times New Roman"/>
          <w:bCs/>
        </w:rPr>
        <w:t>Cagno, E., Neri, A., Negri, M., Bassani, C. A., &amp; Lampertico, T. (2021). The role of digital technologies in operationalizing the circular economy transition: A systematic literature review. Applied Sciences, 11(8), 3328. https://doi.org/10.3390/app11083328</w:t>
      </w:r>
    </w:p>
    <w:p w14:paraId="7D952FE1"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Calzolari, T., Genovese, A., &amp; Brint, A. (2022). Circular economy indicators for supply chains: A systematic review. </w:t>
      </w:r>
      <w:r w:rsidRPr="00712FEC">
        <w:rPr>
          <w:rFonts w:cs="Times New Roman"/>
          <w:bCs/>
          <w:i/>
          <w:iCs/>
          <w:highlight w:val="yellow"/>
          <w:lang w:val="tr-TR"/>
        </w:rPr>
        <w:t>Sustainable Futures, 4</w:t>
      </w:r>
      <w:r w:rsidRPr="00712FEC">
        <w:rPr>
          <w:rFonts w:cs="Times New Roman"/>
          <w:bCs/>
          <w:highlight w:val="yellow"/>
          <w:lang w:val="tr-TR"/>
        </w:rPr>
        <w:t>, 100081. (</w:t>
      </w:r>
      <w:hyperlink r:id="rId45" w:tooltip="Circular Economy indicators for supply chains"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5F5ABF40"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Circle Economy. (2024). </w:t>
      </w:r>
      <w:r w:rsidRPr="0062778B">
        <w:rPr>
          <w:rFonts w:cs="Times New Roman"/>
          <w:bCs/>
          <w:i/>
          <w:iCs/>
          <w:lang w:val="tr-TR"/>
        </w:rPr>
        <w:t>The Circularity Gap Report 2024</w:t>
      </w:r>
      <w:r w:rsidRPr="0062778B">
        <w:rPr>
          <w:rFonts w:cs="Times New Roman"/>
          <w:bCs/>
          <w:lang w:val="tr-TR"/>
        </w:rPr>
        <w:t>. Circle Economy.</w:t>
      </w:r>
    </w:p>
    <w:p w14:paraId="3767E579" w14:textId="77777777" w:rsidR="009A00F9" w:rsidRPr="00384A20" w:rsidRDefault="009A00F9" w:rsidP="00384A20">
      <w:pPr>
        <w:spacing w:before="120" w:after="0" w:line="240" w:lineRule="auto"/>
        <w:rPr>
          <w:rFonts w:cs="Times New Roman"/>
          <w:bCs/>
        </w:rPr>
      </w:pPr>
      <w:r w:rsidRPr="00384A20">
        <w:rPr>
          <w:rFonts w:cs="Times New Roman"/>
          <w:bCs/>
          <w:lang w:val="pt-BR"/>
        </w:rPr>
        <w:t xml:space="preserve">de Oliveira, C. T., &amp; Oliveira, C. M. (2023). </w:t>
      </w:r>
      <w:r w:rsidRPr="00384A20">
        <w:rPr>
          <w:rFonts w:cs="Times New Roman"/>
          <w:bCs/>
        </w:rPr>
        <w:t>Circular economy and the economic feasibility of social and solidarity economy organizations. Resources, Conservation and Recycling, 189, 106850. https://doi.org/10.1016/j.resconrec.2022.106850</w:t>
      </w:r>
    </w:p>
    <w:p w14:paraId="27DB2A07"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Dreier, J., Hesselbach, J., &amp; Herrmann, C. (2025). A framework for assessing and enhancing product circularity in development. </w:t>
      </w:r>
      <w:r w:rsidRPr="00712FEC">
        <w:rPr>
          <w:rFonts w:cs="Times New Roman"/>
          <w:bCs/>
          <w:i/>
          <w:iCs/>
          <w:highlight w:val="yellow"/>
          <w:lang w:val="tr-TR"/>
        </w:rPr>
        <w:t>Journal of Cleaner Production, 459</w:t>
      </w:r>
      <w:r w:rsidRPr="00712FEC">
        <w:rPr>
          <w:rFonts w:cs="Times New Roman"/>
          <w:bCs/>
          <w:highlight w:val="yellow"/>
          <w:lang w:val="tr-TR"/>
        </w:rPr>
        <w:t>, 142034. (</w:t>
      </w:r>
      <w:hyperlink r:id="rId46" w:tooltip="A framework for assessing and enhancing product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1DE80492"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EFRAG. (2023). </w:t>
      </w:r>
      <w:r w:rsidRPr="00712FEC">
        <w:rPr>
          <w:rFonts w:cs="Times New Roman"/>
          <w:bCs/>
          <w:i/>
          <w:iCs/>
          <w:highlight w:val="yellow"/>
          <w:lang w:val="tr-TR"/>
        </w:rPr>
        <w:t>ESRS E1—Climate change (Delegated Act Annex)</w:t>
      </w:r>
      <w:r w:rsidRPr="00712FEC">
        <w:rPr>
          <w:rFonts w:cs="Times New Roman"/>
          <w:bCs/>
          <w:highlight w:val="yellow"/>
          <w:lang w:val="tr-TR"/>
        </w:rPr>
        <w:t>. European Financial Reporting Advisory Group. (</w:t>
      </w:r>
      <w:hyperlink r:id="rId47" w:tooltip="ESRS E1 CLIMATE CHANGE Table of contents" w:history="1">
        <w:r w:rsidRPr="00712FEC">
          <w:rPr>
            <w:rStyle w:val="Kpr"/>
            <w:rFonts w:cs="Times New Roman"/>
            <w:bCs/>
            <w:highlight w:val="yellow"/>
            <w:lang w:val="tr-TR"/>
          </w:rPr>
          <w:t>EFRAG</w:t>
        </w:r>
      </w:hyperlink>
      <w:r w:rsidRPr="00712FEC">
        <w:rPr>
          <w:rFonts w:cs="Times New Roman"/>
          <w:bCs/>
          <w:highlight w:val="yellow"/>
          <w:lang w:val="tr-TR"/>
        </w:rPr>
        <w:t>)</w:t>
      </w:r>
    </w:p>
    <w:p w14:paraId="69040717"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Ellen MacArthur Foundation. (2021). </w:t>
      </w:r>
      <w:r w:rsidRPr="0062778B">
        <w:rPr>
          <w:rFonts w:cs="Times New Roman"/>
          <w:bCs/>
          <w:i/>
          <w:iCs/>
          <w:lang w:val="tr-TR"/>
        </w:rPr>
        <w:t>Circulytics: Measuring circularity (v2.0)</w:t>
      </w:r>
      <w:r w:rsidRPr="0062778B">
        <w:rPr>
          <w:rFonts w:cs="Times New Roman"/>
          <w:bCs/>
          <w:lang w:val="tr-TR"/>
        </w:rPr>
        <w:t>. EMF.</w:t>
      </w:r>
    </w:p>
    <w:p w14:paraId="5A90E415"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Ellen MacArthur Foundation. (2024). </w:t>
      </w:r>
      <w:r w:rsidRPr="0062778B">
        <w:rPr>
          <w:rFonts w:cs="Times New Roman"/>
          <w:bCs/>
          <w:i/>
          <w:iCs/>
          <w:lang w:val="tr-TR"/>
        </w:rPr>
        <w:t>Circular economy insights 2024: Business models and metrics</w:t>
      </w:r>
      <w:r w:rsidRPr="0062778B">
        <w:rPr>
          <w:rFonts w:cs="Times New Roman"/>
          <w:bCs/>
          <w:lang w:val="tr-TR"/>
        </w:rPr>
        <w:t>. EMF.</w:t>
      </w:r>
    </w:p>
    <w:p w14:paraId="038AD499"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European Environment Agency. (2024). </w:t>
      </w:r>
      <w:r w:rsidRPr="0062778B">
        <w:rPr>
          <w:rFonts w:cs="Times New Roman"/>
          <w:bCs/>
          <w:i/>
          <w:iCs/>
          <w:lang w:val="tr-TR"/>
        </w:rPr>
        <w:t>Monitoring the circular economy in the EU: Indicator framework 2024</w:t>
      </w:r>
      <w:r w:rsidRPr="0062778B">
        <w:rPr>
          <w:rFonts w:cs="Times New Roman"/>
          <w:bCs/>
          <w:lang w:val="tr-TR"/>
        </w:rPr>
        <w:t>. EEA Report.</w:t>
      </w:r>
    </w:p>
    <w:p w14:paraId="000A9254" w14:textId="77777777" w:rsidR="009A00F9" w:rsidRPr="005B026B" w:rsidRDefault="009A00F9" w:rsidP="00384A20">
      <w:pPr>
        <w:spacing w:before="120" w:after="0" w:line="240" w:lineRule="auto"/>
        <w:rPr>
          <w:rFonts w:cs="Times New Roman"/>
          <w:bCs/>
          <w:lang w:val="tr-TR"/>
        </w:rPr>
      </w:pPr>
      <w:r w:rsidRPr="005B026B">
        <w:rPr>
          <w:rFonts w:cs="Times New Roman"/>
          <w:bCs/>
          <w:lang w:val="tr-TR"/>
        </w:rPr>
        <w:t>Gür, U. (2023). Smart product-service systems in fashion industry: A systematic review of sustainability results. </w:t>
      </w:r>
      <w:r w:rsidRPr="005B026B">
        <w:rPr>
          <w:rFonts w:cs="Times New Roman"/>
          <w:bCs/>
          <w:i/>
          <w:iCs/>
          <w:lang w:val="tr-TR"/>
        </w:rPr>
        <w:t>Verimlilik Dergisi</w:t>
      </w:r>
      <w:r w:rsidRPr="005B026B">
        <w:rPr>
          <w:rFonts w:cs="Times New Roman"/>
          <w:bCs/>
          <w:lang w:val="tr-TR"/>
        </w:rPr>
        <w:t>, </w:t>
      </w:r>
      <w:r w:rsidRPr="005B026B">
        <w:rPr>
          <w:rFonts w:cs="Times New Roman"/>
          <w:bCs/>
          <w:i/>
          <w:iCs/>
          <w:lang w:val="tr-TR"/>
        </w:rPr>
        <w:t>57</w:t>
      </w:r>
      <w:r w:rsidRPr="005B026B">
        <w:rPr>
          <w:rFonts w:cs="Times New Roman"/>
          <w:bCs/>
          <w:lang w:val="tr-TR"/>
        </w:rPr>
        <w:t>(4), 747-760. </w:t>
      </w:r>
      <w:hyperlink r:id="rId48" w:tgtFrame="_blank" w:history="1">
        <w:r w:rsidRPr="005B026B">
          <w:rPr>
            <w:rStyle w:val="Kpr"/>
            <w:rFonts w:cs="Times New Roman"/>
            <w:bCs/>
            <w:color w:val="auto"/>
            <w:lang w:val="tr-TR"/>
          </w:rPr>
          <w:t>https://doi.org/10.51551/verimlilik.1220774</w:t>
        </w:r>
      </w:hyperlink>
    </w:p>
    <w:p w14:paraId="309C6274"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lastRenderedPageBreak/>
        <w:t xml:space="preserve">Hariyani, D., et al. (2024). Leveraging digital technologies for advancing circular economy initiatives. </w:t>
      </w:r>
      <w:r w:rsidRPr="00712FEC">
        <w:rPr>
          <w:rFonts w:cs="Times New Roman"/>
          <w:bCs/>
          <w:i/>
          <w:iCs/>
          <w:highlight w:val="yellow"/>
          <w:lang w:val="tr-TR"/>
        </w:rPr>
        <w:t>Cleaner Engineering and Technology, 18</w:t>
      </w:r>
      <w:r w:rsidRPr="00712FEC">
        <w:rPr>
          <w:rFonts w:cs="Times New Roman"/>
          <w:bCs/>
          <w:highlight w:val="yellow"/>
          <w:lang w:val="tr-TR"/>
        </w:rPr>
        <w:t>, 100619. (</w:t>
      </w:r>
      <w:hyperlink r:id="rId49" w:tooltip="Leveraging digital technologies for advancing circular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7A79CFFC" w14:textId="77777777" w:rsidR="009A00F9" w:rsidRPr="00384A20" w:rsidRDefault="009A00F9" w:rsidP="00384A20">
      <w:pPr>
        <w:spacing w:before="120" w:after="0" w:line="240" w:lineRule="auto"/>
        <w:rPr>
          <w:rFonts w:cs="Times New Roman"/>
          <w:bCs/>
          <w:lang w:val="tr-TR"/>
        </w:rPr>
      </w:pPr>
      <w:r w:rsidRPr="0062778B">
        <w:rPr>
          <w:rFonts w:cs="Times New Roman"/>
          <w:bCs/>
          <w:lang w:val="tr-TR"/>
        </w:rPr>
        <w:t>Hocam, şimdiye kadar yazdığım bölümlerde kullandığım tüm kaynakların toplu APA 7 listesi aşağıdadır (2021 ve sonrası; DOI’siz):</w:t>
      </w:r>
    </w:p>
    <w:p w14:paraId="2E2CE7D7"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International Organization for Standardization. (2024a). </w:t>
      </w:r>
      <w:r w:rsidRPr="0062778B">
        <w:rPr>
          <w:rFonts w:cs="Times New Roman"/>
          <w:bCs/>
          <w:i/>
          <w:iCs/>
          <w:lang w:val="tr-TR"/>
        </w:rPr>
        <w:t>ISO 59020:2024 — Circular economy — Measuring circularity</w:t>
      </w:r>
      <w:r w:rsidRPr="0062778B">
        <w:rPr>
          <w:rFonts w:cs="Times New Roman"/>
          <w:bCs/>
          <w:lang w:val="tr-TR"/>
        </w:rPr>
        <w:t>. ISO.</w:t>
      </w:r>
    </w:p>
    <w:p w14:paraId="0BC6EF29"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International Organization for Standardization. (2024b). </w:t>
      </w:r>
      <w:r w:rsidRPr="0062778B">
        <w:rPr>
          <w:rFonts w:cs="Times New Roman"/>
          <w:bCs/>
          <w:i/>
          <w:iCs/>
          <w:lang w:val="tr-TR"/>
        </w:rPr>
        <w:t>ISO 59004:2024 — Circular economy — Framework and principles for implementation</w:t>
      </w:r>
      <w:r w:rsidRPr="0062778B">
        <w:rPr>
          <w:rFonts w:cs="Times New Roman"/>
          <w:bCs/>
          <w:lang w:val="tr-TR"/>
        </w:rPr>
        <w:t>. ISO.</w:t>
      </w:r>
    </w:p>
    <w:p w14:paraId="69D1B961"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Islam, M. (2025). Data-driven governance and traceability in circular business models. </w:t>
      </w:r>
      <w:r w:rsidRPr="0062778B">
        <w:rPr>
          <w:rFonts w:cs="Times New Roman"/>
          <w:bCs/>
          <w:i/>
          <w:iCs/>
          <w:lang w:val="tr-TR"/>
        </w:rPr>
        <w:t>Journal of Cleaner Production Studies</w:t>
      </w:r>
      <w:r w:rsidRPr="0062778B">
        <w:rPr>
          <w:rFonts w:cs="Times New Roman"/>
          <w:bCs/>
          <w:lang w:val="tr-TR"/>
        </w:rPr>
        <w:t>.</w:t>
      </w:r>
    </w:p>
    <w:p w14:paraId="2DC1B500"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ISO. (2024a). </w:t>
      </w:r>
      <w:r w:rsidRPr="00712FEC">
        <w:rPr>
          <w:rFonts w:cs="Times New Roman"/>
          <w:bCs/>
          <w:i/>
          <w:iCs/>
          <w:highlight w:val="yellow"/>
          <w:lang w:val="tr-TR"/>
        </w:rPr>
        <w:t>ISO 59004:2024—Circular economy: Vocabulary, principles and guidance for implementation</w:t>
      </w:r>
      <w:r w:rsidRPr="00712FEC">
        <w:rPr>
          <w:rFonts w:cs="Times New Roman"/>
          <w:bCs/>
          <w:highlight w:val="yellow"/>
          <w:lang w:val="tr-TR"/>
        </w:rPr>
        <w:t>. International Organization for Standardization. (</w:t>
      </w:r>
      <w:hyperlink r:id="rId50" w:tooltip="ISO 59004:2024 - Circular economy" w:history="1">
        <w:r w:rsidRPr="00712FEC">
          <w:rPr>
            <w:rStyle w:val="Kpr"/>
            <w:rFonts w:cs="Times New Roman"/>
            <w:bCs/>
            <w:highlight w:val="yellow"/>
            <w:lang w:val="tr-TR"/>
          </w:rPr>
          <w:t>ISO</w:t>
        </w:r>
      </w:hyperlink>
      <w:r w:rsidRPr="00712FEC">
        <w:rPr>
          <w:rFonts w:cs="Times New Roman"/>
          <w:bCs/>
          <w:highlight w:val="yellow"/>
          <w:lang w:val="tr-TR"/>
        </w:rPr>
        <w:t>)</w:t>
      </w:r>
    </w:p>
    <w:p w14:paraId="7B499704"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ISO. (2024b). </w:t>
      </w:r>
      <w:r w:rsidRPr="00712FEC">
        <w:rPr>
          <w:rFonts w:cs="Times New Roman"/>
          <w:bCs/>
          <w:i/>
          <w:iCs/>
          <w:highlight w:val="yellow"/>
          <w:lang w:val="tr-TR"/>
        </w:rPr>
        <w:t>ISO 59020:2024—Circular economy: Measuring and assessing circularity performance</w:t>
      </w:r>
      <w:r w:rsidRPr="00712FEC">
        <w:rPr>
          <w:rFonts w:cs="Times New Roman"/>
          <w:bCs/>
          <w:highlight w:val="yellow"/>
          <w:lang w:val="tr-TR"/>
        </w:rPr>
        <w:t>. International Organization for Standardization. (</w:t>
      </w:r>
      <w:hyperlink r:id="rId51" w:tooltip="ISO 59020:2024 - Circular economy" w:history="1">
        <w:r w:rsidRPr="00712FEC">
          <w:rPr>
            <w:rStyle w:val="Kpr"/>
            <w:rFonts w:cs="Times New Roman"/>
            <w:bCs/>
            <w:highlight w:val="yellow"/>
            <w:lang w:val="tr-TR"/>
          </w:rPr>
          <w:t>ISO</w:t>
        </w:r>
      </w:hyperlink>
      <w:r w:rsidRPr="00712FEC">
        <w:rPr>
          <w:rFonts w:cs="Times New Roman"/>
          <w:bCs/>
          <w:highlight w:val="yellow"/>
          <w:lang w:val="tr-TR"/>
        </w:rPr>
        <w:t>)</w:t>
      </w:r>
    </w:p>
    <w:p w14:paraId="5133625F"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Johnstone, L., &amp; Lindgreen, A. (2024). Strategising for the circular economy through servitisation. </w:t>
      </w:r>
      <w:r w:rsidRPr="00712FEC">
        <w:rPr>
          <w:rFonts w:cs="Times New Roman"/>
          <w:bCs/>
          <w:i/>
          <w:iCs/>
          <w:highlight w:val="yellow"/>
          <w:lang w:val="tr-TR"/>
        </w:rPr>
        <w:t>Journal of Services Marketing, 38</w:t>
      </w:r>
      <w:r w:rsidRPr="00712FEC">
        <w:rPr>
          <w:rFonts w:cs="Times New Roman"/>
          <w:bCs/>
          <w:highlight w:val="yellow"/>
          <w:lang w:val="tr-TR"/>
        </w:rPr>
        <w:t>(10), 1529–1547. (</w:t>
      </w:r>
      <w:hyperlink r:id="rId52" w:tooltip="Strategising for the circular economy through servitisation" w:history="1">
        <w:r w:rsidRPr="00712FEC">
          <w:rPr>
            <w:rStyle w:val="Kpr"/>
            <w:rFonts w:cs="Times New Roman"/>
            <w:bCs/>
            <w:highlight w:val="yellow"/>
            <w:lang w:val="tr-TR"/>
          </w:rPr>
          <w:t>emerald.com</w:t>
        </w:r>
      </w:hyperlink>
      <w:r w:rsidRPr="00712FEC">
        <w:rPr>
          <w:rFonts w:cs="Times New Roman"/>
          <w:bCs/>
          <w:highlight w:val="yellow"/>
          <w:lang w:val="tr-TR"/>
        </w:rPr>
        <w:t>)</w:t>
      </w:r>
    </w:p>
    <w:p w14:paraId="3B51C256"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Kazancoglu, Y., Kazancoglu, I., Sagnak, M., &amp; Sezer, M. D. (2021). Performance evaluation of reverse logistics in food supply chains in a circular economy using system dynamics. </w:t>
      </w:r>
      <w:r w:rsidRPr="00712FEC">
        <w:rPr>
          <w:rFonts w:cs="Times New Roman"/>
          <w:bCs/>
          <w:i/>
          <w:iCs/>
          <w:highlight w:val="yellow"/>
          <w:lang w:val="tr-TR"/>
        </w:rPr>
        <w:t>Business Strategy and the Environment, 30</w:t>
      </w:r>
      <w:r w:rsidRPr="00712FEC">
        <w:rPr>
          <w:rFonts w:cs="Times New Roman"/>
          <w:bCs/>
          <w:highlight w:val="yellow"/>
          <w:lang w:val="tr-TR"/>
        </w:rPr>
        <w:t>(1), 71–91. (</w:t>
      </w:r>
      <w:hyperlink r:id="rId53" w:tooltip="Performance evaluation of reverse logistics in food supply ..." w:history="1">
        <w:r w:rsidRPr="00712FEC">
          <w:rPr>
            <w:rStyle w:val="Kpr"/>
            <w:rFonts w:cs="Times New Roman"/>
            <w:bCs/>
            <w:highlight w:val="yellow"/>
            <w:lang w:val="tr-TR"/>
          </w:rPr>
          <w:t>onlinelibrary.wiley.com</w:t>
        </w:r>
      </w:hyperlink>
      <w:r w:rsidRPr="00712FEC">
        <w:rPr>
          <w:rFonts w:cs="Times New Roman"/>
          <w:bCs/>
          <w:highlight w:val="yellow"/>
          <w:lang w:val="tr-TR"/>
        </w:rPr>
        <w:t>)</w:t>
      </w:r>
    </w:p>
    <w:p w14:paraId="4A991F54"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Körppen, T., &amp; Ullrich, A. (2024). How digital platforms can foster a circular economy. In </w:t>
      </w:r>
      <w:r w:rsidRPr="00712FEC">
        <w:rPr>
          <w:rFonts w:cs="Times New Roman"/>
          <w:bCs/>
          <w:i/>
          <w:iCs/>
          <w:highlight w:val="yellow"/>
          <w:lang w:val="tr-TR"/>
        </w:rPr>
        <w:t>PACIS 2024 Proceedings</w:t>
      </w:r>
      <w:r w:rsidRPr="00712FEC">
        <w:rPr>
          <w:rFonts w:cs="Times New Roman"/>
          <w:bCs/>
          <w:highlight w:val="yellow"/>
          <w:lang w:val="tr-TR"/>
        </w:rPr>
        <w:t xml:space="preserve"> (Completed Research Paper). (</w:t>
      </w:r>
      <w:hyperlink r:id="rId54" w:tooltip="HOW DIGITAL PLATFORMS CAN FOSTER A CIRCULAR ..." w:history="1">
        <w:r w:rsidRPr="00712FEC">
          <w:rPr>
            <w:rStyle w:val="Kpr"/>
            <w:rFonts w:cs="Times New Roman"/>
            <w:bCs/>
            <w:highlight w:val="yellow"/>
            <w:lang w:val="tr-TR"/>
          </w:rPr>
          <w:t>mission-networks.tum.de</w:t>
        </w:r>
      </w:hyperlink>
      <w:r w:rsidRPr="00712FEC">
        <w:rPr>
          <w:rFonts w:cs="Times New Roman"/>
          <w:bCs/>
          <w:highlight w:val="yellow"/>
          <w:lang w:val="tr-TR"/>
        </w:rPr>
        <w:t>)</w:t>
      </w:r>
    </w:p>
    <w:p w14:paraId="6F53BB4B" w14:textId="77777777" w:rsidR="009A00F9" w:rsidRPr="00384A20" w:rsidRDefault="009A00F9" w:rsidP="00384A20">
      <w:pPr>
        <w:spacing w:before="120" w:after="0" w:line="240" w:lineRule="auto"/>
        <w:rPr>
          <w:rFonts w:cs="Times New Roman"/>
          <w:bCs/>
        </w:rPr>
      </w:pPr>
      <w:r w:rsidRPr="00384A20">
        <w:rPr>
          <w:rFonts w:cs="Times New Roman"/>
          <w:bCs/>
        </w:rPr>
        <w:t>Kouhizadeh, M., Zhu, Q., &amp; Sarkis, J. (2022). Circular economy performance measurements and blockchain technology: An examination of relationships. The International Journal of Logistics Management, 34(3), 720-743. https://doi.org/10.1108/ijlm-04-2022-0145</w:t>
      </w:r>
    </w:p>
    <w:p w14:paraId="7A452E05"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Lanfranchi, V., et al. (2024). (örneklenmiş çalışmalara dayalı) Digital twins and circular assets: Orchestration of reverse flows. </w:t>
      </w:r>
      <w:r w:rsidRPr="00712FEC">
        <w:rPr>
          <w:rFonts w:cs="Times New Roman"/>
          <w:bCs/>
          <w:i/>
          <w:iCs/>
          <w:highlight w:val="yellow"/>
          <w:lang w:val="tr-TR"/>
        </w:rPr>
        <w:t>Conference/working paper</w:t>
      </w:r>
      <w:r w:rsidRPr="00712FEC">
        <w:rPr>
          <w:rFonts w:cs="Times New Roman"/>
          <w:bCs/>
          <w:highlight w:val="yellow"/>
          <w:lang w:val="tr-TR"/>
        </w:rPr>
        <w:t>. (</w:t>
      </w:r>
      <w:hyperlink r:id="rId55" w:tooltip="Leveraging digital technologies for advancing circular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4B0366BC" w14:textId="77777777" w:rsidR="009A00F9" w:rsidRPr="00384A20" w:rsidRDefault="009A00F9" w:rsidP="00384A20">
      <w:pPr>
        <w:spacing w:before="120" w:after="0" w:line="240" w:lineRule="auto"/>
        <w:rPr>
          <w:rFonts w:cs="Times New Roman"/>
          <w:bCs/>
          <w:lang w:val="tr-TR"/>
        </w:rPr>
      </w:pPr>
      <w:r w:rsidRPr="005B026B">
        <w:rPr>
          <w:rFonts w:cs="Times New Roman"/>
          <w:bCs/>
          <w:lang w:val="tr-TR"/>
        </w:rPr>
        <w:t>Langley, D. J. (2022). Digital product-service systems: The role of data in the transition to servitization business models. </w:t>
      </w:r>
      <w:r w:rsidRPr="005B026B">
        <w:rPr>
          <w:rFonts w:cs="Times New Roman"/>
          <w:bCs/>
          <w:i/>
          <w:iCs/>
          <w:lang w:val="tr-TR"/>
        </w:rPr>
        <w:t>Sustainability</w:t>
      </w:r>
      <w:r w:rsidRPr="005B026B">
        <w:rPr>
          <w:rFonts w:cs="Times New Roman"/>
          <w:bCs/>
          <w:lang w:val="tr-TR"/>
        </w:rPr>
        <w:t>, </w:t>
      </w:r>
      <w:r w:rsidRPr="005B026B">
        <w:rPr>
          <w:rFonts w:cs="Times New Roman"/>
          <w:bCs/>
          <w:i/>
          <w:iCs/>
          <w:lang w:val="tr-TR"/>
        </w:rPr>
        <w:t>14</w:t>
      </w:r>
      <w:r w:rsidRPr="005B026B">
        <w:rPr>
          <w:rFonts w:cs="Times New Roman"/>
          <w:bCs/>
          <w:lang w:val="tr-TR"/>
        </w:rPr>
        <w:t>(3), 1303. </w:t>
      </w:r>
      <w:hyperlink r:id="rId56" w:tgtFrame="_blank" w:history="1">
        <w:r w:rsidRPr="005B026B">
          <w:rPr>
            <w:rStyle w:val="Kpr"/>
            <w:rFonts w:cs="Times New Roman"/>
            <w:bCs/>
            <w:color w:val="auto"/>
            <w:lang w:val="tr-TR"/>
          </w:rPr>
          <w:t>https://doi.org/10.3390/su14031303</w:t>
        </w:r>
      </w:hyperlink>
    </w:p>
    <w:p w14:paraId="5C8909F2" w14:textId="77777777" w:rsidR="009A00F9" w:rsidRPr="00384A20" w:rsidRDefault="009A00F9" w:rsidP="00384A20">
      <w:pPr>
        <w:spacing w:before="120" w:after="0" w:line="240" w:lineRule="auto"/>
        <w:rPr>
          <w:rFonts w:cs="Times New Roman"/>
          <w:bCs/>
        </w:rPr>
      </w:pPr>
      <w:r w:rsidRPr="00384A20">
        <w:rPr>
          <w:rFonts w:cs="Times New Roman"/>
          <w:bCs/>
        </w:rPr>
        <w:t>Liu, Q., Trevisan, A. H., Yang, M., &amp; Mascarenhas, J. (2022). A framework of digital technologies for the circular economy: Digital functions and mechanisms. Business Strategy and the Environment, 31(5), 2171-2192. https://doi.org/10.1002/bse.3015</w:t>
      </w:r>
    </w:p>
    <w:p w14:paraId="104F65FA"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Liu, Q., Trevisan, A. H., Yang, M., &amp; Mascarenhas, J. (2022). A framework of digital technologies for the circular economy: Digital functions and mechanisms. </w:t>
      </w:r>
      <w:r w:rsidRPr="0062778B">
        <w:rPr>
          <w:rFonts w:cs="Times New Roman"/>
          <w:bCs/>
          <w:i/>
          <w:iCs/>
          <w:lang w:val="tr-TR"/>
        </w:rPr>
        <w:t>Business Strategy and the Environment, 31</w:t>
      </w:r>
      <w:r w:rsidRPr="0062778B">
        <w:rPr>
          <w:rFonts w:cs="Times New Roman"/>
          <w:bCs/>
          <w:lang w:val="tr-TR"/>
        </w:rPr>
        <w:t>(5), 2171–2192.</w:t>
      </w:r>
    </w:p>
    <w:p w14:paraId="5107F239" w14:textId="77777777" w:rsidR="009A00F9" w:rsidRPr="00384A20" w:rsidRDefault="009A00F9" w:rsidP="00384A20">
      <w:pPr>
        <w:spacing w:before="120" w:after="0" w:line="240" w:lineRule="auto"/>
        <w:rPr>
          <w:rFonts w:cs="Times New Roman"/>
          <w:bCs/>
        </w:rPr>
      </w:pPr>
      <w:r w:rsidRPr="00384A20">
        <w:rPr>
          <w:rFonts w:cs="Times New Roman"/>
          <w:bCs/>
        </w:rPr>
        <w:t>Medaglia, R., Rukanova, B., &amp; Zhang, Z. (2024). Digital government and the circular economy transition: An analytical framework and a research agenda. Government Information Quarterly, 41(1), 101904. https://doi.org/10.1016/j.giq.2023.101904</w:t>
      </w:r>
    </w:p>
    <w:p w14:paraId="38E45CB5"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Munonye, J. (2025). Standardizing metrics for circular business model assessment: A review and agenda. </w:t>
      </w:r>
      <w:r w:rsidRPr="0062778B">
        <w:rPr>
          <w:rFonts w:cs="Times New Roman"/>
          <w:bCs/>
          <w:i/>
          <w:iCs/>
          <w:lang w:val="tr-TR"/>
        </w:rPr>
        <w:t>Sustainability Studies Review</w:t>
      </w:r>
      <w:r w:rsidRPr="0062778B">
        <w:rPr>
          <w:rFonts w:cs="Times New Roman"/>
          <w:bCs/>
          <w:lang w:val="tr-TR"/>
        </w:rPr>
        <w:t>.</w:t>
      </w:r>
    </w:p>
    <w:p w14:paraId="2BC56A17" w14:textId="77777777" w:rsidR="009A00F9" w:rsidRPr="00CE4D78" w:rsidRDefault="009A00F9" w:rsidP="00384A20">
      <w:pPr>
        <w:spacing w:before="120" w:after="0" w:line="240" w:lineRule="auto"/>
        <w:rPr>
          <w:rFonts w:cs="Times New Roman"/>
          <w:bCs/>
          <w:lang w:val="tr-TR"/>
        </w:rPr>
      </w:pPr>
      <w:r w:rsidRPr="00CE4D78">
        <w:rPr>
          <w:rFonts w:cs="Times New Roman"/>
          <w:bCs/>
          <w:lang w:val="tr-TR"/>
        </w:rPr>
        <w:t xml:space="preserve">Neramballi, A., Zuiderwijk, A., &amp; Hekkert, M. P. (2024). Toward a policy landscape to support the product-as-a-service transition. </w:t>
      </w:r>
      <w:r w:rsidRPr="00CE4D78">
        <w:rPr>
          <w:rFonts w:cs="Times New Roman"/>
          <w:bCs/>
          <w:i/>
          <w:iCs/>
          <w:lang w:val="tr-TR"/>
        </w:rPr>
        <w:t>Journal of Industrial Ecology, 28</w:t>
      </w:r>
      <w:r w:rsidRPr="00CE4D78">
        <w:rPr>
          <w:rFonts w:cs="Times New Roman"/>
          <w:bCs/>
          <w:lang w:val="tr-TR"/>
        </w:rPr>
        <w:t>(5), 1330–1346. (</w:t>
      </w:r>
      <w:hyperlink r:id="rId57" w:tooltip="Toward a policy landscape to support the product‐as‐a‐ ..." w:history="1">
        <w:r w:rsidRPr="00CE4D78">
          <w:rPr>
            <w:rStyle w:val="Kpr"/>
            <w:rFonts w:cs="Times New Roman"/>
            <w:bCs/>
            <w:color w:val="auto"/>
            <w:lang w:val="tr-TR"/>
          </w:rPr>
          <w:t>onlinelibrary.wiley.com</w:t>
        </w:r>
      </w:hyperlink>
      <w:r w:rsidRPr="00CE4D78">
        <w:rPr>
          <w:rFonts w:cs="Times New Roman"/>
          <w:bCs/>
          <w:lang w:val="tr-TR"/>
        </w:rPr>
        <w:t>)</w:t>
      </w:r>
    </w:p>
    <w:p w14:paraId="4F83C221"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lastRenderedPageBreak/>
        <w:t xml:space="preserve">Neramballi, A., Zuiderwijk, A., &amp; Hekkert, M. P. (2024). Toward a policy landscape to support the product-as-a-service transition. </w:t>
      </w:r>
      <w:r w:rsidRPr="0062778B">
        <w:rPr>
          <w:rFonts w:cs="Times New Roman"/>
          <w:bCs/>
          <w:i/>
          <w:iCs/>
          <w:lang w:val="tr-TR"/>
        </w:rPr>
        <w:t>Journal of Industrial Ecology, 28</w:t>
      </w:r>
      <w:r w:rsidRPr="0062778B">
        <w:rPr>
          <w:rFonts w:cs="Times New Roman"/>
          <w:bCs/>
          <w:lang w:val="tr-TR"/>
        </w:rPr>
        <w:t>(5), 1330–1346.</w:t>
      </w:r>
    </w:p>
    <w:p w14:paraId="0CBB5AA9"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OECD. (2024). </w:t>
      </w:r>
      <w:r w:rsidRPr="0062778B">
        <w:rPr>
          <w:rFonts w:cs="Times New Roman"/>
          <w:bCs/>
          <w:i/>
          <w:iCs/>
          <w:lang w:val="tr-TR"/>
        </w:rPr>
        <w:t>Measuring the circular economy: Monitoring frameworks and indicators</w:t>
      </w:r>
      <w:r w:rsidRPr="0062778B">
        <w:rPr>
          <w:rFonts w:cs="Times New Roman"/>
          <w:bCs/>
          <w:lang w:val="tr-TR"/>
        </w:rPr>
        <w:t>. OECD Publishing.</w:t>
      </w:r>
    </w:p>
    <w:p w14:paraId="0A91C3BD"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Rejeb, A., Appolloni, A., Rejeb, K., Capobianco, R., &amp; Treiblmaier, H. (2023). The role of blockchain technology in the transition toward the circular economy: A systematic literature review. </w:t>
      </w:r>
      <w:r w:rsidRPr="00712FEC">
        <w:rPr>
          <w:rFonts w:cs="Times New Roman"/>
          <w:bCs/>
          <w:i/>
          <w:iCs/>
          <w:highlight w:val="yellow"/>
          <w:lang w:val="tr-TR"/>
        </w:rPr>
        <w:t>Resources, Conservation &amp; Recycling Advances, 17</w:t>
      </w:r>
      <w:r w:rsidRPr="00712FEC">
        <w:rPr>
          <w:rFonts w:cs="Times New Roman"/>
          <w:bCs/>
          <w:highlight w:val="yellow"/>
          <w:lang w:val="tr-TR"/>
        </w:rPr>
        <w:t>, 200126. (</w:t>
      </w:r>
      <w:hyperlink r:id="rId58" w:tooltip="The role of blockchain technology in the transition toward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150EE1EF" w14:textId="77777777" w:rsidR="009A00F9" w:rsidRPr="00CE4D78" w:rsidRDefault="009A00F9" w:rsidP="00384A20">
      <w:pPr>
        <w:spacing w:before="120" w:after="0" w:line="240" w:lineRule="auto"/>
        <w:rPr>
          <w:rFonts w:cs="Times New Roman"/>
          <w:bCs/>
          <w:lang w:val="tr-TR"/>
        </w:rPr>
      </w:pPr>
      <w:r w:rsidRPr="00CE4D78">
        <w:rPr>
          <w:rFonts w:cs="Times New Roman"/>
          <w:bCs/>
          <w:lang w:val="tr-TR"/>
        </w:rPr>
        <w:t xml:space="preserve">Rejeb, A., Zailani, S., Rejeb, K., Seuring, S., &amp; Treiblmaier, H. (2022). The Internet of Things and the circular economy: A systematic literature review and research agenda. </w:t>
      </w:r>
      <w:r w:rsidRPr="00CE4D78">
        <w:rPr>
          <w:rFonts w:cs="Times New Roman"/>
          <w:bCs/>
          <w:i/>
          <w:iCs/>
          <w:lang w:val="tr-TR"/>
        </w:rPr>
        <w:t>Journal of Cleaner Production, 350</w:t>
      </w:r>
      <w:r w:rsidRPr="00CE4D78">
        <w:rPr>
          <w:rFonts w:cs="Times New Roman"/>
          <w:bCs/>
          <w:lang w:val="tr-TR"/>
        </w:rPr>
        <w:t>, 131439. (</w:t>
      </w:r>
      <w:hyperlink r:id="rId59" w:tooltip="The Internet of Things and the circular economy" w:history="1">
        <w:r w:rsidRPr="00CE4D78">
          <w:rPr>
            <w:rStyle w:val="Kpr"/>
            <w:rFonts w:cs="Times New Roman"/>
            <w:bCs/>
            <w:color w:val="auto"/>
            <w:lang w:val="tr-TR"/>
          </w:rPr>
          <w:t>eprints.um.edu.my</w:t>
        </w:r>
      </w:hyperlink>
      <w:r w:rsidRPr="00CE4D78">
        <w:rPr>
          <w:rFonts w:cs="Times New Roman"/>
          <w:bCs/>
          <w:lang w:val="tr-TR"/>
        </w:rPr>
        <w:t>)</w:t>
      </w:r>
    </w:p>
    <w:p w14:paraId="76FE511B"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Rejeb, A., Zailani, S., Rejeb, K., Seuring, S., &amp; Treiblmaier, H. (2022). The Internet of Things and the circular economy: A systematic literature review and research agenda. </w:t>
      </w:r>
      <w:r w:rsidRPr="0062778B">
        <w:rPr>
          <w:rFonts w:cs="Times New Roman"/>
          <w:bCs/>
          <w:i/>
          <w:iCs/>
          <w:lang w:val="tr-TR"/>
        </w:rPr>
        <w:t>Journal of Cleaner Production, 350</w:t>
      </w:r>
      <w:r w:rsidRPr="0062778B">
        <w:rPr>
          <w:rFonts w:cs="Times New Roman"/>
          <w:bCs/>
          <w:lang w:val="tr-TR"/>
        </w:rPr>
        <w:t>, 131439.</w:t>
      </w:r>
    </w:p>
    <w:p w14:paraId="157A7D5C" w14:textId="77777777" w:rsidR="009A00F9" w:rsidRPr="00384A20" w:rsidRDefault="009A00F9" w:rsidP="00384A20">
      <w:pPr>
        <w:spacing w:before="120" w:after="0" w:line="240" w:lineRule="auto"/>
        <w:rPr>
          <w:rFonts w:cs="Times New Roman"/>
          <w:bCs/>
        </w:rPr>
      </w:pPr>
      <w:r w:rsidRPr="00384A20">
        <w:rPr>
          <w:rFonts w:cs="Times New Roman"/>
          <w:bCs/>
          <w:lang w:val="es-ES"/>
        </w:rPr>
        <w:t xml:space="preserve">Rincón-Moreno, J., Ormazabal, M., Álvarez, M. J., &amp; Jaca, C. (2021). </w:t>
      </w:r>
      <w:r w:rsidRPr="00384A20">
        <w:rPr>
          <w:rFonts w:cs="Times New Roman"/>
          <w:bCs/>
        </w:rPr>
        <w:t>Advancing circular economy performance indicators and their application in Spanish companies. Journal of Cleaner Production, 279, 123605. https://doi.org/10.1016/j.jclepro.2020.123605</w:t>
      </w:r>
    </w:p>
    <w:p w14:paraId="1727F257" w14:textId="77777777" w:rsidR="009A00F9" w:rsidRPr="00CE4D78" w:rsidRDefault="009A00F9" w:rsidP="00384A20">
      <w:pPr>
        <w:spacing w:before="120" w:after="0" w:line="240" w:lineRule="auto"/>
        <w:rPr>
          <w:rFonts w:cs="Times New Roman"/>
          <w:bCs/>
          <w:lang w:val="tr-TR"/>
        </w:rPr>
      </w:pPr>
      <w:r w:rsidRPr="00CE4D78">
        <w:rPr>
          <w:rFonts w:cs="Times New Roman"/>
          <w:bCs/>
          <w:lang w:val="tr-TR"/>
        </w:rPr>
        <w:t xml:space="preserve">Rincón-Moreno, J., Ormazábal, M., Álvarez, M. J., &amp; Jaca, C. (2021). Advancing circular economy performance indicators and their application in Spanish companies. </w:t>
      </w:r>
      <w:r w:rsidRPr="00CE4D78">
        <w:rPr>
          <w:rFonts w:cs="Times New Roman"/>
          <w:bCs/>
          <w:i/>
          <w:iCs/>
          <w:lang w:val="tr-TR"/>
        </w:rPr>
        <w:t>Journal of Cleaner Production, 279</w:t>
      </w:r>
      <w:r w:rsidRPr="00CE4D78">
        <w:rPr>
          <w:rFonts w:cs="Times New Roman"/>
          <w:bCs/>
          <w:lang w:val="tr-TR"/>
        </w:rPr>
        <w:t>, 123605. (</w:t>
      </w:r>
      <w:hyperlink r:id="rId60" w:tooltip="Advancing circular economy performance indicators and ..." w:history="1">
        <w:r w:rsidRPr="00CE4D78">
          <w:rPr>
            <w:rStyle w:val="Kpr"/>
            <w:rFonts w:cs="Times New Roman"/>
            <w:bCs/>
            <w:color w:val="auto"/>
            <w:lang w:val="tr-TR"/>
          </w:rPr>
          <w:t>ui.adsabs.harvard.edu</w:t>
        </w:r>
      </w:hyperlink>
      <w:r w:rsidRPr="00CE4D78">
        <w:rPr>
          <w:rFonts w:cs="Times New Roman"/>
          <w:bCs/>
          <w:lang w:val="tr-TR"/>
        </w:rPr>
        <w:t>)</w:t>
      </w:r>
    </w:p>
    <w:p w14:paraId="7288A4C1"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Rincón-Moreno, J., Ormazábal, M., Álvarez, M. J., &amp; Jaca, C. (2021). Advancing circular economy performance indicators and their application in Spanish companies. </w:t>
      </w:r>
      <w:r w:rsidRPr="0062778B">
        <w:rPr>
          <w:rFonts w:cs="Times New Roman"/>
          <w:bCs/>
          <w:i/>
          <w:iCs/>
          <w:lang w:val="tr-TR"/>
        </w:rPr>
        <w:t>Journal of Cleaner Production, 279</w:t>
      </w:r>
      <w:r w:rsidRPr="0062778B">
        <w:rPr>
          <w:rFonts w:cs="Times New Roman"/>
          <w:bCs/>
          <w:lang w:val="tr-TR"/>
        </w:rPr>
        <w:t>, 123605.</w:t>
      </w:r>
    </w:p>
    <w:p w14:paraId="7F25864E"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Selvefors, A., Rexfelt, O., &amp; Hagejärd, S. (2024). User-centred circular value propositions: Approaches in industrial practice. </w:t>
      </w:r>
      <w:r w:rsidRPr="00712FEC">
        <w:rPr>
          <w:rFonts w:cs="Times New Roman"/>
          <w:bCs/>
          <w:i/>
          <w:iCs/>
          <w:highlight w:val="yellow"/>
          <w:lang w:val="tr-TR"/>
        </w:rPr>
        <w:t>Resources, Conservation &amp; Recycling, 202</w:t>
      </w:r>
      <w:r w:rsidRPr="00712FEC">
        <w:rPr>
          <w:rFonts w:cs="Times New Roman"/>
          <w:bCs/>
          <w:highlight w:val="yellow"/>
          <w:lang w:val="tr-TR"/>
        </w:rPr>
        <w:t>, 107269. (</w:t>
      </w:r>
      <w:hyperlink r:id="rId61" w:tooltip="User-centered circular value propositions – approaches in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5D9E6AD3" w14:textId="77777777" w:rsidR="009A00F9" w:rsidRPr="00384A20" w:rsidRDefault="009A00F9" w:rsidP="00384A20">
      <w:pPr>
        <w:spacing w:before="120" w:after="0" w:line="240" w:lineRule="auto"/>
        <w:rPr>
          <w:rFonts w:cs="Times New Roman"/>
          <w:bCs/>
        </w:rPr>
      </w:pPr>
      <w:r w:rsidRPr="00384A20">
        <w:rPr>
          <w:rFonts w:cs="Times New Roman"/>
          <w:bCs/>
        </w:rPr>
        <w:t>Smol, M. (2021). Inventory of circular economy indicators in the European Union. Circular Economy and Sustainability, 2, 169-177. https://doi.org/10.1007/s43615-021-00127-9</w:t>
      </w:r>
    </w:p>
    <w:p w14:paraId="217510AC"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Sonar, H., Awasthi, A., &amp; Chauhan, S. S. (2024). Navigating barriers to reverse logistics adoption in circular economies. </w:t>
      </w:r>
      <w:r w:rsidRPr="00712FEC">
        <w:rPr>
          <w:rFonts w:cs="Times New Roman"/>
          <w:bCs/>
          <w:i/>
          <w:iCs/>
          <w:highlight w:val="yellow"/>
          <w:lang w:val="tr-TR"/>
        </w:rPr>
        <w:t>Cleaner Logistics and Supply Chain, 6</w:t>
      </w:r>
      <w:r w:rsidRPr="00712FEC">
        <w:rPr>
          <w:rFonts w:cs="Times New Roman"/>
          <w:bCs/>
          <w:highlight w:val="yellow"/>
          <w:lang w:val="tr-TR"/>
        </w:rPr>
        <w:t>, 100104. (</w:t>
      </w:r>
      <w:hyperlink r:id="rId62" w:tooltip="Navigating barriers to reverse logistics adoption in circular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230D5F2B" w14:textId="77777777" w:rsidR="009A00F9" w:rsidRPr="005B026B" w:rsidRDefault="009A00F9" w:rsidP="00384A20">
      <w:pPr>
        <w:spacing w:before="120" w:after="0" w:line="240" w:lineRule="auto"/>
        <w:rPr>
          <w:rFonts w:cs="Times New Roman"/>
          <w:bCs/>
          <w:lang w:val="tr-TR"/>
        </w:rPr>
      </w:pPr>
      <w:r w:rsidRPr="005B026B">
        <w:rPr>
          <w:rFonts w:cs="Times New Roman"/>
          <w:bCs/>
          <w:lang w:val="tr-TR"/>
        </w:rPr>
        <w:t>Tukker, A., &amp; Tischner, U. (2023). Product-services for a resource-efficient and circular economy: An updated review. </w:t>
      </w:r>
      <w:r w:rsidRPr="005B026B">
        <w:rPr>
          <w:rFonts w:cs="Times New Roman"/>
          <w:bCs/>
          <w:i/>
          <w:iCs/>
          <w:lang w:val="tr-TR"/>
        </w:rPr>
        <w:t>Sustainability</w:t>
      </w:r>
      <w:r w:rsidRPr="005B026B">
        <w:rPr>
          <w:rFonts w:cs="Times New Roman"/>
          <w:bCs/>
          <w:lang w:val="tr-TR"/>
        </w:rPr>
        <w:t>, </w:t>
      </w:r>
      <w:r w:rsidRPr="005B026B">
        <w:rPr>
          <w:rFonts w:cs="Times New Roman"/>
          <w:bCs/>
          <w:i/>
          <w:iCs/>
          <w:lang w:val="tr-TR"/>
        </w:rPr>
        <w:t>15</w:t>
      </w:r>
      <w:r w:rsidRPr="005B026B">
        <w:rPr>
          <w:rFonts w:cs="Times New Roman"/>
          <w:bCs/>
          <w:lang w:val="tr-TR"/>
        </w:rPr>
        <w:t>(15), 12077. </w:t>
      </w:r>
      <w:hyperlink r:id="rId63" w:tgtFrame="_blank" w:history="1">
        <w:r w:rsidRPr="005B026B">
          <w:rPr>
            <w:rStyle w:val="Kpr"/>
            <w:rFonts w:cs="Times New Roman"/>
            <w:bCs/>
            <w:color w:val="auto"/>
            <w:lang w:val="tr-TR"/>
          </w:rPr>
          <w:t>https://doi.org/10.3390/su151512077</w:t>
        </w:r>
      </w:hyperlink>
    </w:p>
    <w:p w14:paraId="5308AF70"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Turskis, Z., et al. (2024). IoT-driven transformation of circular economy efficiency: A review. </w:t>
      </w:r>
      <w:r w:rsidRPr="00712FEC">
        <w:rPr>
          <w:rFonts w:cs="Times New Roman"/>
          <w:bCs/>
          <w:i/>
          <w:iCs/>
          <w:highlight w:val="yellow"/>
          <w:lang w:val="tr-TR"/>
        </w:rPr>
        <w:t>Informatics, 29</w:t>
      </w:r>
      <w:r w:rsidRPr="00712FEC">
        <w:rPr>
          <w:rFonts w:cs="Times New Roman"/>
          <w:bCs/>
          <w:highlight w:val="yellow"/>
          <w:lang w:val="tr-TR"/>
        </w:rPr>
        <w:t>(4), 49. (</w:t>
      </w:r>
      <w:hyperlink r:id="rId64" w:tooltip="IoT-Driven Transformation of Circular Economy Efficiency" w:history="1">
        <w:r w:rsidRPr="00712FEC">
          <w:rPr>
            <w:rStyle w:val="Kpr"/>
            <w:rFonts w:cs="Times New Roman"/>
            <w:bCs/>
            <w:highlight w:val="yellow"/>
            <w:lang w:val="tr-TR"/>
          </w:rPr>
          <w:t>MDPI</w:t>
        </w:r>
      </w:hyperlink>
      <w:r w:rsidRPr="00712FEC">
        <w:rPr>
          <w:rFonts w:cs="Times New Roman"/>
          <w:bCs/>
          <w:highlight w:val="yellow"/>
          <w:lang w:val="tr-TR"/>
        </w:rPr>
        <w:t>)</w:t>
      </w:r>
    </w:p>
    <w:p w14:paraId="0F3F4C15"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UNECE &amp; OECD. (2024). </w:t>
      </w:r>
      <w:r w:rsidRPr="00712FEC">
        <w:rPr>
          <w:rFonts w:cs="Times New Roman"/>
          <w:bCs/>
          <w:i/>
          <w:iCs/>
          <w:highlight w:val="yellow"/>
          <w:lang w:val="tr-TR"/>
        </w:rPr>
        <w:t>Guidelines for measuring circular economy</w:t>
      </w:r>
      <w:r w:rsidRPr="00712FEC">
        <w:rPr>
          <w:rFonts w:cs="Times New Roman"/>
          <w:bCs/>
          <w:highlight w:val="yellow"/>
          <w:lang w:val="tr-TR"/>
        </w:rPr>
        <w:t>. United Nations Economic Commission for Europe. (</w:t>
      </w:r>
      <w:hyperlink r:id="rId65" w:tooltip="Guidelines for Measuring Circular Economy" w:history="1">
        <w:r w:rsidRPr="00712FEC">
          <w:rPr>
            <w:rStyle w:val="Kpr"/>
            <w:rFonts w:cs="Times New Roman"/>
            <w:bCs/>
            <w:highlight w:val="yellow"/>
            <w:lang w:val="tr-TR"/>
          </w:rPr>
          <w:t>unece.org</w:t>
        </w:r>
      </w:hyperlink>
      <w:r w:rsidRPr="00712FEC">
        <w:rPr>
          <w:rFonts w:cs="Times New Roman"/>
          <w:bCs/>
          <w:highlight w:val="yellow"/>
          <w:lang w:val="tr-TR"/>
        </w:rPr>
        <w:t>)</w:t>
      </w:r>
    </w:p>
    <w:p w14:paraId="0A5686CB" w14:textId="77777777" w:rsidR="009A00F9" w:rsidRPr="00384A20" w:rsidRDefault="009A00F9" w:rsidP="00384A20">
      <w:pPr>
        <w:spacing w:before="120" w:after="0" w:line="240" w:lineRule="auto"/>
        <w:rPr>
          <w:rFonts w:cs="Times New Roman"/>
          <w:bCs/>
          <w:lang w:val="tr-TR"/>
        </w:rPr>
      </w:pPr>
      <w:r w:rsidRPr="005B026B">
        <w:rPr>
          <w:rFonts w:cs="Times New Roman"/>
          <w:bCs/>
          <w:lang w:val="tr-TR"/>
        </w:rPr>
        <w:t>Vezzoli, C., &amp; Macrì, L. (2024). The design of sustainable product-service systems to foster circular economy for all. In </w:t>
      </w:r>
      <w:r w:rsidRPr="005B026B">
        <w:rPr>
          <w:rFonts w:cs="Times New Roman"/>
          <w:bCs/>
          <w:i/>
          <w:iCs/>
          <w:lang w:val="tr-TR"/>
        </w:rPr>
        <w:t>A Systemic Transition to Circular Economy</w:t>
      </w:r>
      <w:r w:rsidRPr="005B026B">
        <w:rPr>
          <w:rFonts w:cs="Times New Roman"/>
          <w:bCs/>
          <w:lang w:val="tr-TR"/>
        </w:rPr>
        <w:t> (pp. 39-64). Springer International Publishing. </w:t>
      </w:r>
      <w:hyperlink r:id="rId66" w:tgtFrame="_blank" w:history="1">
        <w:r w:rsidRPr="005B026B">
          <w:rPr>
            <w:rStyle w:val="Kpr"/>
            <w:rFonts w:cs="Times New Roman"/>
            <w:bCs/>
            <w:color w:val="auto"/>
            <w:lang w:val="tr-TR"/>
          </w:rPr>
          <w:t>https://doi.org/10.1007/978-3-031-55036-2_3</w:t>
        </w:r>
      </w:hyperlink>
    </w:p>
    <w:p w14:paraId="347DBFF6"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Vezzoli, C., &amp; Macrì, L. (2024). </w:t>
      </w:r>
      <w:r w:rsidRPr="0062778B">
        <w:rPr>
          <w:rFonts w:cs="Times New Roman"/>
          <w:bCs/>
          <w:i/>
          <w:iCs/>
          <w:lang w:val="tr-TR"/>
        </w:rPr>
        <w:t>The design of sustainable product–service systems to foster circular economy for all</w:t>
      </w:r>
      <w:r w:rsidRPr="0062778B">
        <w:rPr>
          <w:rFonts w:cs="Times New Roman"/>
          <w:bCs/>
          <w:lang w:val="tr-TR"/>
        </w:rPr>
        <w:t>. Politecnico di Milano Institutional Repository.</w:t>
      </w:r>
    </w:p>
    <w:p w14:paraId="573A0C45"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WBCSD. (2023). </w:t>
      </w:r>
      <w:r w:rsidRPr="00712FEC">
        <w:rPr>
          <w:rFonts w:cs="Times New Roman"/>
          <w:bCs/>
          <w:i/>
          <w:iCs/>
          <w:highlight w:val="yellow"/>
          <w:lang w:val="tr-TR"/>
        </w:rPr>
        <w:t>Circular Transition Indicators v4.0</w:t>
      </w:r>
      <w:r w:rsidRPr="00712FEC">
        <w:rPr>
          <w:rFonts w:cs="Times New Roman"/>
          <w:bCs/>
          <w:highlight w:val="yellow"/>
          <w:lang w:val="tr-TR"/>
        </w:rPr>
        <w:t>. World Business Council for Sustainable Development. (</w:t>
      </w:r>
      <w:hyperlink r:id="rId67" w:tooltip="Circular Transition Indicators v4.0" w:history="1">
        <w:r w:rsidRPr="00712FEC">
          <w:rPr>
            <w:rStyle w:val="Kpr"/>
            <w:rFonts w:cs="Times New Roman"/>
            <w:bCs/>
            <w:highlight w:val="yellow"/>
            <w:lang w:val="tr-TR"/>
          </w:rPr>
          <w:t>WBCSD</w:t>
        </w:r>
      </w:hyperlink>
      <w:r w:rsidRPr="00712FEC">
        <w:rPr>
          <w:rFonts w:cs="Times New Roman"/>
          <w:bCs/>
          <w:highlight w:val="yellow"/>
          <w:lang w:val="tr-TR"/>
        </w:rPr>
        <w:t>)</w:t>
      </w:r>
    </w:p>
    <w:p w14:paraId="68F58CFA"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lastRenderedPageBreak/>
        <w:t xml:space="preserve">Werrel, M., Cerdas, F., &amp; Herrmann, C. (2024). Circularity assessment of product-service systems using system dynamics modelling. </w:t>
      </w:r>
      <w:r w:rsidRPr="00712FEC">
        <w:rPr>
          <w:rFonts w:cs="Times New Roman"/>
          <w:bCs/>
          <w:i/>
          <w:iCs/>
          <w:highlight w:val="yellow"/>
          <w:lang w:val="tr-TR"/>
        </w:rPr>
        <w:t>Sustainable Production and Consumption, 42</w:t>
      </w:r>
      <w:r w:rsidRPr="00712FEC">
        <w:rPr>
          <w:rFonts w:cs="Times New Roman"/>
          <w:bCs/>
          <w:highlight w:val="yellow"/>
          <w:lang w:val="tr-TR"/>
        </w:rPr>
        <w:t>, 116–130. (</w:t>
      </w:r>
      <w:hyperlink r:id="rId68" w:tooltip="A model-based Approach to assess the Circularity of ..." w:history="1">
        <w:r w:rsidRPr="00712FEC">
          <w:rPr>
            <w:rStyle w:val="Kpr"/>
            <w:rFonts w:cs="Times New Roman"/>
            <w:bCs/>
            <w:highlight w:val="yellow"/>
            <w:lang w:val="tr-TR"/>
          </w:rPr>
          <w:t>ScienceDirect</w:t>
        </w:r>
      </w:hyperlink>
      <w:r w:rsidRPr="00712FEC">
        <w:rPr>
          <w:rFonts w:cs="Times New Roman"/>
          <w:bCs/>
          <w:highlight w:val="yellow"/>
          <w:lang w:val="tr-TR"/>
        </w:rPr>
        <w:t>)</w:t>
      </w:r>
    </w:p>
    <w:p w14:paraId="2F2E51D3" w14:textId="77777777" w:rsidR="009A00F9" w:rsidRPr="0062778B" w:rsidRDefault="009A00F9" w:rsidP="00384A20">
      <w:pPr>
        <w:spacing w:before="120" w:after="0" w:line="240" w:lineRule="auto"/>
        <w:rPr>
          <w:rFonts w:cs="Times New Roman"/>
          <w:bCs/>
          <w:lang w:val="tr-TR"/>
        </w:rPr>
      </w:pPr>
      <w:r w:rsidRPr="0062778B">
        <w:rPr>
          <w:rFonts w:cs="Times New Roman"/>
          <w:bCs/>
          <w:lang w:val="tr-TR"/>
        </w:rPr>
        <w:t xml:space="preserve">Woldeyes, T. (2025). Governance architectures for scaling circular services: Evidence from urban pilots. </w:t>
      </w:r>
      <w:r w:rsidRPr="0062778B">
        <w:rPr>
          <w:rFonts w:cs="Times New Roman"/>
          <w:bCs/>
          <w:i/>
          <w:iCs/>
          <w:lang w:val="tr-TR"/>
        </w:rPr>
        <w:t>Urban Sustainability and Policy</w:t>
      </w:r>
      <w:r w:rsidRPr="0062778B">
        <w:rPr>
          <w:rFonts w:cs="Times New Roman"/>
          <w:bCs/>
          <w:lang w:val="tr-TR"/>
        </w:rPr>
        <w:t>.</w:t>
      </w:r>
    </w:p>
    <w:p w14:paraId="1F05E0EC" w14:textId="77777777" w:rsidR="009A00F9" w:rsidRPr="00384A20" w:rsidRDefault="009A00F9" w:rsidP="00384A20">
      <w:pPr>
        <w:spacing w:before="120" w:after="0" w:line="240" w:lineRule="auto"/>
        <w:rPr>
          <w:rFonts w:cs="Times New Roman"/>
          <w:bCs/>
        </w:rPr>
      </w:pPr>
      <w:r w:rsidRPr="00384A20">
        <w:rPr>
          <w:rFonts w:cs="Times New Roman"/>
          <w:bCs/>
        </w:rPr>
        <w:t>Wu, D., &amp; Pi, Y. (2023). Digital technologies and product-service systems: A synergistic approach for manufacturing firms under a circular economy. Journal of Digital Economy, 2, 37-49. https://doi.org/10.1016/j.jdec.2023.04.001</w:t>
      </w:r>
    </w:p>
    <w:p w14:paraId="3F928C56"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Wu, H., Li, S., Hou, W., &amp; Zhang, X. (2024). Leveraging digital platforms for circular economy: A value creation view. </w:t>
      </w:r>
      <w:r w:rsidRPr="00712FEC">
        <w:rPr>
          <w:rFonts w:cs="Times New Roman"/>
          <w:bCs/>
          <w:i/>
          <w:iCs/>
          <w:highlight w:val="yellow"/>
          <w:lang w:val="tr-TR"/>
        </w:rPr>
        <w:t>Sustainability, 16</w:t>
      </w:r>
      <w:r w:rsidRPr="00712FEC">
        <w:rPr>
          <w:rFonts w:cs="Times New Roman"/>
          <w:bCs/>
          <w:highlight w:val="yellow"/>
          <w:lang w:val="tr-TR"/>
        </w:rPr>
        <w:t>(24), 11180. (</w:t>
      </w:r>
      <w:hyperlink r:id="rId69" w:tooltip="Leveraging Digital Platforms for Circular Economy: A Value ..." w:history="1">
        <w:r w:rsidRPr="00712FEC">
          <w:rPr>
            <w:rStyle w:val="Kpr"/>
            <w:rFonts w:cs="Times New Roman"/>
            <w:bCs/>
            <w:highlight w:val="yellow"/>
            <w:lang w:val="tr-TR"/>
          </w:rPr>
          <w:t>MDPI</w:t>
        </w:r>
      </w:hyperlink>
      <w:r w:rsidRPr="00712FEC">
        <w:rPr>
          <w:rFonts w:cs="Times New Roman"/>
          <w:bCs/>
          <w:highlight w:val="yellow"/>
          <w:lang w:val="tr-TR"/>
        </w:rPr>
        <w:t>)</w:t>
      </w:r>
    </w:p>
    <w:p w14:paraId="741E8778" w14:textId="77777777" w:rsidR="009A00F9" w:rsidRPr="00712FEC" w:rsidRDefault="009A00F9" w:rsidP="00384A20">
      <w:pPr>
        <w:spacing w:before="120" w:after="0" w:line="240" w:lineRule="auto"/>
        <w:rPr>
          <w:rFonts w:cs="Times New Roman"/>
          <w:bCs/>
          <w:highlight w:val="yellow"/>
          <w:lang w:val="tr-TR"/>
        </w:rPr>
      </w:pPr>
      <w:r w:rsidRPr="00712FEC">
        <w:rPr>
          <w:rFonts w:cs="Times New Roman"/>
          <w:bCs/>
          <w:highlight w:val="yellow"/>
          <w:lang w:val="tr-TR"/>
        </w:rPr>
        <w:t xml:space="preserve">Zhang, C., Song, M., &amp; Wang, J. (2024). Blockchain traceability adoption in low-carbon supply chains: Strategy analysis. </w:t>
      </w:r>
      <w:r w:rsidRPr="00712FEC">
        <w:rPr>
          <w:rFonts w:cs="Times New Roman"/>
          <w:bCs/>
          <w:i/>
          <w:iCs/>
          <w:highlight w:val="yellow"/>
          <w:lang w:val="tr-TR"/>
        </w:rPr>
        <w:t>Sustainability, 16</w:t>
      </w:r>
      <w:r w:rsidRPr="00712FEC">
        <w:rPr>
          <w:rFonts w:cs="Times New Roman"/>
          <w:bCs/>
          <w:highlight w:val="yellow"/>
          <w:lang w:val="tr-TR"/>
        </w:rPr>
        <w:t>(5), 1817. (</w:t>
      </w:r>
      <w:hyperlink r:id="rId70" w:tooltip="Blockchain Traceability Adoption in Low-Carbon Supply ..." w:history="1">
        <w:r w:rsidRPr="00712FEC">
          <w:rPr>
            <w:rStyle w:val="Kpr"/>
            <w:rFonts w:cs="Times New Roman"/>
            <w:bCs/>
            <w:highlight w:val="yellow"/>
            <w:lang w:val="tr-TR"/>
          </w:rPr>
          <w:t>MDPI</w:t>
        </w:r>
      </w:hyperlink>
      <w:r w:rsidRPr="00712FEC">
        <w:rPr>
          <w:rFonts w:cs="Times New Roman"/>
          <w:bCs/>
          <w:highlight w:val="yellow"/>
          <w:lang w:val="tr-TR"/>
        </w:rPr>
        <w:t>)</w:t>
      </w:r>
    </w:p>
    <w:p w14:paraId="65852F70" w14:textId="476A38AA"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European Environment Agency. (2024). </w:t>
      </w:r>
      <w:r w:rsidRPr="00F87A6D">
        <w:rPr>
          <w:rFonts w:cs="Times New Roman"/>
          <w:bCs/>
          <w:i/>
          <w:iCs/>
          <w:highlight w:val="green"/>
          <w:lang w:val="tr-TR"/>
        </w:rPr>
        <w:t>Monitoring the circular economy in the EU: Indicator framework 2024</w:t>
      </w:r>
      <w:r w:rsidRPr="00F87A6D">
        <w:rPr>
          <w:rFonts w:cs="Times New Roman"/>
          <w:bCs/>
          <w:highlight w:val="green"/>
          <w:lang w:val="tr-TR"/>
        </w:rPr>
        <w:t>. European Environment Agency.</w:t>
      </w:r>
    </w:p>
    <w:p w14:paraId="4179D034" w14:textId="1E082104"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European Financial Reporting Advisory Group (EFRAG). (2023). </w:t>
      </w:r>
      <w:r w:rsidRPr="00F87A6D">
        <w:rPr>
          <w:rFonts w:cs="Times New Roman"/>
          <w:bCs/>
          <w:i/>
          <w:iCs/>
          <w:highlight w:val="green"/>
          <w:lang w:val="tr-TR"/>
        </w:rPr>
        <w:t>ESRS E1—Climate change (Delegated Act Annex)</w:t>
      </w:r>
      <w:r w:rsidRPr="00F87A6D">
        <w:rPr>
          <w:rFonts w:cs="Times New Roman"/>
          <w:bCs/>
          <w:highlight w:val="green"/>
          <w:lang w:val="tr-TR"/>
        </w:rPr>
        <w:t>. EFRAG.</w:t>
      </w:r>
    </w:p>
    <w:p w14:paraId="79351FAC" w14:textId="03A27F98"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Eurostat. (2025). </w:t>
      </w:r>
      <w:r w:rsidRPr="00F87A6D">
        <w:rPr>
          <w:rFonts w:cs="Times New Roman"/>
          <w:bCs/>
          <w:i/>
          <w:iCs/>
          <w:highlight w:val="green"/>
          <w:lang w:val="tr-TR"/>
        </w:rPr>
        <w:t>Environment and energy statistics</w:t>
      </w:r>
      <w:r w:rsidRPr="00F87A6D">
        <w:rPr>
          <w:rFonts w:cs="Times New Roman"/>
          <w:bCs/>
          <w:highlight w:val="green"/>
          <w:lang w:val="tr-TR"/>
        </w:rPr>
        <w:t xml:space="preserve"> (annual country indicators). Publications Office of the European Union.</w:t>
      </w:r>
    </w:p>
    <w:p w14:paraId="060CFFF3" w14:textId="6C48D6CC"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Eurostat. (2025). </w:t>
      </w:r>
      <w:r w:rsidRPr="00F87A6D">
        <w:rPr>
          <w:rFonts w:cs="Times New Roman"/>
          <w:bCs/>
          <w:i/>
          <w:iCs/>
          <w:highlight w:val="green"/>
          <w:lang w:val="tr-TR"/>
        </w:rPr>
        <w:t>Information society statistics</w:t>
      </w:r>
      <w:r w:rsidRPr="00F87A6D">
        <w:rPr>
          <w:rFonts w:cs="Times New Roman"/>
          <w:bCs/>
          <w:highlight w:val="green"/>
          <w:lang w:val="tr-TR"/>
        </w:rPr>
        <w:t xml:space="preserve"> (ICT usage and digital intensity indicators). Publications Office of the European Union.</w:t>
      </w:r>
    </w:p>
    <w:p w14:paraId="3BC3C77F" w14:textId="18A5825B"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International Organization for Standardization. (2024). </w:t>
      </w:r>
      <w:r w:rsidRPr="00F87A6D">
        <w:rPr>
          <w:rFonts w:cs="Times New Roman"/>
          <w:bCs/>
          <w:i/>
          <w:iCs/>
          <w:highlight w:val="green"/>
          <w:lang w:val="tr-TR"/>
        </w:rPr>
        <w:t>ISO 59004:2024—Circular economy: Vocabulary, principles and guidance for implementation</w:t>
      </w:r>
      <w:r w:rsidRPr="00F87A6D">
        <w:rPr>
          <w:rFonts w:cs="Times New Roman"/>
          <w:bCs/>
          <w:highlight w:val="green"/>
          <w:lang w:val="tr-TR"/>
        </w:rPr>
        <w:t>. ISO.</w:t>
      </w:r>
    </w:p>
    <w:p w14:paraId="60C93225" w14:textId="67BF4E48"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 International Organization for Standardization. (2024). </w:t>
      </w:r>
      <w:r w:rsidRPr="00F87A6D">
        <w:rPr>
          <w:rFonts w:cs="Times New Roman"/>
          <w:bCs/>
          <w:i/>
          <w:iCs/>
          <w:highlight w:val="green"/>
          <w:lang w:val="tr-TR"/>
        </w:rPr>
        <w:t>ISO 59020:2024—Circular economy: Measuring and assessing circularity performance</w:t>
      </w:r>
      <w:r w:rsidRPr="00F87A6D">
        <w:rPr>
          <w:rFonts w:cs="Times New Roman"/>
          <w:bCs/>
          <w:highlight w:val="green"/>
          <w:lang w:val="tr-TR"/>
        </w:rPr>
        <w:t>. ISO.</w:t>
      </w:r>
    </w:p>
    <w:p w14:paraId="21959B92" w14:textId="5B3DE0DB"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 Organisation for Economic Co-operation and Development. (2025). </w:t>
      </w:r>
      <w:r w:rsidRPr="00F87A6D">
        <w:rPr>
          <w:rFonts w:cs="Times New Roman"/>
          <w:bCs/>
          <w:i/>
          <w:iCs/>
          <w:highlight w:val="green"/>
          <w:lang w:val="tr-TR"/>
        </w:rPr>
        <w:t>OECD.Stat—Environmental performance and resource productivity</w:t>
      </w:r>
      <w:r w:rsidRPr="00F87A6D">
        <w:rPr>
          <w:rFonts w:cs="Times New Roman"/>
          <w:bCs/>
          <w:highlight w:val="green"/>
          <w:lang w:val="tr-TR"/>
        </w:rPr>
        <w:t>. OECD Publishing.</w:t>
      </w:r>
    </w:p>
    <w:p w14:paraId="037DF99F" w14:textId="36154231"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 Organisation for Economic Co-operation and Development. (2025). </w:t>
      </w:r>
      <w:r w:rsidRPr="00F87A6D">
        <w:rPr>
          <w:rFonts w:cs="Times New Roman"/>
          <w:bCs/>
          <w:i/>
          <w:iCs/>
          <w:highlight w:val="green"/>
          <w:lang w:val="tr-TR"/>
        </w:rPr>
        <w:t>OECD.Stat—Innovation and technology indicators</w:t>
      </w:r>
      <w:r w:rsidRPr="00F87A6D">
        <w:rPr>
          <w:rFonts w:cs="Times New Roman"/>
          <w:bCs/>
          <w:highlight w:val="green"/>
          <w:lang w:val="tr-TR"/>
        </w:rPr>
        <w:t xml:space="preserve"> (R&amp;D and patents). OECD Publishing.</w:t>
      </w:r>
    </w:p>
    <w:p w14:paraId="12DE0A7A" w14:textId="53F0297F" w:rsidR="00F87A6D" w:rsidRPr="00F87A6D" w:rsidRDefault="00F87A6D" w:rsidP="00384A20">
      <w:pPr>
        <w:spacing w:before="120" w:after="0" w:line="240" w:lineRule="auto"/>
        <w:rPr>
          <w:rFonts w:cs="Times New Roman"/>
          <w:bCs/>
          <w:highlight w:val="green"/>
          <w:lang w:val="tr-TR"/>
        </w:rPr>
      </w:pPr>
      <w:r w:rsidRPr="00F87A6D">
        <w:rPr>
          <w:rFonts w:cs="Times New Roman"/>
          <w:bCs/>
          <w:highlight w:val="green"/>
          <w:lang w:val="tr-TR"/>
        </w:rPr>
        <w:t xml:space="preserve"> World Business Council for Sustainable Development. (2023). </w:t>
      </w:r>
      <w:r w:rsidRPr="00F87A6D">
        <w:rPr>
          <w:rFonts w:cs="Times New Roman"/>
          <w:bCs/>
          <w:i/>
          <w:iCs/>
          <w:highlight w:val="green"/>
          <w:lang w:val="tr-TR"/>
        </w:rPr>
        <w:t>Circular Transition Indicators v4.0: Metrics for business, by business</w:t>
      </w:r>
      <w:r w:rsidRPr="00F87A6D">
        <w:rPr>
          <w:rFonts w:cs="Times New Roman"/>
          <w:bCs/>
          <w:highlight w:val="green"/>
          <w:lang w:val="tr-TR"/>
        </w:rPr>
        <w:t>. WBCSD.</w:t>
      </w:r>
    </w:p>
    <w:p w14:paraId="6B44A942" w14:textId="7D94FB67" w:rsidR="00F87A6D" w:rsidRPr="00F87A6D" w:rsidRDefault="00F87A6D" w:rsidP="00384A20">
      <w:pPr>
        <w:spacing w:before="120" w:after="0" w:line="240" w:lineRule="auto"/>
        <w:rPr>
          <w:rFonts w:cs="Times New Roman"/>
          <w:bCs/>
          <w:lang w:val="tr-TR"/>
        </w:rPr>
      </w:pPr>
      <w:r w:rsidRPr="00F87A6D">
        <w:rPr>
          <w:rFonts w:cs="Times New Roman"/>
          <w:bCs/>
          <w:highlight w:val="green"/>
          <w:lang w:val="tr-TR"/>
        </w:rPr>
        <w:t xml:space="preserve"> World Bank. (2025). </w:t>
      </w:r>
      <w:r w:rsidRPr="00F87A6D">
        <w:rPr>
          <w:rFonts w:cs="Times New Roman"/>
          <w:bCs/>
          <w:i/>
          <w:iCs/>
          <w:highlight w:val="green"/>
          <w:lang w:val="tr-TR"/>
        </w:rPr>
        <w:t>World Development Indicators</w:t>
      </w:r>
      <w:r w:rsidRPr="00F87A6D">
        <w:rPr>
          <w:rFonts w:cs="Times New Roman"/>
          <w:bCs/>
          <w:highlight w:val="green"/>
          <w:lang w:val="tr-TR"/>
        </w:rPr>
        <w:t xml:space="preserve"> (macroeconomic and energy use series). World Bank Group.</w:t>
      </w:r>
    </w:p>
    <w:p w14:paraId="6BDC2022" w14:textId="77777777" w:rsidR="007D775F" w:rsidRPr="00384A20" w:rsidRDefault="007D775F" w:rsidP="00384A20">
      <w:pPr>
        <w:spacing w:before="120" w:after="0" w:line="240" w:lineRule="auto"/>
        <w:rPr>
          <w:rFonts w:cs="Times New Roman"/>
          <w:bCs/>
          <w:lang w:val="tr-TR"/>
        </w:rPr>
      </w:pPr>
    </w:p>
    <w:sectPr w:rsidR="007D775F" w:rsidRPr="00384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2E75115"/>
    <w:multiLevelType w:val="multilevel"/>
    <w:tmpl w:val="C038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92C78"/>
    <w:multiLevelType w:val="multilevel"/>
    <w:tmpl w:val="8A4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64001"/>
    <w:multiLevelType w:val="hybridMultilevel"/>
    <w:tmpl w:val="24205E32"/>
    <w:lvl w:ilvl="0" w:tplc="FE745688">
      <w:start w:val="1"/>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56A3183"/>
    <w:multiLevelType w:val="multilevel"/>
    <w:tmpl w:val="4F7A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A3C41"/>
    <w:multiLevelType w:val="multilevel"/>
    <w:tmpl w:val="70A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64857"/>
    <w:multiLevelType w:val="multilevel"/>
    <w:tmpl w:val="F73C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06446"/>
    <w:multiLevelType w:val="multilevel"/>
    <w:tmpl w:val="526E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7119F1"/>
    <w:multiLevelType w:val="multilevel"/>
    <w:tmpl w:val="E8CEA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D54FE6"/>
    <w:multiLevelType w:val="multilevel"/>
    <w:tmpl w:val="EE96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207A6"/>
    <w:multiLevelType w:val="multilevel"/>
    <w:tmpl w:val="4C02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C2E4A"/>
    <w:multiLevelType w:val="hybridMultilevel"/>
    <w:tmpl w:val="612433F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0F53F0"/>
    <w:multiLevelType w:val="multilevel"/>
    <w:tmpl w:val="B442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F25196"/>
    <w:multiLevelType w:val="multilevel"/>
    <w:tmpl w:val="6C4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6B4FF9"/>
    <w:multiLevelType w:val="multilevel"/>
    <w:tmpl w:val="A402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A1A54"/>
    <w:multiLevelType w:val="multilevel"/>
    <w:tmpl w:val="766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C49E9"/>
    <w:multiLevelType w:val="multilevel"/>
    <w:tmpl w:val="788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96243"/>
    <w:multiLevelType w:val="multilevel"/>
    <w:tmpl w:val="D0C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D11CD"/>
    <w:multiLevelType w:val="multilevel"/>
    <w:tmpl w:val="52DC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713068"/>
    <w:multiLevelType w:val="multilevel"/>
    <w:tmpl w:val="6EF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C2F2E"/>
    <w:multiLevelType w:val="multilevel"/>
    <w:tmpl w:val="8278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025A0D"/>
    <w:multiLevelType w:val="multilevel"/>
    <w:tmpl w:val="D75A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686DA4"/>
    <w:multiLevelType w:val="multilevel"/>
    <w:tmpl w:val="1BF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F7F44"/>
    <w:multiLevelType w:val="multilevel"/>
    <w:tmpl w:val="55D8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3339B"/>
    <w:multiLevelType w:val="multilevel"/>
    <w:tmpl w:val="DFA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26402"/>
    <w:multiLevelType w:val="multilevel"/>
    <w:tmpl w:val="BDF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90173"/>
    <w:multiLevelType w:val="multilevel"/>
    <w:tmpl w:val="968C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44D45"/>
    <w:multiLevelType w:val="multilevel"/>
    <w:tmpl w:val="18A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613921">
    <w:abstractNumId w:val="8"/>
  </w:num>
  <w:num w:numId="2" w16cid:durableId="70471973">
    <w:abstractNumId w:val="6"/>
  </w:num>
  <w:num w:numId="3" w16cid:durableId="501048957">
    <w:abstractNumId w:val="5"/>
  </w:num>
  <w:num w:numId="4" w16cid:durableId="2093771339">
    <w:abstractNumId w:val="4"/>
  </w:num>
  <w:num w:numId="5" w16cid:durableId="408311710">
    <w:abstractNumId w:val="7"/>
  </w:num>
  <w:num w:numId="6" w16cid:durableId="28576790">
    <w:abstractNumId w:val="3"/>
  </w:num>
  <w:num w:numId="7" w16cid:durableId="747462453">
    <w:abstractNumId w:val="2"/>
  </w:num>
  <w:num w:numId="8" w16cid:durableId="975716662">
    <w:abstractNumId w:val="1"/>
  </w:num>
  <w:num w:numId="9" w16cid:durableId="792945310">
    <w:abstractNumId w:val="0"/>
  </w:num>
  <w:num w:numId="10" w16cid:durableId="409619498">
    <w:abstractNumId w:val="19"/>
  </w:num>
  <w:num w:numId="11" w16cid:durableId="584806999">
    <w:abstractNumId w:val="15"/>
  </w:num>
  <w:num w:numId="12" w16cid:durableId="345593724">
    <w:abstractNumId w:val="20"/>
  </w:num>
  <w:num w:numId="13" w16cid:durableId="1528443802">
    <w:abstractNumId w:val="26"/>
  </w:num>
  <w:num w:numId="14" w16cid:durableId="159661809">
    <w:abstractNumId w:val="28"/>
  </w:num>
  <w:num w:numId="15" w16cid:durableId="184253416">
    <w:abstractNumId w:val="29"/>
  </w:num>
  <w:num w:numId="16" w16cid:durableId="1798723471">
    <w:abstractNumId w:val="24"/>
  </w:num>
  <w:num w:numId="17" w16cid:durableId="1636595089">
    <w:abstractNumId w:val="33"/>
  </w:num>
  <w:num w:numId="18" w16cid:durableId="1551922586">
    <w:abstractNumId w:val="30"/>
  </w:num>
  <w:num w:numId="19" w16cid:durableId="1340042797">
    <w:abstractNumId w:val="16"/>
  </w:num>
  <w:num w:numId="20" w16cid:durableId="408382385">
    <w:abstractNumId w:val="32"/>
  </w:num>
  <w:num w:numId="21" w16cid:durableId="783765800">
    <w:abstractNumId w:val="35"/>
  </w:num>
  <w:num w:numId="22" w16cid:durableId="712316446">
    <w:abstractNumId w:val="13"/>
  </w:num>
  <w:num w:numId="23" w16cid:durableId="2078625654">
    <w:abstractNumId w:val="12"/>
  </w:num>
  <w:num w:numId="24" w16cid:durableId="1871601758">
    <w:abstractNumId w:val="18"/>
  </w:num>
  <w:num w:numId="25" w16cid:durableId="421488477">
    <w:abstractNumId w:val="22"/>
  </w:num>
  <w:num w:numId="26" w16cid:durableId="2100323018">
    <w:abstractNumId w:val="14"/>
  </w:num>
  <w:num w:numId="27" w16cid:durableId="1017006941">
    <w:abstractNumId w:val="34"/>
  </w:num>
  <w:num w:numId="28" w16cid:durableId="273287339">
    <w:abstractNumId w:val="31"/>
  </w:num>
  <w:num w:numId="29" w16cid:durableId="399670637">
    <w:abstractNumId w:val="17"/>
  </w:num>
  <w:num w:numId="30" w16cid:durableId="1350832814">
    <w:abstractNumId w:val="9"/>
  </w:num>
  <w:num w:numId="31" w16cid:durableId="1188714053">
    <w:abstractNumId w:val="21"/>
  </w:num>
  <w:num w:numId="32" w16cid:durableId="1913814995">
    <w:abstractNumId w:val="25"/>
  </w:num>
  <w:num w:numId="33" w16cid:durableId="164514926">
    <w:abstractNumId w:val="23"/>
  </w:num>
  <w:num w:numId="34" w16cid:durableId="1908296135">
    <w:abstractNumId w:val="27"/>
  </w:num>
  <w:num w:numId="35" w16cid:durableId="1655987042">
    <w:abstractNumId w:val="10"/>
  </w:num>
  <w:num w:numId="36" w16cid:durableId="6654773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EA3"/>
    <w:rsid w:val="0015074B"/>
    <w:rsid w:val="00163BAF"/>
    <w:rsid w:val="00177A81"/>
    <w:rsid w:val="001E0100"/>
    <w:rsid w:val="0029639D"/>
    <w:rsid w:val="00326F90"/>
    <w:rsid w:val="003654EC"/>
    <w:rsid w:val="00384A20"/>
    <w:rsid w:val="00440846"/>
    <w:rsid w:val="0053231E"/>
    <w:rsid w:val="005376C6"/>
    <w:rsid w:val="005B026B"/>
    <w:rsid w:val="00604642"/>
    <w:rsid w:val="0062778B"/>
    <w:rsid w:val="00712FEC"/>
    <w:rsid w:val="00795B61"/>
    <w:rsid w:val="007D775F"/>
    <w:rsid w:val="00806464"/>
    <w:rsid w:val="009A00F9"/>
    <w:rsid w:val="00A07596"/>
    <w:rsid w:val="00A2760E"/>
    <w:rsid w:val="00AA1D8D"/>
    <w:rsid w:val="00AA1F72"/>
    <w:rsid w:val="00AD4637"/>
    <w:rsid w:val="00B04435"/>
    <w:rsid w:val="00B07E51"/>
    <w:rsid w:val="00B47730"/>
    <w:rsid w:val="00BB742C"/>
    <w:rsid w:val="00BD0321"/>
    <w:rsid w:val="00CB0664"/>
    <w:rsid w:val="00CE4D78"/>
    <w:rsid w:val="00CE6913"/>
    <w:rsid w:val="00DE757E"/>
    <w:rsid w:val="00EC3C6D"/>
    <w:rsid w:val="00F24A1E"/>
    <w:rsid w:val="00F87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264BE"/>
  <w14:defaultImageDpi w14:val="300"/>
  <w15:docId w15:val="{60EAE21B-95ED-4C57-9D48-7B3B2352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642"/>
    <w:pPr>
      <w:spacing w:line="360" w:lineRule="auto"/>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3654EC"/>
    <w:pPr>
      <w:spacing w:after="0" w:line="240" w:lineRule="auto"/>
    </w:pPr>
    <w:rPr>
      <w:rFonts w:ascii="Times New Roman" w:hAnsi="Times New Roman"/>
      <w:sz w:val="20"/>
    </w:r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7D775F"/>
    <w:rPr>
      <w:color w:val="0000FF" w:themeColor="hyperlink"/>
      <w:u w:val="single"/>
    </w:rPr>
  </w:style>
  <w:style w:type="character" w:styleId="zmlenmeyenBahsetme">
    <w:name w:val="Unresolved Mention"/>
    <w:basedOn w:val="VarsaylanParagrafYazTipi"/>
    <w:uiPriority w:val="99"/>
    <w:semiHidden/>
    <w:unhideWhenUsed/>
    <w:rsid w:val="007D775F"/>
    <w:rPr>
      <w:color w:val="605E5C"/>
      <w:shd w:val="clear" w:color="auto" w:fill="E1DFDD"/>
    </w:rPr>
  </w:style>
  <w:style w:type="paragraph" w:styleId="NormalWeb">
    <w:name w:val="Normal (Web)"/>
    <w:basedOn w:val="Normal"/>
    <w:uiPriority w:val="99"/>
    <w:semiHidden/>
    <w:unhideWhenUsed/>
    <w:rsid w:val="005B026B"/>
    <w:pPr>
      <w:spacing w:before="100" w:beforeAutospacing="1" w:after="100" w:afterAutospacing="1" w:line="240" w:lineRule="auto"/>
    </w:pPr>
    <w:rPr>
      <w:rFonts w:eastAsia="Times New Roman" w:cs="Times New Roman"/>
      <w:szCs w:val="24"/>
      <w:lang w:val="tr-TR" w:eastAsia="tr-TR"/>
    </w:rPr>
  </w:style>
  <w:style w:type="table" w:styleId="DzTablo2">
    <w:name w:val="Plain Table 2"/>
    <w:basedOn w:val="NormalTablo"/>
    <w:uiPriority w:val="99"/>
    <w:rsid w:val="00712F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zlenenKpr">
    <w:name w:val="FollowedHyperlink"/>
    <w:basedOn w:val="VarsaylanParagrafYazTipi"/>
    <w:uiPriority w:val="99"/>
    <w:semiHidden/>
    <w:unhideWhenUsed/>
    <w:rsid w:val="004408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c.europa.eu/eurostat/databrowser/bookmark/6e5c93a3-2a9a-4f3f-9b5e-5c5c5b5c5b5c?lang=en" TargetMode="External"/><Relationship Id="rId21" Type="http://schemas.openxmlformats.org/officeDocument/2006/relationships/image" Target="media/image1.png"/><Relationship Id="rId42" Type="http://schemas.openxmlformats.org/officeDocument/2006/relationships/hyperlink" Target="https://www.researchgate.net/publication/363218788_Blockchain_Technology_and_the_Circular_Economy_A_Systematic_Literature_Review?utm_source=chatgpt.com" TargetMode="External"/><Relationship Id="rId47" Type="http://schemas.openxmlformats.org/officeDocument/2006/relationships/hyperlink" Target="https://www.efrag.org/Assets/Download?assetUrl=%2Fsites%2Fwebpublishing%2FSiteAssets%2FESRS%2520E1%2520Delegated-act-2023-5303-annex-1_en.pdf&amp;utm_source=chatgpt.com" TargetMode="External"/><Relationship Id="rId63" Type="http://schemas.openxmlformats.org/officeDocument/2006/relationships/hyperlink" Target="https://doi.org/10.3390/su151512077" TargetMode="External"/><Relationship Id="rId68" Type="http://schemas.openxmlformats.org/officeDocument/2006/relationships/hyperlink" Target="https://www.sciencedirect.com/science/article/pii/S2212827124000519/pdf?md5=434459a91363e983dadd62dc94aba946&amp;pid=1-s2.0-S2212827124000519-main.pdf&amp;utm_source=chatgpt.com" TargetMode="External"/><Relationship Id="rId7" Type="http://schemas.openxmlformats.org/officeDocument/2006/relationships/hyperlink" Target="https://www.oecd.org/content/dam/oecd/en/publications/reports/2024/06/monitoring-progress-towards-a-resource-efficient-and-circular-economy_f50297ce/3b644b83-en.pdf?utm_source=chatgpt.com"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nece.org/sites/default/files/2024-02/ECECESSTAT20235_WEB.pdf?utm_source=chatgpt.com" TargetMode="External"/><Relationship Id="rId29" Type="http://schemas.openxmlformats.org/officeDocument/2006/relationships/hyperlink" Target="https://databank.worldbank.org/source/world-development-indicators" TargetMode="External"/><Relationship Id="rId11" Type="http://schemas.openxmlformats.org/officeDocument/2006/relationships/hyperlink" Target="https://www.wbcsd.org/resources/circular-transition-indicators-v4/?utm_source=chatgpt.com" TargetMode="External"/><Relationship Id="rId24" Type="http://schemas.openxmlformats.org/officeDocument/2006/relationships/image" Target="media/image4.png"/><Relationship Id="rId32" Type="http://schemas.openxmlformats.org/officeDocument/2006/relationships/hyperlink" Target="https://ec.europa.eu/eurostat/databrowser/view/env_ac_tax/default/table?lang=en" TargetMode="External"/><Relationship Id="rId37" Type="http://schemas.openxmlformats.org/officeDocument/2006/relationships/hyperlink" Target="https://api.worldbank.org/v2/en/indicator/SL.SRV.EMPL.ZS?downloadformat=excel" TargetMode="External"/><Relationship Id="rId40" Type="http://schemas.openxmlformats.org/officeDocument/2006/relationships/hyperlink" Target="https://www.istiee.unict.it/sites/default/files/files/ET_2023_94_7.pdf?utm_source=chatgpt.com" TargetMode="External"/><Relationship Id="rId45" Type="http://schemas.openxmlformats.org/officeDocument/2006/relationships/hyperlink" Target="https://www.sciencedirect.com/science/article/pii/S2665972721000611?utm_source=chatgpt.com" TargetMode="External"/><Relationship Id="rId53" Type="http://schemas.openxmlformats.org/officeDocument/2006/relationships/hyperlink" Target="https://onlinelibrary.wiley.com/doi/abs/10.1002/bse.2610?utm_source=chatgpt.com" TargetMode="External"/><Relationship Id="rId58" Type="http://schemas.openxmlformats.org/officeDocument/2006/relationships/hyperlink" Target="https://www.sciencedirect.com/science/article/pii/S2667378922000633?utm_source=chatgpt.com" TargetMode="External"/><Relationship Id="rId66" Type="http://schemas.openxmlformats.org/officeDocument/2006/relationships/hyperlink" Target="https://doi.org/10.1007/978-3-031-55036-2_3" TargetMode="External"/><Relationship Id="rId5" Type="http://schemas.openxmlformats.org/officeDocument/2006/relationships/webSettings" Target="webSettings.xml"/><Relationship Id="rId61" Type="http://schemas.openxmlformats.org/officeDocument/2006/relationships/hyperlink" Target="https://www.sciencedirect.com/science/article/pii/S0921344924002222?utm_source=chatgpt.com" TargetMode="External"/><Relationship Id="rId19" Type="http://schemas.openxmlformats.org/officeDocument/2006/relationships/hyperlink" Target="https://unece.org/sites/default/files/2024-02/ECECESSTAT20235_WEB.pdf?utm_source=chatgpt.com" TargetMode="External"/><Relationship Id="rId14" Type="http://schemas.openxmlformats.org/officeDocument/2006/relationships/hyperlink" Target="https://eur-lex.europa.eu/eli/dir/2022/2464/oj/eng?utm_source=chatgpt.com" TargetMode="External"/><Relationship Id="rId22" Type="http://schemas.openxmlformats.org/officeDocument/2006/relationships/image" Target="media/image2.png"/><Relationship Id="rId27" Type="http://schemas.openxmlformats.org/officeDocument/2006/relationships/hyperlink" Target="https://ec.europa.eu/eurostat/databrowser/bookmark/8a6d8a8a-8a6d-8a6d-8a6d-8a6d8a6d8a6d?lang=en" TargetMode="External"/><Relationship Id="rId30" Type="http://schemas.openxmlformats.org/officeDocument/2006/relationships/hyperlink" Target="https://ec.europa.eu/eurostat/databrowser/bookmark/a1b1c1d1-e1f1-g1h1-i1j1-k1l1m1n1o1p1?lang=en" TargetMode="External"/><Relationship Id="rId35" Type="http://schemas.openxmlformats.org/officeDocument/2006/relationships/hyperlink" Target="https://stats.oecd.org/Index.aspx?DataSetCode=GREEN_GROWTH" TargetMode="External"/><Relationship Id="rId43" Type="http://schemas.openxmlformats.org/officeDocument/2006/relationships/hyperlink" Target="https://www.sciencedirect.com/science/article/pii/S0959652624019607?utm_source=chatgpt.com" TargetMode="External"/><Relationship Id="rId48" Type="http://schemas.openxmlformats.org/officeDocument/2006/relationships/hyperlink" Target="https://doi.org/10.51551/verimlilik.1220774" TargetMode="External"/><Relationship Id="rId56" Type="http://schemas.openxmlformats.org/officeDocument/2006/relationships/hyperlink" Target="https://doi.org/10.3390/su14031303" TargetMode="External"/><Relationship Id="rId64" Type="http://schemas.openxmlformats.org/officeDocument/2006/relationships/hyperlink" Target="https://www.mdpi.com/2297-8747/29/4/49?utm_source=chatgpt.com" TargetMode="External"/><Relationship Id="rId69" Type="http://schemas.openxmlformats.org/officeDocument/2006/relationships/hyperlink" Target="https://www.mdpi.com/2071-1050/16/24/11180?utm_source=chatgpt.com" TargetMode="External"/><Relationship Id="rId8" Type="http://schemas.openxmlformats.org/officeDocument/2006/relationships/hyperlink" Target="https://www.cencenelec.eu/media/CEN-CENELEC/Events/Events/2024/2024-07-10_CE_Event_NEN/final_p2_hkroder-iso-59020.pdf?utm_source=chatgpt.com" TargetMode="External"/><Relationship Id="rId51" Type="http://schemas.openxmlformats.org/officeDocument/2006/relationships/hyperlink" Target="https://www.iso.org/standard/80650.html?utm_source=chatgpt.com"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ciencedirect.com/science/article/pii/S2212827124001914?utm_source=chatgpt.com" TargetMode="External"/><Relationship Id="rId17" Type="http://schemas.openxmlformats.org/officeDocument/2006/relationships/hyperlink" Target="https://www.sciencedirect.com/science/article/pii/S0959652622010617?utm_source=chatgpt.com" TargetMode="External"/><Relationship Id="rId25" Type="http://schemas.openxmlformats.org/officeDocument/2006/relationships/hyperlink" Target="https://ec.europa.eu/eurostat/databrowser/bookmark/6b36d8af-27c5-4d6c-94b3-5c411c27d987?lang=en" TargetMode="External"/><Relationship Id="rId33" Type="http://schemas.openxmlformats.org/officeDocument/2006/relationships/hyperlink" Target="https://ec.europa.eu/eurostat/databrowser/view/isoc_bde15b_custom_10942049/bookmark/table?lang=en&amp;bookmarkId=7d22d6f5-0f9c-4a74-8c1c-7a6f5c5a5b5a" TargetMode="External"/><Relationship Id="rId38" Type="http://schemas.openxmlformats.org/officeDocument/2006/relationships/hyperlink" Target="https://ec.europa.eu/eurostat/databrowser/view/env_ac_ainah_r2/default/table?lang=en" TargetMode="External"/><Relationship Id="rId46" Type="http://schemas.openxmlformats.org/officeDocument/2006/relationships/hyperlink" Target="https://www.sciencedirect.com/science/article/pii/S2352550925001241?utm_source=chatgpt.com" TargetMode="External"/><Relationship Id="rId59" Type="http://schemas.openxmlformats.org/officeDocument/2006/relationships/hyperlink" Target="https://eprints.um.edu.my/42951/?utm_source=chatgpt.com" TargetMode="External"/><Relationship Id="rId67" Type="http://schemas.openxmlformats.org/officeDocument/2006/relationships/hyperlink" Target="https://www.wbcsd.org/resources/circular-transition-indicators-v4/?utm_source=chatgpt.com" TargetMode="External"/><Relationship Id="rId20" Type="http://schemas.openxmlformats.org/officeDocument/2006/relationships/hyperlink" Target="https://www.sciencedirect.com/science/article/pii/S0959652623019820?utm_source=chatgpt.com" TargetMode="External"/><Relationship Id="rId41" Type="http://schemas.openxmlformats.org/officeDocument/2006/relationships/hyperlink" Target="https://www.sciencedirect.com/science/article/pii/S0040162522005972?utm_source=chatgpt.com" TargetMode="External"/><Relationship Id="rId54" Type="http://schemas.openxmlformats.org/officeDocument/2006/relationships/hyperlink" Target="https://www.mission-networks.tum.de/fileadmin/w00cah/circular-economy/CirculaTUM/HOWDIGITALPLATFORMSCANFOSTERACIRCULARECONOMY__2_.pdf?utm_source=chatgpt.com" TargetMode="External"/><Relationship Id="rId62" Type="http://schemas.openxmlformats.org/officeDocument/2006/relationships/hyperlink" Target="https://www.sciencedirect.com/science/article/pii/S2772390924000271?utm_source=chatgpt.com" TargetMode="External"/><Relationship Id="rId70" Type="http://schemas.openxmlformats.org/officeDocument/2006/relationships/hyperlink" Target="https://www.mdpi.com/2071-1050/16/5/1817?utm_source=chatgpt.com" TargetMode="External"/><Relationship Id="rId1" Type="http://schemas.openxmlformats.org/officeDocument/2006/relationships/customXml" Target="../customXml/item1.xml"/><Relationship Id="rId6" Type="http://schemas.openxmlformats.org/officeDocument/2006/relationships/hyperlink" Target="https://www.emeraldgrouppublishing.com/calls-for-papers/advancing-sustainable-services-circular-economy-technology-and-future-directions" TargetMode="External"/><Relationship Id="rId15" Type="http://schemas.openxmlformats.org/officeDocument/2006/relationships/hyperlink" Target="https://www.sciencedirect.com/science/article/pii/S0959652622010617?utm_source=chatgpt.com" TargetMode="External"/><Relationship Id="rId23" Type="http://schemas.openxmlformats.org/officeDocument/2006/relationships/image" Target="media/image3.png"/><Relationship Id="rId28" Type="http://schemas.openxmlformats.org/officeDocument/2006/relationships/hyperlink" Target="https://stats.oecd.org/Index.aspx?DataSetCode=GREEN_GROWTH" TargetMode="External"/><Relationship Id="rId36" Type="http://schemas.openxmlformats.org/officeDocument/2006/relationships/hyperlink" Target="https://api.worldbank.org/v2/en/indicator/NY.GDP.MKTP.CD?downloadformat=excel" TargetMode="External"/><Relationship Id="rId49" Type="http://schemas.openxmlformats.org/officeDocument/2006/relationships/hyperlink" Target="https://www.sciencedirect.com/science/article/pii/S2949750724000567?utm_source=chatgpt.com" TargetMode="External"/><Relationship Id="rId57" Type="http://schemas.openxmlformats.org/officeDocument/2006/relationships/hyperlink" Target="https://onlinelibrary.wiley.com/doi/full/10.1111/jiec.13535?utm_source=chatgpt.com" TargetMode="External"/><Relationship Id="rId10" Type="http://schemas.openxmlformats.org/officeDocument/2006/relationships/hyperlink" Target="https://www.efrag.org/sites/default/files/media/document/2024-08/ESRS%201%20Delegated-act-2023-5303-annex-1_en.pdf?utm_source=chatgpt.com" TargetMode="External"/><Relationship Id="rId31" Type="http://schemas.openxmlformats.org/officeDocument/2006/relationships/hyperlink" Target="https://ec.europa.eu/eurostat/databrowser/view/cei_cie010/default/table?lang=en" TargetMode="External"/><Relationship Id="rId44" Type="http://schemas.openxmlformats.org/officeDocument/2006/relationships/hyperlink" Target="https://doi.org/10.1108/ijppm-01-2021-0026" TargetMode="External"/><Relationship Id="rId52" Type="http://schemas.openxmlformats.org/officeDocument/2006/relationships/hyperlink" Target="https://www.emerald.com/jsm/article/38/10/17/1235395/Strategising-for-the-circular-economy-through?utm_source=chatgpt.com" TargetMode="External"/><Relationship Id="rId60" Type="http://schemas.openxmlformats.org/officeDocument/2006/relationships/hyperlink" Target="https://ui.adsabs.harvard.edu/abs/2021JCPro.27923605R/abstract?utm_source=chatgpt.com" TargetMode="External"/><Relationship Id="rId65" Type="http://schemas.openxmlformats.org/officeDocument/2006/relationships/hyperlink" Target="https://unece.org/sites/default/files/2024-02/ECECESSTAT20235_WEB.pdf?utm_source=chatgpt.com" TargetMode="External"/><Relationship Id="rId4" Type="http://schemas.openxmlformats.org/officeDocument/2006/relationships/settings" Target="settings.xml"/><Relationship Id="rId9" Type="http://schemas.openxmlformats.org/officeDocument/2006/relationships/hyperlink" Target="https://www.sciencedirect.com/science/article/pii/S2665972721000611?utm_source=chatgpt.com" TargetMode="External"/><Relationship Id="rId13" Type="http://schemas.openxmlformats.org/officeDocument/2006/relationships/hyperlink" Target="https://www.iso.org/standard/80649.html?utm_source=chatgpt.com" TargetMode="External"/><Relationship Id="rId18" Type="http://schemas.openxmlformats.org/officeDocument/2006/relationships/hyperlink" Target="https://www.emerald.com/ejmbe/article/32/1/91/99942/Circular-economy-based-reverse-logistics-dynamic?utm_source=chatgpt.com" TargetMode="External"/><Relationship Id="rId39" Type="http://schemas.openxmlformats.org/officeDocument/2006/relationships/hyperlink" Target="https://www.ijdesign.org/index.php/IJDesign/article/view/4829/1056?utm_source=chatgpt.com" TargetMode="External"/><Relationship Id="rId34" Type="http://schemas.openxmlformats.org/officeDocument/2006/relationships/hyperlink" Target="https://ec.europa.eu/eurostat/databrowser/view/isoc_bde15b_custom_10942049/bookmark/table?lang=en&amp;bookmarkId=7d22d6f5-0f9c-4a74-8c1c-7a6f5c5a5b5a" TargetMode="External"/><Relationship Id="rId50" Type="http://schemas.openxmlformats.org/officeDocument/2006/relationships/hyperlink" Target="https://www.iso.org/standard/80648.html?utm_source=chatgpt.com" TargetMode="External"/><Relationship Id="rId55" Type="http://schemas.openxmlformats.org/officeDocument/2006/relationships/hyperlink" Target="https://www.sciencedirect.com/science/article/pii/S294975072400056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18</Pages>
  <Words>8207</Words>
  <Characters>46780</Characters>
  <Application>Microsoft Office Word</Application>
  <DocSecurity>0</DocSecurity>
  <Lines>389</Lines>
  <Paragraphs>109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Caner Erden</cp:lastModifiedBy>
  <cp:revision>15</cp:revision>
  <dcterms:created xsi:type="dcterms:W3CDTF">2025-11-09T16:14:00Z</dcterms:created>
  <dcterms:modified xsi:type="dcterms:W3CDTF">2025-11-10T15:47:00Z</dcterms:modified>
  <cp:category/>
</cp:coreProperties>
</file>