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检索增强生成系统的评测方法</w:t>
      </w:r>
    </w:p>
    <w:p>
      <w:pPr>
        <w:pStyle w:val="Heading2"/>
      </w:pPr>
      <w:r>
        <w:t>1. 引言 Introduction</w:t>
      </w:r>
    </w:p>
    <w:p>
      <w:r>
        <w:t>本文件用于验证文档转换链路：一份 PDF 与一份 DOCX 承载同样的内容，转换后应当得到语义一致的 Markdown。</w:t>
      </w:r>
    </w:p>
    <w:p>
      <w:r>
        <w:t>The benchmark compares three retrieval strategies on the same corpus, so that the comparison is about retrieval rather than about the corpus.</w:t>
      </w:r>
    </w:p>
    <w:p>
      <w:pPr>
        <w:pStyle w:val="Heading2"/>
      </w:pPr>
      <w:r>
        <w:t>2. 指标 Metrics</w:t>
      </w:r>
    </w:p>
    <w:p>
      <w:r>
        <w:t>我们报告三个指标：命中率（hit rate）、平均倒数排名（MRR）与答案正确率；三者都必须与同一份问题集一起报告。</w:t>
      </w:r>
    </w:p>
    <w:p>
      <w:pPr>
        <w:pStyle w:val="Heading2"/>
      </w:pPr>
      <w:r>
        <w:t>3. 结果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策略 Strategy</w:t>
            </w:r>
          </w:p>
        </w:tc>
        <w:tc>
          <w:tcPr>
            <w:tcW w:type="dxa" w:w="2880"/>
          </w:tcPr>
          <w:p>
            <w:r>
              <w:t>命中率 Hit rate</w:t>
            </w:r>
          </w:p>
        </w:tc>
        <w:tc>
          <w:tcPr>
            <w:tcW w:type="dxa" w:w="2880"/>
          </w:tcPr>
          <w:p>
            <w:r>
              <w:t>MRR</w:t>
            </w:r>
          </w:p>
        </w:tc>
      </w:tr>
      <w:tr>
        <w:tc>
          <w:tcPr>
            <w:tcW w:type="dxa" w:w="2880"/>
          </w:tcPr>
          <w:p>
            <w:r>
              <w:t>BM25</w:t>
            </w:r>
          </w:p>
        </w:tc>
        <w:tc>
          <w:tcPr>
            <w:tcW w:type="dxa" w:w="2880"/>
          </w:tcPr>
          <w:p>
            <w:r>
              <w:t>0.62</w:t>
            </w:r>
          </w:p>
        </w:tc>
        <w:tc>
          <w:tcPr>
            <w:tcW w:type="dxa" w:w="2880"/>
          </w:tcPr>
          <w:p>
            <w:r>
              <w:t>0.48</w:t>
            </w:r>
          </w:p>
        </w:tc>
      </w:tr>
      <w:tr>
        <w:tc>
          <w:tcPr>
            <w:tcW w:type="dxa" w:w="2880"/>
          </w:tcPr>
          <w:p>
            <w:r>
              <w:t>Dense</w:t>
            </w:r>
          </w:p>
        </w:tc>
        <w:tc>
          <w:tcPr>
            <w:tcW w:type="dxa" w:w="2880"/>
          </w:tcPr>
          <w:p>
            <w:r>
              <w:t>0.71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0.79</w:t>
            </w:r>
          </w:p>
        </w:tc>
        <w:tc>
          <w:tcPr>
            <w:tcW w:type="dxa" w:w="2880"/>
          </w:tcPr>
          <w:p>
            <w:r>
              <w:t>0.63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