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Noto Sans CJK SC" w:hAnsi="Noto Sans CJK SC" w:eastAsia="Noto Sans CJK SC" w:cs="Noto Sans CJK SC"/>
          <w:b/>
          <w:color w:val="000000"/>
          <w:sz w:val="54"/>
        </w:rPr>
        <w:t>量化投资多因子研发平台</w:t>
      </w:r>
    </w:p>
    <w:p>
      <w:pPr>
        <w:spacing w:before="200"/>
        <w:jc w:val="center"/>
      </w:pPr>
      <w:r>
        <w:rPr>
          <w:rFonts w:ascii="Noto Sans CJK SC" w:hAnsi="Noto Sans CJK SC" w:eastAsia="Noto Sans CJK SC" w:cs="Noto Sans CJK SC"/>
          <w:b/>
          <w:color w:val="000000"/>
          <w:sz w:val="36"/>
        </w:rPr>
        <w:t>项目计划书</w:t>
      </w:r>
    </w:p>
    <w:p/>
    <w:p>
      <w:pPr>
        <w:jc w:val="center"/>
      </w:pPr>
      <w:r>
        <w:rPr>
          <w:rFonts w:ascii="Noto Sans CJK SC" w:hAnsi="Noto Sans CJK SC" w:eastAsia="Noto Sans CJK SC" w:cs="Noto Sans CJK SC"/>
          <w:color w:val="505050"/>
          <w:sz w:val="22"/>
        </w:rPr>
        <w:t>课程项目初版报告</w:t>
      </w:r>
    </w:p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192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20"/>
              </w:rPr>
              <w:t>课程名称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20"/>
              </w:rPr>
              <w:t>待填写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20"/>
              </w:rPr>
              <w:t>指导教师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20"/>
              </w:rPr>
              <w:t>待填写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20"/>
              </w:rPr>
              <w:t>项目组长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20"/>
              </w:rPr>
              <w:t>待填写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20"/>
              </w:rPr>
              <w:t>项目成员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20"/>
              </w:rPr>
              <w:t>待填写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20"/>
              </w:rPr>
              <w:t>计划周期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20"/>
              </w:rPr>
              <w:t>2026年10月至2026年12月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20"/>
              </w:rPr>
              <w:t>文档版本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20"/>
              </w:rPr>
              <w:t>V1.0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</w:rPr>
        <w:t>项目摘要</w:t>
      </w:r>
    </w:p>
    <w:p>
      <w:r>
        <w:rPr>
          <w:rFonts w:ascii="Noto Sans CJK SC" w:hAnsi="Noto Sans CJK SC" w:eastAsia="Noto Sans CJK SC" w:cs="Noto Sans CJK SC"/>
        </w:rPr>
        <w:t>本项目建设一个面向少量研究人员的量化投资多因子研发平台。平台部分负责用户权限、数据版本、任务调度、日志和结果归档；产品部分负责因子配置、单因子检验、图表和研究报告。首期限定沪深A股日频数据，以课程验收为目标，在2026年12月中旬前完成可运行、可复现、可演示的研究闭环。</w:t>
      </w:r>
    </w:p>
    <w:p>
      <w:r>
        <w:rPr>
          <w:rFonts w:ascii="Noto Sans CJK SC" w:hAnsi="Noto Sans CJK SC" w:eastAsia="Noto Sans CJK SC" w:cs="Noto Sans CJK SC"/>
        </w:rPr>
        <w:t>项目采用模块化单体和独立异步Worker。Web、API、Worker、PostgreSQL与Redis通过Docker Compose统一部署，行情和因子矩阵采用Parquet保存并由DuckDB查询。该方案保留后续拆分空间，同时控制四人团队在十周左右周期内的实现风险。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项目结论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首期完成数据导入、因子选择、异步计算、统计检验、图表展示、报告生成和实验复现。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六个内置因子覆盖动量、反转、波动率、换手率、市值和市盈率。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四位成员各承担一个占责任25%的验收包，技术工作量允许不同，但成果必须独立可核验。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实时行情、自动交易、机器学习和复杂微服务明确排除在首期范围之外。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</w:rPr>
        <w:t>目录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1. 项目背景与目标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2. 项目范围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3. 用户和业务流程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4. 系统架构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5. 数据与研究口径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6. 开发计划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7. 团队分工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8. 测试与验收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9. 风险管理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10. 预期成果和待确认事项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</w:rPr>
        <w:t>一 项目背景与目标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项目背景</w:t>
      </w:r>
    </w:p>
    <w:p>
      <w:r>
        <w:rPr>
          <w:rFonts w:ascii="Noto Sans CJK SC" w:hAnsi="Noto Sans CJK SC" w:eastAsia="Noto Sans CJK SC" w:cs="Noto Sans CJK SC"/>
        </w:rPr>
        <w:t>因子研究涉及行情获取、数据清洗、因子计算、统计检验、任务执行和报告编制。若成员各自使用零散脚本，数据口径、参数和输出难以统一，也无法稳定复现历史实验。本项目用一个统一平台固化这些共性能力，并把研究方法组织为可操作的业务功能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项目目标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1. 支持管理员导入、校验、发布和追踪数据版本。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2. 支持研究员选择内置因子、样本、日期和预处理参数并提交后台任务。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3. 统一计算IC、Rank IC、ICIR、分组收益、多空收益、换手率和相关性。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4. 自动生成结构化结果和HTML研究报告，并记录完整复现信息。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5. 在单台Windows电脑上完成私有部署，固化数据后核心流程可以离线运行。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验收指标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912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流程完整性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登录至报告下载全流程运行成功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单因子性能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300只股票和3年日频数据在60秒内完成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页面响应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普通查询在推荐环境中不超过2秒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计算正确性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平台结果与黄金数据独立验算一致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结果复现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报告可追溯数据版本、因子版本、参数和代码版本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演示时间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核心业务演示控制在10分钟以内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</w:rPr>
        <w:t>二 项目范围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首期功能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128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首期内容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身份权限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管理员、研究员、只读用户三种角色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数据管理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CSV和Parquet导入、校验、版本、预览和统计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因子管理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六个内置因子、参数说明和不可变版本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研究任务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后台执行、进度、日志、失败原因和手动重试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因子检验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预处理、IC系列指标、分组收益、换手率和相关性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结果报告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结果图表、HTML报告、下载和复现信息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私域部署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Docker Compose统一启动，核心流程离线运行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7056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P0 必须完成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权限、数据版本、内置因子、异步任务、单因子检验、图表、报告和Docker部署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P1 应当完成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历史指数成分、简单多因子合成、任务取消和PDF导出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P2 时间允许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Ollama报告摘要、表达式因子编辑器和扩展监控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非目标</w:t>
      </w:r>
    </w:p>
    <w:p>
      <w:r>
        <w:rPr>
          <w:rFonts w:ascii="Noto Sans CJK SC" w:hAnsi="Noto Sans CJK SC" w:eastAsia="Noto Sans CJK SC" w:cs="Noto Sans CJK SC"/>
        </w:rPr>
        <w:t>首期不实现实时行情、分钟或Tick数据、自动交易、券商接口、资金账户、复杂多因子优化、机器学习预测、网页任意Python执行、移动端、Kubernetes、多机容灾和生产级高并发。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</w:rPr>
        <w:t>三 用户和业务流程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用户角色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056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主要权限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管理员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管理用户、数据集、数据版本和全部研究任务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研究员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查看授权数据，创建任务，查看和下载自己的结果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只读用户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查看授权结果和报告，不得发起或修改任务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业务流程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1. 管理员导入数据并完成字段、日期、重复值和价格关系校验。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2. 管理员发布数据版本，研究员选择已发布数据和因子版本。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3. 研究员设置股票样本、日期范围和预处理参数并提交任务。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4. Worker执行数据读取、预处理、因子计算和检验，页面显示进度。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5. 任务成功后保存指标、图表数据和报告，用户查看复现信息并下载成果。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核心演示</w:t>
      </w:r>
    </w:p>
    <w:p>
      <w:r>
        <w:rPr>
          <w:rFonts w:ascii="Noto Sans CJK SC" w:hAnsi="Noto Sans CJK SC" w:eastAsia="Noto Sans CJK SC" w:cs="Noto Sans CJK SC"/>
        </w:rPr>
        <w:t>管理员查看数据版本；研究员选择20日动量因子和沪深300样本，提交异步任务并查看进度；任务完成后打开IC、分组收益和换手率图表，下载报告；最后切换只读账号验证权限限制。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</w:rPr>
        <w:t>四 系统架构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架构选择</w:t>
      </w:r>
    </w:p>
    <w:p>
      <w:r>
        <w:rPr>
          <w:rFonts w:ascii="Noto Sans CJK SC" w:hAnsi="Noto Sans CJK SC" w:eastAsia="Noto Sans CJK SC" w:cs="Noto Sans CJK SC"/>
        </w:rPr>
        <w:t>首期采用模块化单体和独立异步Worker。FastAPI内部按身份权限、数据、因子、研究、任务和报告划分模块。React仅访问FastAPI，不能直接连接数据库或文件存储。该结构降低部署和联调成本，又为以后拆出计算、数据和报告服务保留接口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536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024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技术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Web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研究工作台和结果展示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React TypeScript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API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权限、业务规则和接口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FastAPI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Worker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长耗时因子计算和报告生成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Celery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元数据库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用户、版本、任务、指标摘要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PostgreSQL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队列缓存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任务消息、进度和短期缓存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Redis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分析存储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行情、因子矩阵和计算结果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Parquet DuckDB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部署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跨Mac和Windows统一环境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Docker Compose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私域部署</w:t>
      </w:r>
    </w:p>
    <w:p>
      <w:r>
        <w:rPr>
          <w:rFonts w:ascii="Noto Sans CJK SC" w:hAnsi="Noto Sans CJK SC" w:eastAsia="Noto Sans CJK SC" w:cs="Noto Sans CJK SC"/>
        </w:rPr>
        <w:t>首次拉取镜像和采集Tushare数据需要网络。数据快照准备完成后，登录、计算、检验和报告均在本机运行，业务数据不上传外部服务。本地模型只作为P2组件草拟摘要，关闭后不影响任何核心功能。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</w:rPr>
        <w:t>五 数据与研究口径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数据范围</w:t>
      </w:r>
    </w:p>
    <w:p>
      <w:r>
        <w:rPr>
          <w:rFonts w:ascii="Noto Sans CJK SC" w:hAnsi="Noto Sans CJK SC" w:eastAsia="Noto Sans CJK SC" w:cs="Noto Sans CJK SC"/>
        </w:rPr>
        <w:t>演示数据采用沪深300相关固定样本和约3至5年日频记录，同时准备20至50只股票的小型集成测试集。固定样本可能产生幸存者偏差，报告必须明确披露；历史指数成分作为P1功能。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数据表</w:t>
            </w:r>
          </w:p>
        </w:tc>
        <w:tc>
          <w:tcPr>
            <w:tcW w:type="dxa" w:w="6984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主要用途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证券主表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股票代码、市场、上市日和退市日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交易日历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交易日判断和日期对齐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日行情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开高低收、成交量和成交额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复权因子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生成统一收益口径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每日指标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市值、换手率和估值因子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证券状态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停牌、ST和交易限制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行业历史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行业中性化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基准行情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计算基准和超额表现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因子和检验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984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首期内容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内置因子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20日动量、5日反转、20日波动率、20日换手率、市值和市盈率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预处理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去极值、标准化、可选市值和行业中性化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统计检验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覆盖率、IC、Rank IC、IC均值、IC标准差和ICIR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收益检验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分组收益、多空收益、换手率和因子相关性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时间和复权规则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系统保存未复权行情和复权因子，研究收益采用后复权口径。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因子值在交易日收盘后形成，最早用于下一交易日收益检验。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财务数据按实际披露日生效，不按报告期提前使用。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黄金数据由独立Excel或Python脚本验算，平台结果必须在约定容差内一致。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</w:rPr>
        <w:t>六 开发计划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76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968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主要成果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需求与计划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10月9日至11日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PRD、计划书、架构、分工和学习路线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原型与骨架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10月12日至25日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数据样例、页面原型、工程骨架和Docker环境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核心平台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10月26日至11月15日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数据、权限、任务调度和因子计算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研究产品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11月16日至29日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检验指标、结果页面和HTML报告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联调部署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11月30日至12月6日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联调、测试、私域部署和可选加分项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验收答辩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12月7日至13日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修复、个人验收包、汇报和彩排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三次汇报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1. 第一次汇报说明目标、范围、架构、原型、数据样例和团队分工。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2. 第二次汇报展示数据版本、权限、异步任务和单因子计算链路。</w:t>
      </w:r>
    </w:p>
    <w:p>
      <w:pPr>
        <w:spacing w:after="30"/>
        <w:ind w:left="360" w:hanging="360"/>
      </w:pPr>
      <w:r>
        <w:rPr>
          <w:rFonts w:ascii="Noto Sans CJK SC" w:hAnsi="Noto Sans CJK SC" w:eastAsia="Noto Sans CJK SC" w:cs="Noto Sans CJK SC"/>
        </w:rPr>
        <w:t>3. 第三次汇报运行完整演示，展示结果、报告、复现信息和个人验收材料。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</w:rPr>
        <w:t>七 团队分工</w:t>
      </w:r>
    </w:p>
    <w:p>
      <w:r>
        <w:rPr>
          <w:rFonts w:ascii="Noto Sans CJK SC" w:hAnsi="Noto Sans CJK SC" w:eastAsia="Noto Sans CJK SC" w:cs="Noto Sans CJK SC"/>
        </w:rPr>
        <w:t>四位成员的责任占比均为25%。责任比例按可验收成果确定，不按代码行数或编程难度平均。每人必须提交署名材料，并能够独立回答自己模块的设计和验收问题。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080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成员</w:t>
            </w:r>
          </w:p>
        </w:tc>
        <w:tc>
          <w:tcPr>
            <w:tcW w:type="dxa" w:w="1656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责任包</w:t>
            </w:r>
          </w:p>
        </w:tc>
        <w:tc>
          <w:tcPr>
            <w:tcW w:type="dxa" w:w="2448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主要任务</w:t>
            </w:r>
          </w:p>
        </w:tc>
        <w:tc>
          <w:tcPr>
            <w:tcW w:type="dxa" w:w="3168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验收材料</w:t>
            </w:r>
          </w:p>
        </w:tc>
        <w:tc>
          <w:tcPr>
            <w:tcW w:type="dxa" w:w="864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占比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A 队长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架构与集成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后端、任务、集成、部署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架构、接口、部署和测试记录</w:t>
            </w:r>
          </w:p>
        </w:tc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25%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B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数据工程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数据、字典、清洗和质量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字段字典、样例和质量报告</w:t>
            </w:r>
          </w:p>
        </w:tc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25%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C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因子研究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公式、验算和报告内容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因子说明、黄金结果和差异记录</w:t>
            </w:r>
          </w:p>
        </w:tc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25%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D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产品测试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原型、测试、手册和展示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原型、用例、缺陷和演示材料</w:t>
            </w:r>
          </w:p>
        </w:tc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25%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协作规则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队长统一管理代码仓库和正式提交，其他成员按约定目录交付材料。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个人材料记录作者、版本、日期、输入、产出、自测结论和复核人。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每周至少一次内部同步，逐项更新状态、风险、下周任务和验收人。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P0需求冻结后，新增需求只能进入P1或P2。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</w:rPr>
        <w:t>八 测试与验收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5544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数据或范围</w:t>
            </w:r>
          </w:p>
        </w:tc>
        <w:tc>
          <w:tcPr>
            <w:tcW w:type="dxa" w:w="1728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单元测试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5只股票和30个交易日的人工构造数据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A与C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集成测试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20至50只股票的固定Parquet快照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A与B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正确性测试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Excel或独立Python脚本形成黄金结果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C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端到端测试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登录、提交任务、结果和报告下载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D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部署测试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Windows主演示环境和Mac开发环境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A与D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个人验收</w:t>
      </w:r>
    </w:p>
    <w:p>
      <w:r>
        <w:rPr>
          <w:rFonts w:ascii="Noto Sans CJK SC" w:hAnsi="Noto Sans CJK SC" w:eastAsia="Noto Sans CJK SC" w:cs="Noto Sans CJK SC"/>
        </w:rPr>
        <w:t>项目建立四份个人验收模板。A提交架构与集成材料，B提交数据质量材料，C提交公式和独立验算材料，D提交原型、测试和展示材料。导师汇报前完成交叉复核，最终由队长归档。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</w:rPr>
        <w:t>九 风险管理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024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248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应对措施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编程工作集中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队长成为进度瓶颈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冻结P0，其他成员完成独立验收责任包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量化知识不足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公式和时间对齐错误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共同学习、口径评审和黄金数据验算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接口或网络异常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数据采集或演示失败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提前固化Parquet数据，演示离线运行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幸存者偏差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研究表现被高估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报告披露限制，历史成分列为P1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范围膨胀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核心闭环延期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新增需求进入P1或P2，不影响P0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跨平台差异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Mac与Windows行为不同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Docker、WSL2、统一路径和持续测试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</w:rPr>
        <w:t>十 预期成果和待确认事项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预期成果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可在Windows环境运行的量化因子研发平台。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完整源代码、Docker配置、数据库迁移和测试代码。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固定样例数据、数据字典和质量报告。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六个内置因子及单因子检验结果。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HTML研究报告、使用说明、答辩材料和演示脚本。</w:t>
      </w:r>
    </w:p>
    <w:p>
      <w:pPr>
        <w:pStyle w:val="ListBullet"/>
        <w:spacing w:after="30"/>
      </w:pPr>
      <w:r>
        <w:rPr>
          <w:rFonts w:ascii="Noto Sans CJK SC" w:hAnsi="Noto Sans CJK SC" w:eastAsia="Noto Sans CJK SC" w:cs="Noto Sans CJK SC"/>
        </w:rPr>
        <w:t>PRD、团队计划、学习路线和四份个人验收包。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>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5040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176"/>
            <w:shd w:fill="243B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课程名称和指导教师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待填写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四名成员姓名和学号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待填写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三次导师汇报日期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待导师确认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每名成员每周投入时间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5F7F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待团队确认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学校文档和答辩格式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待确认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50505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5A5A5A"/>
        <w:sz w:val="17"/>
      </w:rPr>
      <w:t>量化投资多因子研发平台    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Noto Sans CJK SC" w:hAnsi="Noto Sans CJK SC" w:eastAsia="Noto Sans CJK SC" w:cs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量化投资多因子研发平台项目计划书</dc:title>
  <dc:subject>课程项目开发计划和小组分工</dc:subject>
  <dc:creator>项目团队</dc:creator>
  <cp:keywords>量化投资 多因子 平台 项目计划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