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framePr w:wrap="auto" w:vAnchor="margin" w:hAnchor="text" w:yAlign="inline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-771525</wp:posOffset>
            </wp:positionH>
            <wp:positionV relativeFrom="paragraph">
              <wp:posOffset>-773430</wp:posOffset>
            </wp:positionV>
            <wp:extent cx="7647940" cy="10814050"/>
            <wp:effectExtent l="0" t="0" r="10160" b="6350"/>
            <wp:wrapNone/>
            <wp:docPr id="2" name="图片 2" descr="e1ae4b89-849c-451d-88b8-dc803a40b0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1ae4b89-849c-451d-88b8-dc803a40b0e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7940" cy="1081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framePr w:wrap="auto" w:vAnchor="margin" w:hAnchor="text" w:yAlign="inline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>
      <w:pPr>
        <w:framePr w:wrap="auto" w:vAnchor="margin" w:hAnchor="text" w:yAlign="inline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>
      <w:pPr>
        <w:framePr w:wrap="auto" w:vAnchor="margin" w:hAnchor="text" w:yAlign="inline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>
      <w:pPr>
        <w:framePr w:wrap="auto" w:vAnchor="margin" w:hAnchor="text" w:yAlign="inline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>
      <w:pPr>
        <w:framePr w:wrap="auto" w:vAnchor="margin" w:hAnchor="text" w:yAlign="inline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>
      <w:pPr>
        <w:framePr w:wrap="auto" w:vAnchor="margin" w:hAnchor="text" w:yAlign="inline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>
      <w:pPr>
        <w:framePr w:wrap="auto" w:vAnchor="margin" w:hAnchor="text" w:yAlign="inline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>
      <w:pPr>
        <w:framePr w:wrap="auto" w:vAnchor="margin" w:hAnchor="text" w:yAlign="inline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>
      <w:pPr>
        <w:framePr w:wrap="auto" w:vAnchor="margin" w:hAnchor="text" w:yAlign="inline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>
      <w:pPr>
        <w:framePr w:wrap="auto" w:vAnchor="margin" w:hAnchor="text" w:yAlign="inline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>
      <w:pPr>
        <w:framePr w:wrap="auto" w:vAnchor="margin" w:hAnchor="text" w:yAlign="inline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>
      <w:pPr>
        <w:framePr w:wrap="auto" w:vAnchor="margin" w:hAnchor="text" w:yAlign="inline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>
      <w:pPr>
        <w:framePr w:wrap="auto" w:vAnchor="margin" w:hAnchor="text" w:yAlign="inline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>
      <w:pPr>
        <w:framePr w:wrap="auto" w:vAnchor="margin" w:hAnchor="text" w:yAlign="inline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</w:p>
    <w:p>
      <w:pPr>
        <w:framePr w:wrap="auto" w:vAnchor="margin" w:hAnchor="text" w:yAlign="inline"/>
        <w:rPr>
          <w:rFonts w:hint="eastAsia" w:ascii="思域黑体" w:hAnsi="思域黑体" w:eastAsia="思域黑体" w:cs="思域黑体"/>
          <w:sz w:val="28"/>
          <w:szCs w:val="28"/>
        </w:rPr>
      </w:pPr>
      <w:r>
        <w:rPr>
          <w:rFonts w:hint="eastAsia" w:ascii="思域黑体" w:hAnsi="思域黑体" w:eastAsia="思域黑体" w:cs="思域黑体"/>
          <w:sz w:val="28"/>
          <w:szCs w:val="28"/>
        </w:rPr>
        <w:t>姓    名：</w:t>
      </w:r>
    </w:p>
    <w:p>
      <w:pPr>
        <w:framePr w:wrap="auto" w:vAnchor="margin" w:hAnchor="text" w:yAlign="inline"/>
        <w:rPr>
          <w:rFonts w:hint="eastAsia" w:ascii="思域黑体" w:hAnsi="思域黑体" w:eastAsia="思域黑体" w:cs="思域黑体"/>
          <w:sz w:val="28"/>
          <w:szCs w:val="28"/>
        </w:rPr>
      </w:pPr>
    </w:p>
    <w:p>
      <w:pPr>
        <w:framePr w:wrap="auto" w:vAnchor="margin" w:hAnchor="text" w:yAlign="inline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思域黑体" w:hAnsi="思域黑体" w:eastAsia="思域黑体" w:cs="思域黑体"/>
          <w:sz w:val="28"/>
          <w:szCs w:val="28"/>
        </w:rPr>
        <w:t>日    期：</w:t>
      </w:r>
    </w:p>
    <w:p>
      <w:pPr>
        <w:framePr w:wrap="auto" w:vAnchor="margin" w:hAnchor="text" w:yAlign="inline"/>
        <w:rPr>
          <w:rFonts w:hint="eastAsia" w:ascii="微软雅黑" w:hAnsi="微软雅黑" w:eastAsia="微软雅黑" w:cs="微软雅黑"/>
          <w:sz w:val="21"/>
        </w:rPr>
        <w:sectPr>
          <w:pgSz w:w="11906" w:h="16838"/>
          <w:pgMar w:top="1134" w:right="1134" w:bottom="1134" w:left="1134" w:header="709" w:footer="85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>
      <w:pPr>
        <w:framePr w:wrap="auto" w:vAnchor="margin" w:hAnchor="text" w:yAlign="inline"/>
        <w:rPr>
          <w:rFonts w:hint="eastAsia" w:ascii="微软雅黑" w:hAnsi="微软雅黑" w:eastAsia="微软雅黑" w:cs="微软雅黑"/>
          <w:sz w:val="21"/>
          <w:lang w:eastAsia="zh-CN"/>
        </w:rPr>
      </w:pPr>
    </w:p>
    <w:p>
      <w:pPr>
        <w:framePr w:wrap="auto" w:vAnchor="margin" w:hAnchor="text" w:yAlign="inline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福州⾦域医学检验实验室</w:t>
      </w:r>
    </w:p>
    <w:p>
      <w:pPr>
        <w:framePr w:wrap="auto" w:vAnchor="margin" w:hAnchor="text" w:yAlign="inline"/>
        <w:jc w:val="center"/>
        <w:rPr>
          <w:rFonts w:hint="eastAsia" w:ascii="微软雅黑" w:hAnsi="微软雅黑" w:eastAsia="微软雅黑" w:cs="微软雅黑"/>
          <w:sz w:val="13"/>
          <w:szCs w:val="13"/>
        </w:rPr>
      </w:pPr>
      <w:r>
        <w:rPr>
          <w:rFonts w:hint="eastAsia" w:ascii="微软雅黑" w:hAnsi="微软雅黑" w:eastAsia="微软雅黑" w:cs="微软雅黑"/>
          <w:sz w:val="13"/>
          <w:szCs w:val="13"/>
        </w:rPr>
        <w:t>FUZHOU KINGMED FOR CLINICAL LABORATORY</w:t>
      </w:r>
    </w:p>
    <w:p>
      <w:pPr>
        <w:framePr w:wrap="auto" w:vAnchor="margin" w:hAnchor="text" w:yAlign="inline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检验结果报告单</w:t>
      </w:r>
    </w:p>
    <w:p>
      <w:pPr>
        <w:pStyle w:val="14"/>
        <w:framePr w:wrap="auto" w:vAnchor="margin" w:hAnchor="text" w:yAlign="inline"/>
        <w:bidi w:val="0"/>
        <w:rPr>
          <w:rFonts w:hint="eastAsia" w:ascii="微软雅黑" w:hAnsi="微软雅黑" w:eastAsia="微软雅黑" w:cs="微软雅黑"/>
        </w:rPr>
      </w:pPr>
    </w:p>
    <w:tbl>
      <w:tblPr>
        <w:tblStyle w:val="7"/>
        <w:tblW w:w="9632" w:type="dxa"/>
        <w:tblInd w:w="108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2408"/>
        <w:gridCol w:w="2408"/>
        <w:gridCol w:w="2408"/>
        <w:gridCol w:w="2408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27" w:hRule="atLeast"/>
        </w:trPr>
        <w:tc>
          <w:tcPr>
            <w:tcW w:w="963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286EB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5"/>
              <w:framePr w:wrap="auto" w:vAnchor="margin" w:hAnchor="text" w:yAlign="inline"/>
              <w:spacing w:line="360" w:lineRule="exact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outline w:val="0"/>
                <w:color w:val="FFFFFF"/>
                <w:sz w:val="28"/>
                <w:szCs w:val="28"/>
                <w:rtl w:val="0"/>
              </w:rPr>
              <w:t>基本信息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15" w:hRule="atLeast"/>
        </w:trPr>
        <w:tc>
          <w:tcPr>
            <w:tcW w:w="963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15" w:hRule="atLeast"/>
        </w:trPr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  <w:t>受检者姓名</w:t>
            </w: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  <w:t>订单编号</w:t>
            </w: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90" w:hRule="atLeast"/>
        </w:trPr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  <w:lang w:val="en-US" w:eastAsia="zh-CN"/>
              </w:rPr>
              <w:t>年龄/</w:t>
            </w: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  <w:t>出生日期</w:t>
            </w: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  <w:t>性别</w:t>
            </w: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15" w:hRule="atLeast"/>
        </w:trPr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  <w:t>样本类型</w:t>
            </w: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  <w:t>送检医院</w:t>
            </w: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15" w:hRule="atLeast"/>
        </w:trPr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  <w:t>送检科室</w:t>
            </w: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  <w:t>送检医生</w:t>
            </w: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15" w:hRule="atLeast"/>
        </w:trPr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  <w:t>收样日期</w:t>
            </w: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  <w:t>报告日期</w:t>
            </w:r>
          </w:p>
        </w:tc>
        <w:tc>
          <w:tcPr>
            <w:tcW w:w="24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</w:p>
        </w:tc>
      </w:tr>
    </w:tbl>
    <w:p>
      <w:pPr>
        <w:pStyle w:val="13"/>
        <w:framePr w:wrap="auto" w:vAnchor="margin" w:hAnchor="text" w:yAlign="inline"/>
        <w:shd w:val="clear" w:color="auto" w:fill="auto"/>
        <w:tabs>
          <w:tab w:val="left" w:pos="1440"/>
        </w:tabs>
        <w:suppressAutoHyphens/>
        <w:spacing w:line="360" w:lineRule="exact"/>
        <w:jc w:val="both"/>
        <w:outlineLvl w:val="0"/>
        <w:rPr>
          <w:rFonts w:hint="eastAsia" w:ascii="微软雅黑" w:hAnsi="微软雅黑" w:eastAsia="微软雅黑" w:cs="微软雅黑"/>
          <w:sz w:val="18"/>
          <w:szCs w:val="18"/>
          <w:rtl w:val="0"/>
        </w:rPr>
      </w:pPr>
    </w:p>
    <w:tbl>
      <w:tblPr>
        <w:tblStyle w:val="7"/>
        <w:tblpPr w:leftFromText="180" w:rightFromText="180" w:vertAnchor="text" w:horzAnchor="page" w:tblpX="1263" w:tblpY="143"/>
        <w:tblOverlap w:val="never"/>
        <w:tblW w:w="9632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2358"/>
        <w:gridCol w:w="727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27" w:hRule="atLeast"/>
        </w:trPr>
        <w:tc>
          <w:tcPr>
            <w:tcW w:w="963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286EB8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5"/>
              <w:framePr w:wrap="auto" w:vAnchor="margin" w:hAnchor="text" w:yAlign="inline"/>
              <w:spacing w:line="360" w:lineRule="exact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28"/>
                <w:szCs w:val="28"/>
                <w:rtl w:val="0"/>
              </w:rPr>
              <w:t>临床信息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15" w:hRule="atLeast"/>
        </w:trPr>
        <w:tc>
          <w:tcPr>
            <w:tcW w:w="23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DD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  <w:t>先证者</w:t>
            </w:r>
          </w:p>
        </w:tc>
        <w:tc>
          <w:tcPr>
            <w:tcW w:w="72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rap="auto" w:vAnchor="margin" w:hAnchor="text" w:yAlign="inline"/>
              <w:jc w:val="center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15" w:hRule="atLeast"/>
        </w:trPr>
        <w:tc>
          <w:tcPr>
            <w:tcW w:w="23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DD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  <w:t>父亲</w:t>
            </w:r>
          </w:p>
        </w:tc>
        <w:tc>
          <w:tcPr>
            <w:tcW w:w="72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rap="auto" w:vAnchor="margin" w:hAnchor="text" w:yAlign="inline"/>
              <w:jc w:val="center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15" w:hRule="atLeast"/>
        </w:trPr>
        <w:tc>
          <w:tcPr>
            <w:tcW w:w="23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DD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  <w:t>母亲</w:t>
            </w:r>
          </w:p>
        </w:tc>
        <w:tc>
          <w:tcPr>
            <w:tcW w:w="72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framePr w:wrap="auto" w:vAnchor="margin" w:hAnchor="text" w:yAlign="inline"/>
              <w:jc w:val="center"/>
              <w:rPr>
                <w:rFonts w:hint="eastAsia" w:ascii="微软雅黑" w:hAnsi="微软雅黑" w:eastAsia="微软雅黑" w:cs="微软雅黑"/>
              </w:rPr>
            </w:pPr>
          </w:p>
        </w:tc>
      </w:tr>
    </w:tbl>
    <w:p>
      <w:pPr>
        <w:pStyle w:val="14"/>
        <w:framePr w:wrap="auto" w:vAnchor="margin" w:hAnchor="text" w:yAlign="inline"/>
        <w:bidi w:val="0"/>
        <w:rPr>
          <w:rFonts w:hint="eastAsia" w:ascii="微软雅黑" w:hAnsi="微软雅黑" w:eastAsia="微软雅黑" w:cs="微软雅黑"/>
        </w:rPr>
      </w:pPr>
    </w:p>
    <w:tbl>
      <w:tblPr>
        <w:tblStyle w:val="7"/>
        <w:tblpPr w:leftFromText="180" w:rightFromText="180" w:vertAnchor="text" w:horzAnchor="page" w:tblpX="1276" w:tblpY="30"/>
        <w:tblOverlap w:val="never"/>
        <w:tblW w:w="9654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80"/>
        <w:gridCol w:w="7165"/>
        <w:gridCol w:w="1609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27" w:hRule="atLeast"/>
        </w:trPr>
        <w:tc>
          <w:tcPr>
            <w:tcW w:w="9654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286EB8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5"/>
              <w:framePr w:wrap="auto" w:vAnchor="margin" w:hAnchor="text" w:yAlign="inline"/>
              <w:spacing w:line="360" w:lineRule="exact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28"/>
                <w:szCs w:val="28"/>
                <w:rtl w:val="0"/>
              </w:rPr>
              <w:t>检测分析结果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15" w:hRule="atLeast"/>
        </w:trPr>
        <w:tc>
          <w:tcPr>
            <w:tcW w:w="8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DD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  <w:t>1</w:t>
            </w:r>
          </w:p>
        </w:tc>
        <w:tc>
          <w:tcPr>
            <w:tcW w:w="7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DD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left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  <w:t>与患者表型较相符，致病性可能较高的变异</w:t>
            </w:r>
          </w:p>
        </w:tc>
        <w:tc>
          <w:tcPr>
            <w:tcW w:w="16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15" w:hRule="atLeast"/>
        </w:trPr>
        <w:tc>
          <w:tcPr>
            <w:tcW w:w="8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DD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  <w:t>2</w:t>
            </w:r>
          </w:p>
        </w:tc>
        <w:tc>
          <w:tcPr>
            <w:tcW w:w="7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DD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left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  <w:t>与患者表型较相符，但致病证据不充分，不排除致病可能的变异</w:t>
            </w:r>
          </w:p>
        </w:tc>
        <w:tc>
          <w:tcPr>
            <w:tcW w:w="16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15" w:hRule="atLeast"/>
        </w:trPr>
        <w:tc>
          <w:tcPr>
            <w:tcW w:w="8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DD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  <w:t>3</w:t>
            </w:r>
          </w:p>
        </w:tc>
        <w:tc>
          <w:tcPr>
            <w:tcW w:w="7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DD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left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  <w:t>可指导临床的次级发现</w:t>
            </w:r>
          </w:p>
        </w:tc>
        <w:tc>
          <w:tcPr>
            <w:tcW w:w="16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15" w:hRule="atLeast"/>
        </w:trPr>
        <w:tc>
          <w:tcPr>
            <w:tcW w:w="8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DD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  <w:lang w:val="en-US" w:eastAsia="zh-CN"/>
              </w:rPr>
              <w:t>4</w:t>
            </w:r>
          </w:p>
        </w:tc>
        <w:tc>
          <w:tcPr>
            <w:tcW w:w="7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DD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left"/>
              <w:outlineLvl w:val="0"/>
              <w:rPr>
                <w:rFonts w:hint="default" w:ascii="微软雅黑" w:hAnsi="微软雅黑" w:eastAsia="微软雅黑" w:cs="微软雅黑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  <w:lang w:val="en-US" w:eastAsia="zh-CN"/>
              </w:rPr>
              <w:t>与表型较相符，致病性可能较高的拷贝数变异（CNVs）,详情见附录</w:t>
            </w:r>
          </w:p>
        </w:tc>
        <w:tc>
          <w:tcPr>
            <w:tcW w:w="16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15" w:hRule="atLeast"/>
        </w:trPr>
        <w:tc>
          <w:tcPr>
            <w:tcW w:w="8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DD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  <w:lang w:val="en-US" w:eastAsia="zh-CN"/>
              </w:rPr>
              <w:t>5</w:t>
            </w:r>
          </w:p>
        </w:tc>
        <w:tc>
          <w:tcPr>
            <w:tcW w:w="7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DD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left"/>
              <w:outlineLvl w:val="0"/>
              <w:rPr>
                <w:rFonts w:hint="default" w:ascii="微软雅黑" w:hAnsi="微软雅黑" w:eastAsia="微软雅黑" w:cs="微软雅黑"/>
                <w:sz w:val="18"/>
                <w:szCs w:val="18"/>
                <w:rtl w:val="0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  <w:lang w:val="en-US" w:eastAsia="zh-CN"/>
              </w:rPr>
              <w:t>与表型较相符，致病性可能较高的线粒体变异，详情见附录</w:t>
            </w:r>
          </w:p>
        </w:tc>
        <w:tc>
          <w:tcPr>
            <w:tcW w:w="16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13"/>
              <w:framePr w:wrap="auto" w:vAnchor="margin" w:hAnchor="text" w:yAlign="inline"/>
              <w:shd w:val="clear" w:color="auto" w:fill="auto"/>
              <w:tabs>
                <w:tab w:val="left" w:pos="1440"/>
              </w:tabs>
              <w:suppressAutoHyphens/>
              <w:spacing w:line="360" w:lineRule="exact"/>
              <w:jc w:val="center"/>
              <w:outlineLvl w:val="0"/>
              <w:rPr>
                <w:rFonts w:hint="eastAsia" w:ascii="微软雅黑" w:hAnsi="微软雅黑" w:eastAsia="微软雅黑" w:cs="微软雅黑"/>
                <w:sz w:val="18"/>
                <w:szCs w:val="18"/>
                <w:rtl w:val="0"/>
              </w:rPr>
            </w:pPr>
          </w:p>
        </w:tc>
      </w:tr>
    </w:tbl>
    <w:p>
      <w:pPr>
        <w:pStyle w:val="14"/>
        <w:framePr w:wrap="auto" w:vAnchor="margin" w:hAnchor="text" w:yAlign="inline"/>
        <w:bidi w:val="0"/>
        <w:rPr>
          <w:rFonts w:hint="eastAsia" w:ascii="微软雅黑" w:hAnsi="微软雅黑" w:eastAsia="微软雅黑" w:cs="微软雅黑"/>
        </w:rPr>
      </w:pPr>
    </w:p>
    <w:p>
      <w:pPr>
        <w:pStyle w:val="15"/>
        <w:framePr w:wrap="auto" w:vAnchor="margin" w:hAnchor="text" w:yAlign="inline"/>
        <w:spacing w:line="360" w:lineRule="exact"/>
        <w:jc w:val="left"/>
        <w:rPr>
          <w:rFonts w:hint="eastAsia" w:ascii="微软雅黑" w:hAnsi="微软雅黑" w:eastAsia="微软雅黑" w:cs="微软雅黑"/>
          <w:outline w:val="0"/>
          <w:color w:val="FFFFFF"/>
          <w:sz w:val="28"/>
          <w:szCs w:val="28"/>
          <w:rtl w:val="0"/>
        </w:rPr>
      </w:pPr>
      <w:r>
        <w:rPr>
          <w:rFonts w:hint="eastAsia" w:ascii="微软雅黑" w:hAnsi="微软雅黑" w:eastAsia="微软雅黑" w:cs="微软雅黑"/>
          <w:outline w:val="0"/>
          <w:color w:val="FFFFFF"/>
          <w:sz w:val="28"/>
          <w:szCs w:val="28"/>
          <w:rtl w:val="0"/>
        </w:rPr>
        <w:br w:type="page"/>
      </w:r>
    </w:p>
    <w:tbl>
      <w:tblPr>
        <w:tblStyle w:val="7"/>
        <w:tblW w:w="9632" w:type="dxa"/>
        <w:tblInd w:w="108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9632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27" w:hRule="atLeast"/>
        </w:trPr>
        <w:tc>
          <w:tcPr>
            <w:tcW w:w="9632" w:type="dxa"/>
            <w:tcBorders>
              <w:top w:val="single" w:color="FEFEFE" w:sz="2" w:space="0"/>
              <w:left w:val="single" w:color="FEFEFE" w:sz="2" w:space="0"/>
              <w:bottom w:val="single" w:color="FEFEFE" w:sz="2" w:space="0"/>
              <w:right w:val="single" w:color="FEFEFE" w:sz="2" w:space="0"/>
            </w:tcBorders>
            <w:shd w:val="clear" w:color="auto" w:fill="286EB8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5"/>
              <w:framePr w:wrap="auto" w:vAnchor="margin" w:hAnchor="text" w:yAlign="inline"/>
              <w:spacing w:line="360" w:lineRule="exact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outline w:val="0"/>
                <w:color w:val="FFFFFF"/>
                <w:sz w:val="28"/>
                <w:szCs w:val="28"/>
                <w:rtl w:val="0"/>
              </w:rPr>
              <w:t>检测分析结论</w:t>
            </w:r>
          </w:p>
        </w:tc>
      </w:tr>
    </w:tbl>
    <w:p>
      <w:pPr>
        <w:pStyle w:val="14"/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="微软雅黑" w:hAnsi="微软雅黑" w:eastAsia="微软雅黑" w:cs="微软雅黑"/>
          <w:sz w:val="18"/>
          <w:szCs w:val="18"/>
          <w:lang w:val="en-US"/>
        </w:rPr>
      </w:pP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CN" w:eastAsia="zh-CN"/>
        </w:rPr>
        <w:t>与患者表型较相符，致病性可能较高的变异</w:t>
      </w:r>
    </w:p>
    <w:p>
      <w:pPr>
        <w:pStyle w:val="14"/>
        <w:keepNext w:val="0"/>
        <w:keepLines w:val="0"/>
        <w:pageBreakBefore w:val="0"/>
        <w:framePr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right="0" w:rightChars="0"/>
        <w:jc w:val="left"/>
        <w:textAlignment w:val="auto"/>
        <w:outlineLvl w:val="9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结论1</w:t>
      </w:r>
    </w:p>
    <w:p>
      <w:pPr>
        <w:pStyle w:val="14"/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="微软雅黑" w:hAnsi="微软雅黑" w:eastAsia="微软雅黑" w:cs="微软雅黑"/>
          <w:sz w:val="18"/>
          <w:szCs w:val="18"/>
          <w:lang w:val="en-US"/>
        </w:rPr>
      </w:pPr>
      <w:r>
        <w:rPr>
          <w:rFonts w:hint="eastAsia" w:ascii="微软雅黑" w:hAnsi="微软雅黑" w:eastAsia="微软雅黑" w:cs="微软雅黑"/>
          <w:sz w:val="18"/>
          <w:szCs w:val="18"/>
          <w:rtl w:val="0"/>
          <w:lang w:val="zh-CN" w:eastAsia="zh-CN"/>
        </w:rPr>
        <w:t>与患者表型较相符，但致病证据不充分，不排除致病可能的变异</w:t>
      </w:r>
    </w:p>
    <w:p>
      <w:pPr>
        <w:pStyle w:val="14"/>
        <w:keepNext w:val="0"/>
        <w:keepLines w:val="0"/>
        <w:pageBreakBefore w:val="0"/>
        <w:framePr w:wrap="auto" w:vAnchor="margin" w:hAnchor="text" w:yAlign="inline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right="0" w:rightChars="0"/>
        <w:jc w:val="left"/>
        <w:textAlignment w:val="auto"/>
        <w:outlineLvl w:val="9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结论2</w:t>
      </w:r>
    </w:p>
    <w:p>
      <w:pPr>
        <w:pStyle w:val="14"/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 w:ascii="微软雅黑" w:hAnsi="微软雅黑" w:eastAsia="微软雅黑" w:cs="微软雅黑"/>
          <w:color w:val="auto"/>
          <w:sz w:val="18"/>
          <w:rtl w:val="0"/>
        </w:rPr>
      </w:pPr>
      <w:r>
        <w:rPr>
          <w:rFonts w:hint="eastAsia" w:ascii="微软雅黑" w:hAnsi="微软雅黑" w:eastAsia="微软雅黑" w:cs="微软雅黑"/>
          <w:sz w:val="18"/>
          <w:szCs w:val="18"/>
          <w:rtl w:val="0"/>
          <w:lang w:val="zh-CN" w:eastAsia="zh-CN"/>
        </w:rPr>
        <w:t>指导临床的次级</w:t>
      </w:r>
      <w:r>
        <w:rPr>
          <w:rFonts w:hint="eastAsia" w:ascii="微软雅黑" w:hAnsi="微软雅黑" w:eastAsia="微软雅黑" w:cs="微软雅黑"/>
          <w:sz w:val="18"/>
          <w:szCs w:val="18"/>
          <w:rtl w:val="0"/>
          <w:lang w:val="en-US" w:eastAsia="zh-CN"/>
        </w:rPr>
        <w:t>发现</w:t>
      </w:r>
    </w:p>
    <w:p>
      <w:pPr>
        <w:pStyle w:val="14"/>
        <w:keepNext w:val="0"/>
        <w:keepLines w:val="0"/>
        <w:pageBreakBefore w:val="0"/>
        <w:framePr w:wrap="auto" w:vAnchor="margin" w:hAnchor="text" w:yAlign="inline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 w:right="0" w:rightChars="0"/>
        <w:textAlignment w:val="auto"/>
        <w:rPr>
          <w:rFonts w:hint="eastAsia" w:ascii="微软雅黑" w:hAnsi="微软雅黑" w:eastAsia="微软雅黑" w:cs="微软雅黑"/>
          <w:color w:val="auto"/>
          <w:sz w:val="18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18"/>
          <w:rtl w:val="0"/>
          <w:lang w:val="en-US" w:eastAsia="zh-CN"/>
        </w:rPr>
        <w:t>结论3</w:t>
      </w:r>
    </w:p>
    <w:p>
      <w:pPr>
        <w:pStyle w:val="14"/>
        <w:keepNext w:val="0"/>
        <w:keepLines w:val="0"/>
        <w:pageBreakBefore w:val="0"/>
        <w:framePr w:wrap="auto" w:vAnchor="margin" w:hAnchor="text" w:yAlign="inline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 w:right="0" w:rightChars="0"/>
        <w:textAlignment w:val="auto"/>
        <w:rPr>
          <w:rFonts w:hint="eastAsia" w:ascii="微软雅黑" w:hAnsi="微软雅黑" w:eastAsia="微软雅黑" w:cs="微软雅黑"/>
          <w:color w:val="auto"/>
          <w:sz w:val="18"/>
          <w:rtl w:val="0"/>
        </w:rPr>
      </w:pPr>
      <w:r>
        <w:rPr>
          <w:rFonts w:hint="eastAsia" w:ascii="微软雅黑" w:hAnsi="微软雅黑" w:eastAsia="微软雅黑" w:cs="微软雅黑"/>
          <w:color w:val="auto"/>
          <w:sz w:val="18"/>
          <w:rtl w:val="0"/>
        </w:rPr>
        <w:br w:type="page"/>
      </w:r>
    </w:p>
    <w:tbl>
      <w:tblPr>
        <w:tblStyle w:val="7"/>
        <w:tblW w:w="9632" w:type="dxa"/>
        <w:tblInd w:w="108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9632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27" w:hRule="atLeast"/>
        </w:trPr>
        <w:tc>
          <w:tcPr>
            <w:tcW w:w="9632" w:type="dxa"/>
            <w:tcBorders>
              <w:top w:val="single" w:color="FEFEFE" w:sz="2" w:space="0"/>
              <w:left w:val="single" w:color="FEFEFE" w:sz="2" w:space="0"/>
              <w:bottom w:val="single" w:color="FEFEFE" w:sz="2" w:space="0"/>
              <w:right w:val="single" w:color="FEFEFE" w:sz="2" w:space="0"/>
            </w:tcBorders>
            <w:shd w:val="clear" w:color="auto" w:fill="286EB8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5"/>
              <w:framePr w:wrap="auto" w:vAnchor="margin" w:hAnchor="text" w:yAlign="inline"/>
              <w:spacing w:line="360" w:lineRule="exact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outline w:val="0"/>
                <w:color w:val="FFFFFF"/>
                <w:sz w:val="28"/>
                <w:szCs w:val="28"/>
                <w:rtl w:val="0"/>
              </w:rPr>
              <w:t>检测结果分析</w:t>
            </w:r>
          </w:p>
        </w:tc>
      </w:tr>
    </w:tbl>
    <w:p>
      <w:pPr>
        <w:pStyle w:val="14"/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textAlignment w:val="auto"/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en-US" w:eastAsia="zh-TW"/>
        </w:rPr>
      </w:pP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CN" w:eastAsia="zh-CN"/>
        </w:rPr>
        <w:t>、与患者表型较相符，致病性可能较高的变异</w:t>
      </w:r>
    </w:p>
    <w:p>
      <w:pPr>
        <w:pStyle w:val="14"/>
        <w:keepNext w:val="0"/>
        <w:keepLines w:val="0"/>
        <w:pageBreakBefore w:val="0"/>
        <w:framePr w:wrap="auto" w:vAnchor="margin" w:hAnchor="text" w:yAlign="inline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80" w:firstLineChars="10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uto"/>
          <w:sz w:val="18"/>
          <w:lang w:val="en-US" w:eastAsia="zh-CN"/>
        </w:rPr>
        <w:t>检测1</w:t>
      </w:r>
    </w:p>
    <w:p>
      <w:pPr>
        <w:pStyle w:val="14"/>
        <w:keepNext w:val="0"/>
        <w:keepLines w:val="0"/>
        <w:pageBreakBefore w:val="0"/>
        <w:framePr w:wrap="auto" w:vAnchor="margin" w:hAnchor="text" w:yAlign="inline"/>
        <w:widowControl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CN" w:eastAsia="zh-CN"/>
        </w:rPr>
        <w:t>2、与患者表型较相符，但致病证据不充分，不排除致病可能的变异</w:t>
      </w:r>
    </w:p>
    <w:p>
      <w:pPr>
        <w:ind w:firstLine="180" w:firstLineChars="10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auto"/>
          <w:sz w:val="18"/>
          <w:lang w:val="en-US" w:eastAsia="zh-CN"/>
        </w:rPr>
        <w:t>检测2</w:t>
      </w:r>
    </w:p>
    <w:p>
      <w:pPr>
        <w:pStyle w:val="14"/>
        <w:framePr w:wrap="auto" w:vAnchor="margin" w:hAnchor="text" w:yAlign="inline"/>
        <w:shd w:val="clear" w:color="auto" w:fill="auto"/>
        <w:spacing w:line="360" w:lineRule="exact"/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CN" w:eastAsia="zh-CN"/>
        </w:rPr>
        <w:t>3、可指导临床的次级发现</w:t>
      </w:r>
    </w:p>
    <w:p>
      <w:pPr>
        <w:pStyle w:val="14"/>
        <w:framePr w:wrap="auto" w:vAnchor="margin" w:hAnchor="text" w:yAlign="inline"/>
        <w:shd w:val="clear" w:color="auto" w:fill="auto"/>
        <w:spacing w:line="360" w:lineRule="exact"/>
        <w:ind w:firstLine="180" w:firstLineChars="100"/>
        <w:rPr>
          <w:rFonts w:hint="eastAsia" w:ascii="微软雅黑" w:hAnsi="微软雅黑" w:eastAsia="微软雅黑" w:cs="微软雅黑"/>
          <w:sz w:val="18"/>
        </w:rPr>
      </w:pPr>
      <w:r>
        <w:rPr>
          <w:rFonts w:hint="eastAsia" w:ascii="微软雅黑" w:hAnsi="微软雅黑" w:eastAsia="微软雅黑" w:cs="微软雅黑"/>
          <w:color w:val="auto"/>
          <w:sz w:val="18"/>
          <w:lang w:val="en-US" w:eastAsia="zh-CN"/>
        </w:rPr>
        <w:t>检测3</w:t>
      </w:r>
    </w:p>
    <w:p>
      <w:pPr>
        <w:pStyle w:val="14"/>
        <w:framePr w:wrap="auto" w:vAnchor="margin" w:hAnchor="text" w:yAlign="inline"/>
        <w:shd w:val="clear" w:color="auto" w:fill="auto"/>
        <w:spacing w:line="360" w:lineRule="exact"/>
        <w:rPr>
          <w:rFonts w:hint="eastAsia" w:ascii="微软雅黑" w:hAnsi="微软雅黑" w:eastAsia="微软雅黑" w:cs="微软雅黑"/>
          <w:sz w:val="18"/>
          <w:lang w:val="en-US" w:eastAsia="zh-CN"/>
        </w:rPr>
      </w:pPr>
    </w:p>
    <w:p>
      <w:pPr>
        <w:framePr w:wrap="auto" w:vAnchor="margin" w:hAnchor="text" w:yAlign="inline"/>
        <w:rPr>
          <w:rFonts w:hint="eastAsia" w:ascii="微软雅黑" w:hAnsi="微软雅黑" w:eastAsia="微软雅黑" w:cs="微软雅黑"/>
          <w:sz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lang w:val="en-US" w:eastAsia="zh-CN"/>
        </w:rPr>
        <w:br w:type="page"/>
      </w:r>
    </w:p>
    <w:tbl>
      <w:tblPr>
        <w:tblStyle w:val="7"/>
        <w:tblpPr w:leftFromText="180" w:rightFromText="180" w:vertAnchor="text" w:horzAnchor="page" w:tblpX="1200" w:tblpY="129"/>
        <w:tblOverlap w:val="never"/>
        <w:tblW w:w="9637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963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327" w:hRule="atLeast"/>
        </w:trPr>
        <w:tc>
          <w:tcPr>
            <w:tcW w:w="9637" w:type="dxa"/>
            <w:tcBorders>
              <w:top w:val="single" w:color="FEFEFE" w:sz="2" w:space="0"/>
              <w:left w:val="single" w:color="FEFEFE" w:sz="2" w:space="0"/>
              <w:bottom w:val="single" w:color="FEFEFE" w:sz="2" w:space="0"/>
              <w:right w:val="single" w:color="FEFEFE" w:sz="2" w:space="0"/>
            </w:tcBorders>
            <w:shd w:val="clear" w:color="auto" w:fill="286EB8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5"/>
              <w:framePr w:wrap="auto" w:vAnchor="margin" w:hAnchor="text" w:yAlign="inline"/>
              <w:spacing w:line="360" w:lineRule="exact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28"/>
                <w:szCs w:val="28"/>
                <w:rtl w:val="0"/>
              </w:rPr>
              <w:t>附录 1</w:t>
            </w:r>
          </w:p>
        </w:tc>
      </w:tr>
    </w:tbl>
    <w:tbl>
      <w:tblPr>
        <w:tblStyle w:val="8"/>
        <w:tblpPr w:leftFromText="180" w:rightFromText="180" w:vertAnchor="text" w:horzAnchor="page" w:tblpX="1220" w:tblpY="650"/>
        <w:tblOverlap w:val="never"/>
        <w:tblW w:w="0" w:type="auto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8292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42" w:type="dxa"/>
            <w:gridSpan w:val="2"/>
            <w:tcBorders>
              <w:top w:val="nil"/>
              <w:left w:val="nil"/>
              <w:right w:val="nil"/>
              <w:tl2br w:val="nil"/>
              <w:tr2bl w:val="nil"/>
            </w:tcBorders>
          </w:tcPr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18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24"/>
                <w:szCs w:val="24"/>
                <w:u w:val="none" w:color="auto"/>
                <w:vertAlign w:val="baseline"/>
                <w:rtl w:val="0"/>
                <w:lang w:val="en-US" w:eastAsia="zh-CN"/>
              </w:rPr>
              <w:t>ACMG 指南有害证据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50" w:type="dxa"/>
            <w:tcBorders>
              <w:tl2br w:val="nil"/>
              <w:tr2bl w:val="nil"/>
            </w:tcBorders>
            <w:shd w:val="clear" w:color="auto" w:fill="CCDDF2"/>
            <w:vAlign w:val="center"/>
          </w:tcPr>
          <w:p>
            <w:pPr>
              <w:pStyle w:val="15"/>
              <w:framePr w:wrap="auto" w:vAnchor="margin" w:hAnchor="text" w:yAlign="inline"/>
              <w:shd w:val="clear" w:color="auto" w:fill="auto"/>
              <w:ind w:left="0" w:leftChars="0" w:right="0" w:rightChars="0" w:firstLine="0" w:firstLineChars="0"/>
              <w:jc w:val="center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24"/>
                <w:szCs w:val="24"/>
                <w:u w:val="none" w:color="auto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24"/>
                <w:szCs w:val="24"/>
                <w:u w:val="none" w:color="auto"/>
                <w:vertAlign w:val="baseline"/>
                <w:rtl w:val="0"/>
                <w:lang w:val="en-US" w:eastAsia="zh-CN"/>
              </w:rPr>
              <w:t>分类</w:t>
            </w:r>
          </w:p>
        </w:tc>
        <w:tc>
          <w:tcPr>
            <w:tcW w:w="8292" w:type="dxa"/>
            <w:tcBorders>
              <w:tl2br w:val="nil"/>
              <w:tr2bl w:val="nil"/>
            </w:tcBorders>
            <w:shd w:val="clear" w:color="auto" w:fill="CCDDF2"/>
            <w:vAlign w:val="center"/>
          </w:tcPr>
          <w:p>
            <w:pPr>
              <w:pStyle w:val="15"/>
              <w:framePr w:wrap="auto" w:vAnchor="margin" w:hAnchor="text" w:yAlign="inline"/>
              <w:shd w:val="clear" w:color="auto" w:fill="auto"/>
              <w:ind w:left="0" w:leftChars="0" w:right="0" w:rightChars="0" w:firstLine="0" w:firstLineChars="0"/>
              <w:jc w:val="center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24"/>
                <w:szCs w:val="24"/>
                <w:u w:val="none" w:color="auto"/>
                <w:vertAlign w:val="baseline"/>
                <w:rtl w:val="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24"/>
                <w:szCs w:val="24"/>
                <w:u w:val="none" w:color="auto"/>
                <w:vertAlign w:val="baseline"/>
                <w:rtl w:val="0"/>
                <w:lang w:val="en-US" w:eastAsia="zh-CN"/>
              </w:rPr>
              <w:t>证据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50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非常强证据</w:t>
            </w:r>
          </w:p>
        </w:tc>
        <w:tc>
          <w:tcPr>
            <w:tcW w:w="829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PVS1：当某基因致病机制为功能缺失（Loss-of-function, LOF）时，该基因上的影响了较长</w:t>
            </w:r>
          </w:p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肽链或重要功能域的无义变异或移码变异、经过功能学实验验证的±1 或 2 位置的剪接变异、起</w:t>
            </w:r>
          </w:p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始密码子变异、单个或多个外显子缺失变异。（软件预测经典位置的±1 或 2 剪接变异影响</w:t>
            </w:r>
          </w:p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mRNA 前体剪接，但无功能学研究证据支持的，降级 PS）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50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强证据</w:t>
            </w:r>
          </w:p>
        </w:tc>
        <w:tc>
          <w:tcPr>
            <w:tcW w:w="829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PS1：一种错义变异依据 ACMG 标准是致病的，则推测引起相同的错义变异的另一核酸变异也</w:t>
            </w:r>
          </w:p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致病。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50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14"/>
              <w:framePr w:wrap="auto" w:vAnchor="margin" w:hAnchor="text" w:yAlign="inline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pacing w:line="360" w:lineRule="exact"/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</w:p>
        </w:tc>
        <w:tc>
          <w:tcPr>
            <w:tcW w:w="829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PS2：新生变异（De novo）。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50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14"/>
              <w:framePr w:wrap="auto" w:vAnchor="margin" w:hAnchor="text" w:yAlign="inline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pacing w:line="360" w:lineRule="exact"/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</w:p>
        </w:tc>
        <w:tc>
          <w:tcPr>
            <w:tcW w:w="829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PS3：充分的功能学研究证实此变异影响基因的正常功能。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50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14"/>
              <w:framePr w:wrap="auto" w:vAnchor="margin" w:hAnchor="text" w:yAlign="inline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pacing w:line="360" w:lineRule="exact"/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</w:p>
        </w:tc>
        <w:tc>
          <w:tcPr>
            <w:tcW w:w="829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PS4：在大样本的数据中，变异出现在相关病患群体中的频率显著高于对照群体。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50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中等证据</w:t>
            </w:r>
          </w:p>
        </w:tc>
        <w:tc>
          <w:tcPr>
            <w:tcW w:w="829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PM1：位于突变热点和/或位于已知无良性变异的重要功能域。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50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14"/>
              <w:framePr w:wrap="auto" w:vAnchor="margin" w:hAnchor="text" w:yAlign="inline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pacing w:line="360" w:lineRule="exact"/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</w:p>
        </w:tc>
        <w:tc>
          <w:tcPr>
            <w:tcW w:w="829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PM2：变异在 gnomAD 数据库东亚人群、千人项目中国人群、ExAC 数据库东亚人群中的携带</w:t>
            </w:r>
          </w:p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频率低于疾病致病等位基因频率。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50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14"/>
              <w:framePr w:wrap="auto" w:vAnchor="margin" w:hAnchor="text" w:yAlign="inline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pacing w:line="360" w:lineRule="exact"/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</w:p>
        </w:tc>
        <w:tc>
          <w:tcPr>
            <w:tcW w:w="829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PM3：对于隐性遗传病，与一个已知的致病或可能致病变异组成复合杂合变异。（若检出病例</w:t>
            </w:r>
          </w:p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携带此纯合变异，且此变异满足 PM2，可降级给 PP 证据；如果在多例不相关患者中多次检测</w:t>
            </w:r>
          </w:p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到反式位置存在另一致病变异，可升级 PS 或者 PVS）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50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14"/>
              <w:framePr w:wrap="auto" w:vAnchor="margin" w:hAnchor="text" w:yAlign="inline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pacing w:line="360" w:lineRule="exact"/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</w:p>
        </w:tc>
        <w:tc>
          <w:tcPr>
            <w:tcW w:w="829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PM4：非重复区、功能区的多个氨基酸的非移码缺失或插入，或者终止密码子变异、移码变异</w:t>
            </w:r>
          </w:p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导致肽链延伸的变异。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50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14"/>
              <w:framePr w:wrap="auto" w:vAnchor="margin" w:hAnchor="text" w:yAlign="inline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pacing w:line="360" w:lineRule="exact"/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</w:p>
        </w:tc>
        <w:tc>
          <w:tcPr>
            <w:tcW w:w="829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PM5：已知一种错义变异依据 ACMG 标准是致病的，则相同位置的另一错义变异也可能具有致</w:t>
            </w:r>
          </w:p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病性。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50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14"/>
              <w:framePr w:wrap="auto" w:vAnchor="margin" w:hAnchor="text" w:yAlign="inline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pacing w:line="360" w:lineRule="exact"/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</w:p>
        </w:tc>
        <w:tc>
          <w:tcPr>
            <w:tcW w:w="829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PM6：推测为 de novo 变异。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50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center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支持证据</w:t>
            </w:r>
          </w:p>
        </w:tc>
        <w:tc>
          <w:tcPr>
            <w:tcW w:w="829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PP1：变异与疾病在家系中共分离（在家系的多个患者中检测到此变异，而健康成员未携带或杂</w:t>
            </w:r>
          </w:p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合携带不致病）。（依据家系中受检测成员的多少、满足变异与疾病共分离的家系数目、家系</w:t>
            </w:r>
          </w:p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的种族差异，可进一步升级 PM，甚至 PS）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50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14"/>
              <w:framePr w:wrap="auto" w:vAnchor="margin" w:hAnchor="text" w:yAlign="inline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pacing w:line="360" w:lineRule="exact"/>
              <w:jc w:val="both"/>
              <w:rPr>
                <w:rFonts w:hint="eastAsia" w:ascii="微软雅黑" w:hAnsi="微软雅黑" w:eastAsia="微软雅黑" w:cs="微软雅黑"/>
                <w:sz w:val="18"/>
                <w:vertAlign w:val="baseline"/>
              </w:rPr>
            </w:pPr>
          </w:p>
        </w:tc>
        <w:tc>
          <w:tcPr>
            <w:tcW w:w="829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PP2：在某基因中良性的错义变异比例很低，且该基因中的错义变异是导致疾病发生的主要原</w:t>
            </w:r>
          </w:p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因，则该基因上的错义变异适用该证据。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50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14"/>
              <w:framePr w:wrap="auto" w:vAnchor="margin" w:hAnchor="text" w:yAlign="inline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pacing w:line="360" w:lineRule="exact"/>
              <w:jc w:val="both"/>
              <w:rPr>
                <w:rFonts w:hint="eastAsia" w:ascii="微软雅黑" w:hAnsi="微软雅黑" w:eastAsia="微软雅黑" w:cs="微软雅黑"/>
                <w:sz w:val="18"/>
                <w:vertAlign w:val="baseline"/>
              </w:rPr>
            </w:pPr>
          </w:p>
        </w:tc>
        <w:tc>
          <w:tcPr>
            <w:tcW w:w="829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PP3：多种算法均预测此变异会对基因或基因产物功能有害。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350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14"/>
              <w:framePr w:wrap="auto" w:vAnchor="margin" w:hAnchor="text" w:yAlign="inline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pacing w:line="360" w:lineRule="exact"/>
              <w:jc w:val="both"/>
              <w:rPr>
                <w:rFonts w:hint="eastAsia" w:ascii="微软雅黑" w:hAnsi="微软雅黑" w:eastAsia="微软雅黑" w:cs="微软雅黑"/>
                <w:sz w:val="18"/>
                <w:vertAlign w:val="baseline"/>
              </w:rPr>
            </w:pPr>
          </w:p>
        </w:tc>
        <w:tc>
          <w:tcPr>
            <w:tcW w:w="8292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PP4：变异携带者的临床表型与某种单基因遗传病的特征高度一致，且对照设置中未检出该变</w:t>
            </w:r>
          </w:p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>异。</w:t>
            </w:r>
          </w:p>
        </w:tc>
      </w:tr>
    </w:tbl>
    <w:p>
      <w:pPr>
        <w:framePr w:wrap="auto" w:vAnchor="margin" w:hAnchor="text" w:yAlign="inline"/>
        <w:rPr>
          <w:rFonts w:hint="eastAsia" w:ascii="微软雅黑" w:hAnsi="微软雅黑" w:eastAsia="微软雅黑" w:cs="微软雅黑"/>
          <w:sz w:val="18"/>
        </w:rPr>
      </w:pPr>
      <w:r>
        <w:rPr>
          <w:rFonts w:hint="eastAsia" w:ascii="微软雅黑" w:hAnsi="微软雅黑" w:eastAsia="微软雅黑" w:cs="微软雅黑"/>
          <w:sz w:val="18"/>
        </w:rPr>
        <w:br w:type="page"/>
      </w:r>
    </w:p>
    <w:tbl>
      <w:tblPr>
        <w:tblStyle w:val="8"/>
        <w:tblpPr w:leftFromText="180" w:rightFromText="180" w:vertAnchor="text" w:horzAnchor="page" w:tblpX="1229" w:tblpY="144"/>
        <w:tblOverlap w:val="never"/>
        <w:tblW w:w="0" w:type="auto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2"/>
        <w:gridCol w:w="8161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3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15"/>
              <w:framePr w:wrap="auto" w:vAnchor="margin" w:hAnchor="text" w:yAlign="inline"/>
              <w:ind w:left="0" w:leftChars="0" w:right="0" w:rightChars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24"/>
                <w:szCs w:val="24"/>
                <w:u w:val="none" w:color="auto"/>
                <w:vertAlign w:val="baseline"/>
                <w:rtl w:val="0"/>
                <w:lang w:val="zh-TW" w:eastAsia="zh-TW"/>
              </w:rPr>
              <w:t>ACMG 指南良性证据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472" w:type="dxa"/>
            <w:tcBorders>
              <w:tl2br w:val="nil"/>
              <w:tr2bl w:val="nil"/>
            </w:tcBorders>
            <w:shd w:val="clear" w:color="auto" w:fill="CCDDF2"/>
            <w:vAlign w:val="center"/>
          </w:tcPr>
          <w:p>
            <w:pPr>
              <w:pStyle w:val="15"/>
              <w:framePr w:wrap="auto" w:vAnchor="margin" w:hAnchor="text" w:yAlign="inline"/>
              <w:shd w:val="clear" w:color="auto" w:fill="auto"/>
              <w:ind w:left="0" w:leftChars="0" w:right="0" w:rightChars="0" w:firstLine="0" w:firstLineChars="0"/>
              <w:jc w:val="center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24"/>
                <w:szCs w:val="24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24"/>
                <w:szCs w:val="24"/>
                <w:u w:val="none" w:color="auto"/>
                <w:vertAlign w:val="baseline"/>
                <w:rtl w:val="0"/>
                <w:lang w:val="zh-TW" w:eastAsia="zh-TW"/>
              </w:rPr>
              <w:t>分类</w:t>
            </w:r>
          </w:p>
        </w:tc>
        <w:tc>
          <w:tcPr>
            <w:tcW w:w="8161" w:type="dxa"/>
            <w:tcBorders>
              <w:tl2br w:val="nil"/>
              <w:tr2bl w:val="nil"/>
            </w:tcBorders>
            <w:shd w:val="clear" w:color="auto" w:fill="CCDDF2"/>
            <w:vAlign w:val="center"/>
          </w:tcPr>
          <w:p>
            <w:pPr>
              <w:pStyle w:val="15"/>
              <w:framePr w:wrap="auto" w:vAnchor="margin" w:hAnchor="text" w:yAlign="inline"/>
              <w:shd w:val="clear" w:color="auto" w:fill="auto"/>
              <w:ind w:left="0" w:leftChars="0" w:right="0" w:rightChars="0" w:firstLine="0" w:firstLineChars="0"/>
              <w:jc w:val="center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24"/>
                <w:szCs w:val="24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24"/>
                <w:szCs w:val="24"/>
                <w:u w:val="none" w:color="auto"/>
                <w:vertAlign w:val="baseline"/>
                <w:rtl w:val="0"/>
                <w:lang w:val="zh-TW" w:eastAsia="zh-TW"/>
              </w:rPr>
              <w:t>证据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472" w:type="dxa"/>
            <w:tcBorders>
              <w:tl2br w:val="nil"/>
              <w:tr2bl w:val="nil"/>
            </w:tcBorders>
            <w:vAlign w:val="center"/>
          </w:tcPr>
          <w:p>
            <w:pPr>
              <w:pStyle w:val="15"/>
              <w:framePr w:wrap="auto" w:vAnchor="margin" w:hAnchor="text" w:yAlign="inline"/>
              <w:ind w:left="0" w:leftChars="0" w:right="0" w:rightChars="0" w:firstLine="0" w:firstLineChars="0"/>
              <w:jc w:val="center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独立证据</w:t>
            </w:r>
          </w:p>
        </w:tc>
        <w:tc>
          <w:tcPr>
            <w:tcW w:w="8161" w:type="dxa"/>
            <w:tcBorders>
              <w:tl2br w:val="nil"/>
              <w:tr2bl w:val="nil"/>
            </w:tcBorders>
            <w:vAlign w:val="center"/>
          </w:tcPr>
          <w:p>
            <w:pPr>
              <w:pStyle w:val="15"/>
              <w:framePr w:wrap="auto" w:vAnchor="margin" w:hAnchor="text" w:yAlign="inline"/>
              <w:shd w:val="clear" w:color="auto" w:fill="auto"/>
              <w:ind w:left="0" w:leftChars="0" w:right="0" w:rightChars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BA1：ESP数据库、千人数据库或ExAC数据库中等位基因频率&gt;5%的变异。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472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pStyle w:val="15"/>
              <w:framePr w:wrap="auto" w:vAnchor="margin" w:hAnchor="text" w:yAlign="inline"/>
              <w:jc w:val="center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</w:p>
          <w:p>
            <w:pPr>
              <w:pStyle w:val="15"/>
              <w:framePr w:wrap="auto" w:vAnchor="margin" w:hAnchor="text" w:yAlign="inline"/>
              <w:ind w:left="0" w:leftChars="0" w:right="0" w:rightChars="0" w:firstLine="0" w:firstLineChars="0"/>
              <w:jc w:val="center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强证据</w:t>
            </w:r>
          </w:p>
        </w:tc>
        <w:tc>
          <w:tcPr>
            <w:tcW w:w="8161" w:type="dxa"/>
            <w:tcBorders>
              <w:tl2br w:val="nil"/>
              <w:tr2bl w:val="nil"/>
            </w:tcBorders>
            <w:vAlign w:val="center"/>
          </w:tcPr>
          <w:p>
            <w:pPr>
              <w:pStyle w:val="15"/>
              <w:framePr w:wrap="auto" w:vAnchor="margin" w:hAnchor="text" w:yAlign="inline"/>
              <w:shd w:val="clear" w:color="auto" w:fill="auto"/>
              <w:ind w:left="0" w:leftChars="0" w:right="0" w:rightChars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BS1：变异频率大于疾病致病等位频率。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472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/>
                <w:spacing w:val="0"/>
                <w:kern w:val="0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</w:pPr>
          </w:p>
        </w:tc>
        <w:tc>
          <w:tcPr>
            <w:tcW w:w="8161" w:type="dxa"/>
            <w:tcBorders>
              <w:tl2br w:val="nil"/>
              <w:tr2bl w:val="nil"/>
            </w:tcBorders>
            <w:vAlign w:val="center"/>
          </w:tcPr>
          <w:p>
            <w:pPr>
              <w:pStyle w:val="15"/>
              <w:framePr w:wrap="auto" w:vAnchor="margin" w:hAnchor="text" w:yAlign="inline"/>
              <w:shd w:val="clear" w:color="auto" w:fill="auto"/>
              <w:ind w:left="0" w:leftChars="0" w:right="0" w:rightChars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BS2：对于早期完全外显的疾病，在健康成年人中所发现的如下变异：对于隐性遗传病的纯合变异、显性遗传病的杂合变异，或者X连锁遗传病的半合子变异。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472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/>
                <w:spacing w:val="0"/>
                <w:kern w:val="0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</w:pPr>
          </w:p>
        </w:tc>
        <w:tc>
          <w:tcPr>
            <w:tcW w:w="8161" w:type="dxa"/>
            <w:tcBorders>
              <w:tl2br w:val="nil"/>
              <w:tr2bl w:val="nil"/>
            </w:tcBorders>
            <w:vAlign w:val="center"/>
          </w:tcPr>
          <w:p>
            <w:pPr>
              <w:pStyle w:val="15"/>
              <w:framePr w:wrap="auto" w:vAnchor="margin" w:hAnchor="text" w:yAlign="inline"/>
              <w:shd w:val="clear" w:color="auto" w:fill="auto"/>
              <w:ind w:left="0" w:leftChars="0" w:right="0" w:rightChars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BS3：功能学研究证实该变异对基因表达或基因产物功能没有显著影响。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472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/>
                <w:spacing w:val="0"/>
                <w:kern w:val="0"/>
                <w:position w:val="0"/>
                <w:sz w:val="18"/>
                <w:szCs w:val="18"/>
                <w:u w:val="none" w:color="000000"/>
                <w:vertAlign w:val="baseline"/>
                <w:rtl w:val="0"/>
                <w:lang w:val="zh-TW" w:eastAsia="zh-TW"/>
              </w:rPr>
            </w:pPr>
          </w:p>
        </w:tc>
        <w:tc>
          <w:tcPr>
            <w:tcW w:w="8161" w:type="dxa"/>
            <w:tcBorders>
              <w:tl2br w:val="nil"/>
              <w:tr2bl w:val="nil"/>
            </w:tcBorders>
            <w:vAlign w:val="center"/>
          </w:tcPr>
          <w:p>
            <w:pPr>
              <w:pStyle w:val="15"/>
              <w:framePr w:wrap="auto" w:vAnchor="margin" w:hAnchor="text" w:yAlign="inline"/>
              <w:shd w:val="clear" w:color="auto" w:fill="auto"/>
              <w:ind w:left="0" w:leftChars="0" w:right="0" w:rightChars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BS4：在家系中缺乏疾病与变异共分离。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472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pStyle w:val="15"/>
              <w:framePr w:wrap="auto" w:vAnchor="margin" w:hAnchor="text" w:yAlign="inline"/>
              <w:jc w:val="center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</w:p>
          <w:p>
            <w:pPr>
              <w:pStyle w:val="15"/>
              <w:framePr w:wrap="auto" w:vAnchor="margin" w:hAnchor="text" w:yAlign="inline"/>
              <w:ind w:left="0" w:leftChars="0" w:right="0" w:rightChars="0" w:firstLine="0" w:firstLineChars="0"/>
              <w:jc w:val="center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支持证据</w:t>
            </w:r>
          </w:p>
        </w:tc>
        <w:tc>
          <w:tcPr>
            <w:tcW w:w="8161" w:type="dxa"/>
            <w:tcBorders>
              <w:tl2br w:val="nil"/>
              <w:tr2bl w:val="nil"/>
            </w:tcBorders>
            <w:vAlign w:val="center"/>
          </w:tcPr>
          <w:p>
            <w:pPr>
              <w:pStyle w:val="15"/>
              <w:framePr w:wrap="auto" w:vAnchor="margin" w:hAnchor="text" w:yAlign="inline"/>
              <w:shd w:val="clear" w:color="auto" w:fill="auto"/>
              <w:ind w:left="0" w:leftChars="0" w:right="0" w:rightChars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BP1：已知某种疾病主要由某基因的截短变异所导致，则在该基因上所检出的错义变异适用此证据。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472" w:type="dxa"/>
            <w:vMerge w:val="continue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both"/>
              <w:outlineLvl w:val="9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zh-TW" w:eastAsia="zh-TW"/>
              </w:rPr>
            </w:pPr>
          </w:p>
        </w:tc>
        <w:tc>
          <w:tcPr>
            <w:tcW w:w="8161" w:type="dxa"/>
            <w:tcBorders>
              <w:tl2br w:val="nil"/>
              <w:tr2bl w:val="nil"/>
            </w:tcBorders>
            <w:vAlign w:val="center"/>
          </w:tcPr>
          <w:p>
            <w:pPr>
              <w:pStyle w:val="15"/>
              <w:framePr w:wrap="auto" w:vAnchor="margin" w:hAnchor="text" w:yAlign="inline"/>
              <w:shd w:val="clear" w:color="auto" w:fill="auto"/>
              <w:ind w:left="0" w:leftChars="0" w:right="0" w:rightChars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BP2：对于显性遗传疾病，在该变异的反式或顺式位置发现另一个致病变异；对于隐性遗传疾病，在该变异的顺式位置发现另一个致病变异。（病例的临床表型加重的情况下，不适用）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472" w:type="dxa"/>
            <w:vMerge w:val="continue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both"/>
              <w:outlineLvl w:val="9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zh-TW" w:eastAsia="zh-TW"/>
              </w:rPr>
            </w:pPr>
          </w:p>
        </w:tc>
        <w:tc>
          <w:tcPr>
            <w:tcW w:w="8161" w:type="dxa"/>
            <w:tcBorders>
              <w:tl2br w:val="nil"/>
              <w:tr2bl w:val="nil"/>
            </w:tcBorders>
            <w:vAlign w:val="center"/>
          </w:tcPr>
          <w:p>
            <w:pPr>
              <w:pStyle w:val="15"/>
              <w:framePr w:wrap="auto" w:vAnchor="margin" w:hAnchor="text" w:yAlign="inline"/>
              <w:shd w:val="clear" w:color="auto" w:fill="auto"/>
              <w:ind w:left="0" w:leftChars="0" w:right="0" w:rightChars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BP3：非功能区且在重复区内的小片段非移码插入/缺失。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472" w:type="dxa"/>
            <w:vMerge w:val="continue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both"/>
              <w:outlineLvl w:val="9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zh-TW" w:eastAsia="zh-TW"/>
              </w:rPr>
            </w:pPr>
          </w:p>
        </w:tc>
        <w:tc>
          <w:tcPr>
            <w:tcW w:w="8161" w:type="dxa"/>
            <w:tcBorders>
              <w:tl2br w:val="nil"/>
              <w:tr2bl w:val="nil"/>
            </w:tcBorders>
            <w:vAlign w:val="center"/>
          </w:tcPr>
          <w:p>
            <w:pPr>
              <w:pStyle w:val="15"/>
              <w:framePr w:wrap="auto" w:vAnchor="margin" w:hAnchor="text" w:yAlign="inline"/>
              <w:shd w:val="clear" w:color="auto" w:fill="auto"/>
              <w:ind w:left="0" w:leftChars="0" w:right="0" w:rightChars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BP4：多种算法均预测此变异对基因或基因产物功能无害。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472" w:type="dxa"/>
            <w:vMerge w:val="continue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both"/>
              <w:outlineLvl w:val="9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zh-TW" w:eastAsia="zh-TW"/>
              </w:rPr>
            </w:pPr>
          </w:p>
        </w:tc>
        <w:tc>
          <w:tcPr>
            <w:tcW w:w="8161" w:type="dxa"/>
            <w:tcBorders>
              <w:tl2br w:val="nil"/>
              <w:tr2bl w:val="nil"/>
            </w:tcBorders>
            <w:vAlign w:val="center"/>
          </w:tcPr>
          <w:p>
            <w:pPr>
              <w:pStyle w:val="15"/>
              <w:framePr w:wrap="auto" w:vAnchor="margin" w:hAnchor="text" w:yAlign="inline"/>
              <w:shd w:val="clear" w:color="auto" w:fill="auto"/>
              <w:ind w:left="0" w:leftChars="0" w:right="0" w:rightChars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BP5：病例携带另一致病基因的致病变异。（病例的临床表型加重的情况下，不适用）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472" w:type="dxa"/>
            <w:vMerge w:val="continue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both"/>
              <w:outlineLvl w:val="9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zh-TW" w:eastAsia="zh-TW"/>
              </w:rPr>
            </w:pPr>
          </w:p>
        </w:tc>
        <w:tc>
          <w:tcPr>
            <w:tcW w:w="8161" w:type="dxa"/>
            <w:tcBorders>
              <w:tl2br w:val="nil"/>
              <w:tr2bl w:val="nil"/>
            </w:tcBorders>
            <w:vAlign w:val="center"/>
          </w:tcPr>
          <w:p>
            <w:pPr>
              <w:pStyle w:val="15"/>
              <w:framePr w:wrap="auto" w:vAnchor="margin" w:hAnchor="text" w:yAlign="inline"/>
              <w:shd w:val="clear" w:color="auto" w:fill="auto"/>
              <w:ind w:left="0" w:leftChars="0" w:right="0" w:rightChars="0" w:firstLine="0" w:firstLineChars="0"/>
              <w:jc w:val="left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BP6：Clinvar数据库收录该变异为良性或可能良性，星级≥1。</w:t>
            </w:r>
          </w:p>
        </w:tc>
      </w:tr>
    </w:tbl>
    <w:p>
      <w:pPr>
        <w:framePr w:wrap="auto" w:vAnchor="margin" w:hAnchor="text" w:yAlign="inline"/>
        <w:rPr>
          <w:rFonts w:hint="eastAsia" w:ascii="Times New Roman" w:hAnsi="Times New Roman" w:eastAsia="Arial Unicode MS" w:cs="Times New Roman"/>
          <w:color w:val="auto"/>
          <w:spacing w:val="0"/>
          <w:w w:val="100"/>
          <w:kern w:val="0"/>
          <w:position w:val="0"/>
          <w:sz w:val="24"/>
          <w:szCs w:val="24"/>
          <w:u w:val="none" w:color="auto"/>
          <w:vertAlign w:val="baseline"/>
          <w:lang w:val="en-US" w:eastAsia="en-US" w:bidi="ar-SA"/>
        </w:rPr>
      </w:pPr>
    </w:p>
    <w:p>
      <w:pPr>
        <w:framePr w:wrap="auto" w:vAnchor="margin" w:hAnchor="text" w:yAlign="inline"/>
        <w:rPr>
          <w:rFonts w:hint="eastAsia" w:ascii="Times New Roman" w:hAnsi="Times New Roman" w:eastAsia="Arial Unicode MS" w:cs="Times New Roman"/>
          <w:color w:val="auto"/>
          <w:spacing w:val="0"/>
          <w:w w:val="100"/>
          <w:kern w:val="0"/>
          <w:position w:val="0"/>
          <w:sz w:val="24"/>
          <w:szCs w:val="24"/>
          <w:u w:val="none" w:color="auto"/>
          <w:vertAlign w:val="baseline"/>
          <w:lang w:val="en-US" w:eastAsia="en-US" w:bidi="ar-SA"/>
        </w:rPr>
      </w:pPr>
    </w:p>
    <w:tbl>
      <w:tblPr>
        <w:tblStyle w:val="8"/>
        <w:tblW w:w="0" w:type="auto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9"/>
        <w:gridCol w:w="8285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8" w:hRule="atLeast"/>
        </w:trPr>
        <w:tc>
          <w:tcPr>
            <w:tcW w:w="9854" w:type="dxa"/>
            <w:gridSpan w:val="2"/>
            <w:tcBorders>
              <w:tl2br w:val="nil"/>
              <w:tr2bl w:val="nil"/>
            </w:tcBorders>
            <w:shd w:val="clear" w:color="auto" w:fill="CCDDF2"/>
            <w:vAlign w:val="center"/>
          </w:tcPr>
          <w:p>
            <w:pPr>
              <w:pStyle w:val="14"/>
              <w:framePr w:wrap="auto" w:vAnchor="margin" w:hAnchor="text" w:yAlign="inline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pacing w:line="360" w:lineRule="exact"/>
              <w:jc w:val="both"/>
              <w:rPr>
                <w:rFonts w:hint="default" w:ascii="微软雅黑" w:hAnsi="微软雅黑" w:eastAsia="微软雅黑" w:cs="微软雅黑"/>
                <w:color w:val="FFFFFF"/>
                <w:sz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24"/>
                <w:szCs w:val="24"/>
                <w:u w:val="none" w:color="auto"/>
                <w:vertAlign w:val="baseline"/>
                <w:rtl w:val="0"/>
                <w:lang w:val="zh-TW" w:eastAsia="zh-TW"/>
              </w:rPr>
              <w:t>ACMG 指南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24"/>
                <w:szCs w:val="24"/>
                <w:u w:val="none" w:color="auto"/>
                <w:vertAlign w:val="baseline"/>
                <w:rtl w:val="0"/>
                <w:lang w:val="en-US" w:eastAsia="zh-CN"/>
              </w:rPr>
              <w:t>致病性分类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9" w:type="dxa"/>
            <w:tcBorders>
              <w:tl2br w:val="nil"/>
              <w:tr2bl w:val="nil"/>
            </w:tcBorders>
            <w:vAlign w:val="center"/>
          </w:tcPr>
          <w:p>
            <w:pPr>
              <w:pStyle w:val="14"/>
              <w:framePr w:wrap="auto" w:vAnchor="margin" w:hAnchor="text" w:yAlign="inline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pacing w:line="360" w:lineRule="exact"/>
              <w:jc w:val="center"/>
              <w:rPr>
                <w:rFonts w:hint="eastAsia" w:ascii="微软雅黑" w:hAnsi="微软雅黑" w:eastAsia="微软雅黑" w:cs="微软雅黑"/>
                <w:sz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vertAlign w:val="baseline"/>
                <w:lang w:val="en-US" w:eastAsia="zh-CN"/>
              </w:rPr>
              <w:t>致病</w:t>
            </w:r>
          </w:p>
        </w:tc>
        <w:tc>
          <w:tcPr>
            <w:tcW w:w="8285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  <w:t xml:space="preserve">(i) 1 个 PVS 证据和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  <w:t xml:space="preserve">(a) ≥1 个 PS 证据或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  <w:t xml:space="preserve">(b) ≥2 个 PM 证据或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  <w:t xml:space="preserve">(c) 1 个 PM 证据和 1 个 PP 证据或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  <w:t xml:space="preserve">(d) ≥2 个 PP 证据 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  <w:t xml:space="preserve">(ii) ≥2 个 PS 证据（PS1-PS4）；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  <w:t xml:space="preserve">(iii) 1 个 PS 证据和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  <w:t xml:space="preserve">(a) ≥3 个 PM 证据或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  <w:t xml:space="preserve">(b) 2 个 PM 证据和 ≥2 PP 证据或 </w:t>
            </w:r>
          </w:p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sz w:val="18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  <w:t>(c) 1 个 PM 证据和 ≥4 个 PP 证据。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9" w:type="dxa"/>
            <w:tcBorders>
              <w:tl2br w:val="nil"/>
              <w:tr2bl w:val="nil"/>
            </w:tcBorders>
            <w:vAlign w:val="center"/>
          </w:tcPr>
          <w:p>
            <w:pPr>
              <w:pStyle w:val="14"/>
              <w:framePr w:wrap="auto" w:vAnchor="margin" w:hAnchor="text" w:yAlign="inline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pacing w:line="360" w:lineRule="exact"/>
              <w:jc w:val="center"/>
              <w:rPr>
                <w:rFonts w:hint="default" w:ascii="微软雅黑" w:hAnsi="微软雅黑" w:eastAsia="微软雅黑" w:cs="微软雅黑"/>
                <w:sz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vertAlign w:val="baseline"/>
                <w:lang w:val="en-US" w:eastAsia="zh-CN"/>
              </w:rPr>
              <w:t>可能致病</w:t>
            </w:r>
          </w:p>
        </w:tc>
        <w:tc>
          <w:tcPr>
            <w:tcW w:w="8285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widowControl/>
              <w:suppressLineNumbers w:val="0"/>
              <w:shd w:val="clear" w:color="auto" w:fill="auto"/>
              <w:jc w:val="left"/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  <w:t xml:space="preserve">(i) 1 个 PVS 证据和 1 个 PM 证据； </w:t>
            </w:r>
          </w:p>
          <w:p>
            <w:pPr>
              <w:keepNext w:val="0"/>
              <w:keepLines w:val="0"/>
              <w:widowControl/>
              <w:suppressLineNumbers w:val="0"/>
              <w:shd w:val="clear" w:color="auto" w:fill="auto"/>
              <w:jc w:val="left"/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  <w:t xml:space="preserve">(ii) 1 个 PS 证据和 1-2 个 PM 证据； </w:t>
            </w:r>
          </w:p>
          <w:p>
            <w:pPr>
              <w:keepNext w:val="0"/>
              <w:keepLines w:val="0"/>
              <w:widowControl/>
              <w:suppressLineNumbers w:val="0"/>
              <w:shd w:val="clear" w:color="auto" w:fill="auto"/>
              <w:jc w:val="left"/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  <w:t xml:space="preserve">(iii) 1 个 PS 证据和 ≥2 个 PP 证据； </w:t>
            </w:r>
          </w:p>
          <w:p>
            <w:pPr>
              <w:keepNext w:val="0"/>
              <w:keepLines w:val="0"/>
              <w:widowControl/>
              <w:suppressLineNumbers w:val="0"/>
              <w:shd w:val="clear" w:color="auto" w:fill="auto"/>
              <w:jc w:val="left"/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  <w:t xml:space="preserve">(iv) ≥3 个 PM 证据； </w:t>
            </w:r>
          </w:p>
          <w:p>
            <w:pPr>
              <w:keepNext w:val="0"/>
              <w:keepLines w:val="0"/>
              <w:widowControl/>
              <w:suppressLineNumbers w:val="0"/>
              <w:shd w:val="clear" w:color="auto" w:fill="auto"/>
              <w:jc w:val="left"/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  <w:t xml:space="preserve">(v) 2 个 PM 证据和 ≥2 个 PP 证据； </w:t>
            </w:r>
          </w:p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shd w:val="clear" w:color="auto" w:fill="auto"/>
              <w:jc w:val="left"/>
              <w:rPr>
                <w:rFonts w:hint="eastAsia" w:ascii="微软雅黑" w:hAnsi="微软雅黑" w:eastAsia="微软雅黑" w:cs="微软雅黑"/>
                <w:sz w:val="18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  <w:t>(vi) 1 个 PM 证据和 ≥ 4 个 PP 证据。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9" w:type="dxa"/>
            <w:tcBorders>
              <w:tl2br w:val="nil"/>
              <w:tr2bl w:val="nil"/>
            </w:tcBorders>
            <w:vAlign w:val="center"/>
          </w:tcPr>
          <w:p>
            <w:pPr>
              <w:pStyle w:val="14"/>
              <w:framePr w:wrap="auto" w:vAnchor="margin" w:hAnchor="text" w:yAlign="inline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pacing w:line="360" w:lineRule="exact"/>
              <w:jc w:val="center"/>
              <w:rPr>
                <w:rFonts w:hint="eastAsia" w:ascii="微软雅黑" w:hAnsi="微软雅黑" w:eastAsia="微软雅黑" w:cs="微软雅黑"/>
                <w:sz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vertAlign w:val="baseline"/>
                <w:lang w:val="en-US" w:eastAsia="zh-CN"/>
              </w:rPr>
              <w:t>良性</w:t>
            </w:r>
          </w:p>
        </w:tc>
        <w:tc>
          <w:tcPr>
            <w:tcW w:w="8285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widowControl/>
              <w:suppressLineNumbers w:val="0"/>
              <w:shd w:val="clear" w:color="auto" w:fill="auto"/>
              <w:jc w:val="left"/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  <w:t xml:space="preserve">(i) 1 个 BA1 证据； </w:t>
            </w:r>
          </w:p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shd w:val="clear" w:color="auto" w:fill="auto"/>
              <w:jc w:val="left"/>
              <w:rPr>
                <w:rFonts w:hint="eastAsia" w:ascii="微软雅黑" w:hAnsi="微软雅黑" w:eastAsia="微软雅黑" w:cs="微软雅黑"/>
                <w:sz w:val="18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  <w:t xml:space="preserve">(ii) ≥2 个 BS 证据。 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9" w:type="dxa"/>
            <w:tcBorders>
              <w:tl2br w:val="nil"/>
              <w:tr2bl w:val="nil"/>
            </w:tcBorders>
            <w:vAlign w:val="center"/>
          </w:tcPr>
          <w:p>
            <w:pPr>
              <w:pStyle w:val="14"/>
              <w:framePr w:wrap="auto" w:vAnchor="margin" w:hAnchor="text" w:yAlign="inline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pacing w:line="360" w:lineRule="exact"/>
              <w:jc w:val="center"/>
              <w:rPr>
                <w:rFonts w:hint="default" w:ascii="微软雅黑" w:hAnsi="微软雅黑" w:eastAsia="微软雅黑" w:cs="微软雅黑"/>
                <w:sz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vertAlign w:val="baseline"/>
                <w:lang w:val="en-US" w:eastAsia="zh-CN"/>
              </w:rPr>
              <w:t>可能良性</w:t>
            </w:r>
          </w:p>
        </w:tc>
        <w:tc>
          <w:tcPr>
            <w:tcW w:w="8285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widowControl/>
              <w:suppressLineNumbers w:val="0"/>
              <w:shd w:val="clear" w:color="auto" w:fill="auto"/>
              <w:jc w:val="left"/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  <w:t xml:space="preserve">(i) 1 个 BS 证据和 1 个 BP 证据； </w:t>
            </w:r>
          </w:p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shd w:val="clear" w:color="auto" w:fill="auto"/>
              <w:jc w:val="left"/>
              <w:rPr>
                <w:rFonts w:hint="eastAsia" w:ascii="微软雅黑" w:hAnsi="微软雅黑" w:eastAsia="微软雅黑" w:cs="微软雅黑"/>
                <w:sz w:val="18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  <w:t>(ii) ≥2 个 BP 证据。</w:t>
            </w:r>
            <w:r>
              <w:rPr>
                <w:rFonts w:hint="default" w:ascii="PingFangSC-Regular" w:hAnsi="PingFangSC-Regular" w:eastAsia="PingFangSC-Regular" w:cs="PingFangSC-Regular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9" w:type="dxa"/>
            <w:tcBorders>
              <w:tl2br w:val="nil"/>
              <w:tr2bl w:val="nil"/>
            </w:tcBorders>
            <w:vAlign w:val="center"/>
          </w:tcPr>
          <w:p>
            <w:pPr>
              <w:pStyle w:val="14"/>
              <w:framePr w:wrap="auto" w:vAnchor="margin" w:hAnchor="text" w:yAlign="inline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pacing w:line="360" w:lineRule="exact"/>
              <w:jc w:val="center"/>
              <w:rPr>
                <w:rFonts w:hint="default" w:ascii="微软雅黑" w:hAnsi="微软雅黑" w:eastAsia="微软雅黑" w:cs="微软雅黑"/>
                <w:sz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vertAlign w:val="baseline"/>
                <w:lang w:val="en-US" w:eastAsia="zh-CN"/>
              </w:rPr>
              <w:t>意义不明</w:t>
            </w:r>
          </w:p>
        </w:tc>
        <w:tc>
          <w:tcPr>
            <w:tcW w:w="8285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widowControl/>
              <w:suppressLineNumbers w:val="0"/>
              <w:shd w:val="clear" w:color="auto" w:fill="auto"/>
              <w:jc w:val="left"/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  <w:t xml:space="preserve">(i) 不满足上述标准； </w:t>
            </w:r>
          </w:p>
          <w:p>
            <w:pPr>
              <w:keepNext w:val="0"/>
              <w:keepLines w:val="0"/>
              <w:framePr w:wrap="auto" w:vAnchor="margin" w:hAnchor="text" w:yAlign="inline"/>
              <w:widowControl/>
              <w:suppressLineNumbers w:val="0"/>
              <w:shd w:val="clear" w:color="auto" w:fill="auto"/>
              <w:jc w:val="left"/>
              <w:rPr>
                <w:rFonts w:hint="eastAsia" w:ascii="微软雅黑" w:hAnsi="微软雅黑" w:eastAsia="微软雅黑" w:cs="微软雅黑"/>
                <w:sz w:val="18"/>
                <w:vertAlign w:val="baseline"/>
              </w:rPr>
            </w:pPr>
            <w:r>
              <w:rPr>
                <w:rFonts w:hint="default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CN"/>
              </w:rPr>
              <w:t>(ii) 良性和致病标准相互矛盾。</w:t>
            </w:r>
          </w:p>
        </w:tc>
      </w:tr>
    </w:tbl>
    <w:p>
      <w:pPr>
        <w:pStyle w:val="14"/>
        <w:framePr w:wrap="auto" w:vAnchor="margin" w:hAnchor="text" w:yAlign="inline"/>
        <w:spacing w:line="360" w:lineRule="exact"/>
        <w:rPr>
          <w:rFonts w:hint="eastAsia" w:ascii="微软雅黑" w:hAnsi="微软雅黑" w:eastAsia="微软雅黑" w:cs="微软雅黑"/>
          <w:sz w:val="18"/>
        </w:rPr>
      </w:pPr>
    </w:p>
    <w:p>
      <w:pPr>
        <w:framePr w:wrap="auto" w:vAnchor="margin" w:hAnchor="text" w:yAlign="inline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  <w:br w:type="page"/>
      </w:r>
    </w:p>
    <w:tbl>
      <w:tblPr>
        <w:tblStyle w:val="7"/>
        <w:tblpPr w:leftFromText="180" w:rightFromText="180" w:vertAnchor="text" w:horzAnchor="page" w:tblpX="1220" w:tblpY="77"/>
        <w:tblOverlap w:val="never"/>
        <w:tblW w:w="9632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9632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27" w:hRule="atLeast"/>
        </w:trPr>
        <w:tc>
          <w:tcPr>
            <w:tcW w:w="9632" w:type="dxa"/>
            <w:tcBorders>
              <w:top w:val="single" w:color="FEFEFE" w:sz="2" w:space="0"/>
              <w:left w:val="single" w:color="FEFEFE" w:sz="2" w:space="0"/>
              <w:bottom w:val="single" w:color="FEFEFE" w:sz="2" w:space="0"/>
              <w:right w:val="single" w:color="FEFEFE" w:sz="2" w:space="0"/>
            </w:tcBorders>
            <w:shd w:val="clear" w:color="auto" w:fill="286EB8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5"/>
              <w:framePr w:wrap="auto" w:vAnchor="margin" w:hAnchor="text" w:yAlign="inline"/>
              <w:spacing w:line="360" w:lineRule="exact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28"/>
                <w:szCs w:val="28"/>
                <w:rtl w:val="0"/>
              </w:rPr>
              <w:t>附录 2</w:t>
            </w:r>
          </w:p>
        </w:tc>
      </w:tr>
    </w:tbl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right="0" w:firstLine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TW" w:eastAsia="zh-TW"/>
        </w:rPr>
      </w:pP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CN" w:eastAsia="zh-CN"/>
        </w:rPr>
        <w:t>可能与受检者临床表型关联性较低，仅供临床结合患者具体情况综合参考分析</w:t>
      </w: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right="0" w:firstLine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en-US" w:eastAsia="zh-CN"/>
        </w:rPr>
        <w:t>附录2</w:t>
      </w: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  <w:bookmarkStart w:id="0" w:name="_GoBack"/>
      <w:bookmarkEnd w:id="0"/>
    </w:p>
    <w:p>
      <w:pPr>
        <w:pStyle w:val="15"/>
        <w:framePr w:wrap="auto" w:vAnchor="margin" w:hAnchor="text" w:yAlign="inline"/>
        <w:spacing w:line="360" w:lineRule="exact"/>
        <w:jc w:val="left"/>
        <w:rPr>
          <w:rFonts w:hint="eastAsia" w:ascii="微软雅黑" w:hAnsi="微软雅黑" w:eastAsia="微软雅黑" w:cs="微软雅黑"/>
          <w:color w:val="FFFFFF"/>
          <w:sz w:val="28"/>
          <w:szCs w:val="28"/>
          <w:rtl w:val="0"/>
        </w:rPr>
      </w:pPr>
      <w:r>
        <w:rPr>
          <w:rFonts w:hint="eastAsia" w:ascii="微软雅黑" w:hAnsi="微软雅黑" w:eastAsia="微软雅黑" w:cs="微软雅黑"/>
          <w:color w:val="FFFFFF"/>
          <w:sz w:val="28"/>
          <w:szCs w:val="28"/>
          <w:rtl w:val="0"/>
        </w:rPr>
        <w:br w:type="page"/>
      </w:r>
    </w:p>
    <w:tbl>
      <w:tblPr>
        <w:tblStyle w:val="7"/>
        <w:tblpPr w:leftFromText="180" w:rightFromText="180" w:vertAnchor="text" w:horzAnchor="page" w:tblpX="1220" w:tblpY="34"/>
        <w:tblOverlap w:val="never"/>
        <w:tblW w:w="9632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9632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27" w:hRule="atLeast"/>
        </w:trPr>
        <w:tc>
          <w:tcPr>
            <w:tcW w:w="9632" w:type="dxa"/>
            <w:tcBorders>
              <w:top w:val="single" w:color="FEFEFE" w:sz="2" w:space="0"/>
              <w:left w:val="single" w:color="FEFEFE" w:sz="2" w:space="0"/>
              <w:bottom w:val="single" w:color="FEFEFE" w:sz="2" w:space="0"/>
              <w:right w:val="single" w:color="FEFEFE" w:sz="2" w:space="0"/>
            </w:tcBorders>
            <w:shd w:val="clear" w:color="auto" w:fill="286EB8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5"/>
              <w:framePr w:wrap="auto" w:vAnchor="margin" w:hAnchor="text" w:yAlign="inline"/>
              <w:spacing w:line="360" w:lineRule="exact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28"/>
                <w:szCs w:val="28"/>
                <w:rtl w:val="0"/>
              </w:rPr>
              <w:t>附录 3</w:t>
            </w:r>
          </w:p>
        </w:tc>
      </w:tr>
    </w:tbl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right="0" w:firstLine="0"/>
        <w:jc w:val="both"/>
        <w:textAlignment w:val="auto"/>
        <w:outlineLvl w:val="9"/>
        <w:rPr>
          <w:rFonts w:hint="default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en-US" w:eastAsia="zh-CN"/>
        </w:rPr>
        <w:t>附录3</w:t>
      </w: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kern w:val="0"/>
          <w:position w:val="0"/>
          <w:sz w:val="18"/>
          <w:szCs w:val="18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kern w:val="0"/>
          <w:position w:val="0"/>
          <w:sz w:val="18"/>
          <w:szCs w:val="18"/>
          <w:u w:val="none"/>
          <w:vertAlign w:val="baseline"/>
          <w:lang w:val="en-US" w:eastAsia="zh-CN"/>
        </w:rPr>
        <w:br w:type="page"/>
      </w:r>
    </w:p>
    <w:tbl>
      <w:tblPr>
        <w:tblStyle w:val="7"/>
        <w:tblpPr w:leftFromText="180" w:rightFromText="180" w:vertAnchor="text" w:horzAnchor="page" w:tblpX="1193" w:tblpY="37"/>
        <w:tblOverlap w:val="never"/>
        <w:tblW w:w="9632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9632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27" w:hRule="atLeast"/>
        </w:trPr>
        <w:tc>
          <w:tcPr>
            <w:tcW w:w="9632" w:type="dxa"/>
            <w:tcBorders>
              <w:top w:val="single" w:color="FEFEFE" w:sz="2" w:space="0"/>
              <w:left w:val="single" w:color="FEFEFE" w:sz="2" w:space="0"/>
              <w:bottom w:val="single" w:color="FEFEFE" w:sz="2" w:space="0"/>
              <w:right w:val="single" w:color="FEFEFE" w:sz="2" w:space="0"/>
            </w:tcBorders>
            <w:shd w:val="clear" w:color="auto" w:fill="286EB8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5"/>
              <w:framePr w:wrap="auto" w:vAnchor="margin" w:hAnchor="text" w:yAlign="inline"/>
              <w:spacing w:line="360" w:lineRule="exact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28"/>
                <w:szCs w:val="28"/>
                <w:rtl w:val="0"/>
              </w:rPr>
              <w:t>附录 4</w:t>
            </w:r>
          </w:p>
        </w:tc>
      </w:tr>
    </w:tbl>
    <w:p>
      <w:pPr>
        <w:pStyle w:val="3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en-US" w:eastAsia="zh-CN" w:bidi="ar-SA"/>
        </w:rPr>
        <w:t>附录4标题位</w:t>
      </w:r>
    </w:p>
    <w:p>
      <w:pPr>
        <w:pStyle w:val="15"/>
        <w:framePr w:wrap="auto" w:vAnchor="margin" w:hAnchor="text" w:yAlign="inline"/>
        <w:spacing w:line="360" w:lineRule="exact"/>
        <w:jc w:val="left"/>
        <w:rPr>
          <w:rFonts w:hint="eastAsia" w:ascii="微软雅黑" w:hAnsi="微软雅黑" w:eastAsia="微软雅黑" w:cs="微软雅黑"/>
          <w:color w:val="FFFFFF"/>
          <w:sz w:val="28"/>
          <w:szCs w:val="28"/>
          <w:rtl w:val="0"/>
        </w:rPr>
      </w:pPr>
    </w:p>
    <w:p>
      <w:pPr>
        <w:pStyle w:val="15"/>
        <w:framePr w:wrap="auto" w:vAnchor="margin" w:hAnchor="text" w:yAlign="inline"/>
        <w:spacing w:line="360" w:lineRule="exact"/>
        <w:jc w:val="left"/>
        <w:rPr>
          <w:rFonts w:hint="eastAsia" w:ascii="微软雅黑" w:hAnsi="微软雅黑" w:eastAsia="微软雅黑" w:cs="微软雅黑"/>
          <w:color w:val="FFFFFF"/>
          <w:sz w:val="28"/>
          <w:szCs w:val="28"/>
          <w:rtl w:val="0"/>
        </w:rPr>
      </w:pPr>
      <w:r>
        <w:rPr>
          <w:rFonts w:hint="eastAsia" w:ascii="微软雅黑" w:hAnsi="微软雅黑" w:eastAsia="微软雅黑" w:cs="微软雅黑"/>
          <w:color w:val="FFFFFF"/>
          <w:sz w:val="28"/>
          <w:szCs w:val="28"/>
          <w:rtl w:val="0"/>
        </w:rPr>
        <w:br w:type="page"/>
      </w:r>
    </w:p>
    <w:tbl>
      <w:tblPr>
        <w:tblStyle w:val="7"/>
        <w:tblW w:w="9650" w:type="dxa"/>
        <w:tblInd w:w="9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965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27" w:hRule="atLeast"/>
        </w:trPr>
        <w:tc>
          <w:tcPr>
            <w:tcW w:w="9650" w:type="dxa"/>
            <w:tcBorders>
              <w:top w:val="single" w:color="FEFEFE" w:sz="2" w:space="0"/>
              <w:left w:val="single" w:color="FEFEFE" w:sz="2" w:space="0"/>
              <w:bottom w:val="single" w:color="FEFEFE" w:sz="2" w:space="0"/>
              <w:right w:val="single" w:color="FEFEFE" w:sz="2" w:space="0"/>
            </w:tcBorders>
            <w:shd w:val="clear" w:color="auto" w:fill="286EB8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5"/>
              <w:framePr w:wrap="auto" w:vAnchor="margin" w:hAnchor="text" w:yAlign="inline"/>
              <w:spacing w:line="360" w:lineRule="exact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28"/>
                <w:szCs w:val="28"/>
                <w:rtl w:val="0"/>
              </w:rPr>
              <w:t xml:space="preserve">附录 </w:t>
            </w:r>
            <w:r>
              <w:rPr>
                <w:rFonts w:hint="eastAsia" w:ascii="微软雅黑" w:hAnsi="微软雅黑" w:eastAsia="微软雅黑" w:cs="微软雅黑"/>
                <w:color w:val="FFFFFF"/>
                <w:sz w:val="28"/>
                <w:szCs w:val="28"/>
                <w:rtl w:val="0"/>
                <w:lang w:val="en-US" w:eastAsia="zh-CN"/>
              </w:rPr>
              <w:t>5</w:t>
            </w:r>
          </w:p>
        </w:tc>
      </w:tr>
    </w:tbl>
    <w:p>
      <w:pPr>
        <w:pStyle w:val="3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textAlignment w:val="auto"/>
        <w:rPr>
          <w:rFonts w:hint="eastAsia" w:ascii="微软雅黑" w:hAnsi="微软雅黑" w:eastAsia="微软雅黑" w:cs="微软雅黑"/>
          <w:sz w:val="23"/>
        </w:rPr>
      </w:pP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en-US" w:eastAsia="zh-CN" w:bidi="ar-SA"/>
        </w:rPr>
        <w:t>附录5</w:t>
      </w:r>
    </w:p>
    <w:p>
      <w:pPr>
        <w:pStyle w:val="6"/>
        <w:keepNext w:val="0"/>
        <w:keepLines w:val="0"/>
        <w:pageBreakBefore w:val="0"/>
        <w:framePr w:wrap="auto" w:vAnchor="margin" w:hAnchor="text" w:yAlign="inline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2A68A6"/>
          <w:spacing w:val="-1"/>
        </w:rPr>
        <w:t>基于高通量测序的线粒体基因组变异检测方法及局限性说明：</w:t>
      </w:r>
    </w:p>
    <w:p>
      <w:pPr>
        <w:pStyle w:val="17"/>
        <w:keepNext w:val="0"/>
        <w:keepLines w:val="0"/>
        <w:pageBreakBefore w:val="0"/>
        <w:framePr w:wrap="auto" w:vAnchor="margin" w:hAnchor="text" w:yAlign="inline"/>
        <w:widowControl w:val="0"/>
        <w:numPr>
          <w:ilvl w:val="-1"/>
          <w:numId w:val="0"/>
        </w:numPr>
        <w:tabs>
          <w:tab w:val="left" w:pos="818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43" w:after="0" w:line="24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TW" w:eastAsia="zh-TW"/>
        </w:rPr>
      </w:pP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en-US" w:eastAsia="zh-CN"/>
        </w:rPr>
        <w:t>1.</w:t>
      </w: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TW" w:eastAsia="zh-TW"/>
        </w:rPr>
        <w:t>本检测不能检出线粒体 DNA 的大片段缺失突变。</w:t>
      </w:r>
    </w:p>
    <w:p>
      <w:pPr>
        <w:pStyle w:val="17"/>
        <w:keepNext w:val="0"/>
        <w:keepLines w:val="0"/>
        <w:pageBreakBefore w:val="0"/>
        <w:framePr w:wrap="auto" w:vAnchor="margin" w:hAnchor="text" w:yAlign="inline"/>
        <w:numPr>
          <w:ilvl w:val="-1"/>
          <w:numId w:val="0"/>
        </w:numPr>
        <w:tabs>
          <w:tab w:val="left" w:pos="818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TW" w:eastAsia="zh-TW"/>
        </w:rPr>
      </w:pP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TW" w:eastAsia="zh-TW"/>
        </w:rPr>
        <w:t>本检测仅报告致病突变，不报告其它可能不具有临床意义的突变。</w:t>
      </w:r>
    </w:p>
    <w:p>
      <w:pPr>
        <w:pStyle w:val="17"/>
        <w:keepNext w:val="0"/>
        <w:keepLines w:val="0"/>
        <w:pageBreakBefore w:val="0"/>
        <w:framePr w:wrap="auto" w:vAnchor="margin" w:hAnchor="text" w:yAlign="inline"/>
        <w:numPr>
          <w:ilvl w:val="-1"/>
          <w:numId w:val="0"/>
        </w:numPr>
        <w:tabs>
          <w:tab w:val="left" w:pos="818"/>
        </w:tabs>
        <w:kinsoku/>
        <w:wordWrap/>
        <w:overflowPunct/>
        <w:topLinePunct w:val="0"/>
        <w:bidi w:val="0"/>
        <w:adjustRightInd/>
        <w:snapToGrid/>
        <w:spacing w:before="1" w:after="0" w:line="240" w:lineRule="auto"/>
        <w:ind w:right="746" w:rightChars="0"/>
        <w:jc w:val="left"/>
        <w:textAlignment w:val="auto"/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TW" w:eastAsia="zh-TW"/>
        </w:rPr>
      </w:pP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en-US" w:eastAsia="zh-CN"/>
        </w:rPr>
        <w:t>3.</w:t>
      </w: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TW" w:eastAsia="zh-TW"/>
        </w:rPr>
        <w:t>本检测的变异解读是基于目前对这些线粒体基因的认识，随着解读指南、基因/疾病数据库以及参考文献的更新，我们会获得更多关于这些基因的信息，解读结果有可能会发生变化。</w:t>
      </w:r>
    </w:p>
    <w:p>
      <w:pPr>
        <w:pStyle w:val="17"/>
        <w:keepNext w:val="0"/>
        <w:keepLines w:val="0"/>
        <w:pageBreakBefore w:val="0"/>
        <w:framePr w:wrap="auto" w:vAnchor="margin" w:hAnchor="text" w:yAlign="inline"/>
        <w:numPr>
          <w:ilvl w:val="-1"/>
          <w:numId w:val="0"/>
        </w:numPr>
        <w:tabs>
          <w:tab w:val="left" w:pos="818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right="835" w:rightChars="0"/>
        <w:jc w:val="left"/>
        <w:textAlignment w:val="auto"/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TW" w:eastAsia="zh-TW"/>
        </w:rPr>
      </w:pP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en-US" w:eastAsia="zh-CN"/>
        </w:rPr>
        <w:t>4.</w:t>
      </w: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TW" w:eastAsia="zh-TW"/>
        </w:rPr>
        <w:t>本附录只对送检样本的线粒体基因组进行检测，不能排除线粒体基因组在其他样本（如肝脏、肾脏、肌肉、脑组织等）中的变异情况和线粒体相关核基因的变异情况，需要医结合的临床症状考虑其他相应项目进行进一步检测。</w:t>
      </w: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right="0" w:firstLine="0"/>
        <w:jc w:val="both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en-US" w:eastAsia="zh-CN"/>
        </w:rPr>
        <w:t>5.</w:t>
      </w: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TW" w:eastAsia="zh-TW"/>
        </w:rPr>
        <w:t>未检测到与遗传性疾病基因的致病突变可以降低此类疾病的可能，但不能排除此类疾病的发生。</w:t>
      </w: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tbl>
      <w:tblPr>
        <w:tblStyle w:val="8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2D75B5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9"/>
        <w:gridCol w:w="1407"/>
        <w:gridCol w:w="1408"/>
        <w:gridCol w:w="1408"/>
        <w:gridCol w:w="1408"/>
        <w:gridCol w:w="1408"/>
        <w:gridCol w:w="14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D75B5"/>
        </w:tblPrEx>
        <w:tc>
          <w:tcPr>
            <w:tcW w:w="9746" w:type="dxa"/>
            <w:gridSpan w:val="7"/>
            <w:shd w:val="clear" w:color="auto" w:fill="2D75B5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both"/>
              <w:outlineLvl w:val="9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CCDDF2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FDFDFD"/>
                <w:w w:val="95"/>
                <w:sz w:val="21"/>
                <w:szCs w:val="21"/>
              </w:rPr>
              <w:t>线粒体基因组</w:t>
            </w:r>
            <w:r>
              <w:rPr>
                <w:rFonts w:hint="eastAsia" w:ascii="微软雅黑" w:hAnsi="微软雅黑" w:eastAsia="微软雅黑" w:cs="微软雅黑"/>
                <w:b/>
                <w:color w:val="FDFDFD"/>
                <w:spacing w:val="20"/>
                <w:sz w:val="21"/>
                <w:szCs w:val="21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FDFDFD"/>
                <w:w w:val="95"/>
                <w:sz w:val="21"/>
                <w:szCs w:val="21"/>
              </w:rPr>
              <w:t>37</w:t>
            </w:r>
            <w:r>
              <w:rPr>
                <w:rFonts w:hint="eastAsia" w:ascii="微软雅黑" w:hAnsi="微软雅黑" w:eastAsia="微软雅黑" w:cs="微软雅黑"/>
                <w:b/>
                <w:color w:val="FDFDFD"/>
                <w:spacing w:val="19"/>
                <w:sz w:val="21"/>
                <w:szCs w:val="21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color w:val="FDFDFD"/>
                <w:w w:val="95"/>
                <w:sz w:val="21"/>
                <w:szCs w:val="21"/>
              </w:rPr>
              <w:t>基因列</w:t>
            </w:r>
            <w:r>
              <w:rPr>
                <w:rFonts w:hint="eastAsia" w:ascii="微软雅黑" w:hAnsi="微软雅黑" w:eastAsia="微软雅黑" w:cs="微软雅黑"/>
                <w:b/>
                <w:color w:val="FDFDFD"/>
                <w:spacing w:val="-10"/>
                <w:w w:val="95"/>
                <w:sz w:val="21"/>
                <w:szCs w:val="21"/>
              </w:rPr>
              <w:t>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D75B5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299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CCDDF2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MT-TF</w:t>
            </w:r>
          </w:p>
        </w:tc>
        <w:tc>
          <w:tcPr>
            <w:tcW w:w="1407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CCDDF2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MT-RNR1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CCDDF2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MT-TV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CCDDF2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MT-RNR2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CCDDF2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MT-TL1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CCDDF2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MT-ND1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CCDDF2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MT-TI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D75B5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299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CCDDF2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MT-TQ</w:t>
            </w:r>
          </w:p>
        </w:tc>
        <w:tc>
          <w:tcPr>
            <w:tcW w:w="1407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CCDDF2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MT-TM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CCDDF2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MT-ND2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CCDDF2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MT-TW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CCDDF2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MT-TA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CCDDF2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MT-TN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CCDDF2"/>
                <w:spacing w:val="0"/>
                <w:kern w:val="0"/>
                <w:position w:val="0"/>
                <w:sz w:val="20"/>
                <w:szCs w:val="20"/>
                <w:u w:val="none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MT-TC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D75B5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299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MT-TY</w:t>
            </w:r>
          </w:p>
        </w:tc>
        <w:tc>
          <w:tcPr>
            <w:tcW w:w="1407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MT-CO1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MT-TS1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MT-TD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MT-CO2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MT-TK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MTATP8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D75B5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299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MT-ATP6</w:t>
            </w:r>
          </w:p>
        </w:tc>
        <w:tc>
          <w:tcPr>
            <w:tcW w:w="1407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MT-CO3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MT-TG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MT-ND3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MT-TR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MT-ND4L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MT-ND4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D75B5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299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MT-TH</w:t>
            </w:r>
          </w:p>
        </w:tc>
        <w:tc>
          <w:tcPr>
            <w:tcW w:w="1407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MT-TS2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MT-TL2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MT-ND5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MT-ND6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MT-TE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MT-CYB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D75B5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299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MT-TT</w:t>
            </w:r>
          </w:p>
        </w:tc>
        <w:tc>
          <w:tcPr>
            <w:tcW w:w="1407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MT-TP</w:t>
            </w: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</w:p>
        </w:tc>
        <w:tc>
          <w:tcPr>
            <w:tcW w:w="1408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bidi w:val="0"/>
              <w:spacing w:before="0" w:after="0" w:line="276" w:lineRule="auto"/>
              <w:ind w:right="0"/>
              <w:jc w:val="center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</w:p>
        </w:tc>
      </w:tr>
    </w:tbl>
    <w:p>
      <w:pPr>
        <w:framePr w:wrap="auto" w:vAnchor="margin" w:hAnchor="text" w:yAlign="inline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kern w:val="0"/>
          <w:position w:val="0"/>
          <w:sz w:val="20"/>
          <w:szCs w:val="20"/>
          <w:u w:val="none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kern w:val="0"/>
          <w:position w:val="0"/>
          <w:sz w:val="20"/>
          <w:szCs w:val="20"/>
          <w:u w:val="none"/>
          <w:vertAlign w:val="baseline"/>
          <w:lang w:val="en-US" w:eastAsia="zh-CN"/>
        </w:rPr>
        <w:br w:type="page"/>
      </w:r>
    </w:p>
    <w:tbl>
      <w:tblPr>
        <w:tblStyle w:val="7"/>
        <w:tblpPr w:leftFromText="180" w:rightFromText="180" w:vertAnchor="text" w:tblpX="71" w:tblpY="1"/>
        <w:tblOverlap w:val="never"/>
        <w:tblW w:w="9669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9669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27" w:hRule="atLeast"/>
        </w:trPr>
        <w:tc>
          <w:tcPr>
            <w:tcW w:w="9669" w:type="dxa"/>
            <w:tcBorders>
              <w:top w:val="single" w:color="FEFEFE" w:sz="2" w:space="0"/>
              <w:left w:val="single" w:color="FEFEFE" w:sz="2" w:space="0"/>
              <w:bottom w:val="single" w:color="FEFEFE" w:sz="2" w:space="0"/>
              <w:right w:val="single" w:color="FEFEFE" w:sz="2" w:space="0"/>
            </w:tcBorders>
            <w:shd w:val="clear" w:color="auto" w:fill="286EB8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5"/>
              <w:framePr w:wrap="auto" w:vAnchor="margin" w:hAnchor="text" w:yAlign="inline"/>
              <w:spacing w:line="360" w:lineRule="exact"/>
              <w:jc w:val="left"/>
              <w:rPr>
                <w:rFonts w:hint="eastAsia" w:ascii="微软雅黑" w:hAnsi="微软雅黑" w:eastAsia="微软雅黑" w:cs="微软雅黑"/>
                <w:color w:val="FFFFFF"/>
                <w:sz w:val="28"/>
                <w:szCs w:val="28"/>
                <w:rtl w:val="0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28"/>
                <w:szCs w:val="28"/>
                <w:rtl w:val="0"/>
              </w:rPr>
              <w:t>免责声明</w:t>
            </w:r>
          </w:p>
        </w:tc>
      </w:tr>
    </w:tbl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 w:firstLine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CN" w:eastAsia="zh-CN"/>
        </w:rPr>
      </w:pP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CN" w:eastAsia="zh-CN"/>
        </w:rPr>
        <w:t>1、本报告结果只对本次送检样品负责，检测结果仅供临床参考；</w:t>
      </w: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 w:firstLine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TW" w:eastAsia="zh-TW"/>
        </w:rPr>
      </w:pP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CN" w:eastAsia="zh-CN"/>
        </w:rPr>
        <w:t>2、技术局限性：1）如变异所在区域为高GC含量区，高度重复序列区，或者在基因组其它位置存在高度同源序列，本方法可能存在一定的假阴性几率；2）基因疾病中极少数是由嵌合体（由两种或两种以上细胞系）引起的，本方法应用的DNA源自于受检者血液或体细胞，因此不能排除嵌合现象所致的解读偏差；3）本项目不能检出内含子、UTR以及启动子区域的变异、动态突变及复杂重组等特殊类型变异的检测，也不适用于检测大片段拷贝数变异、基因组结构变异（例如大片段缺失、重复与倒位重排）；</w:t>
      </w: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 w:firstLine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TW" w:eastAsia="zh-TW"/>
        </w:rPr>
      </w:pP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CN" w:eastAsia="zh-CN"/>
        </w:rPr>
        <w:t>3、本检测内容参考现有阶段的最新医学研究和科研进展进行分析，根据当前国际上公布数据对变异致病性进行分析评估，但随着变异数据的积累和更新，变异的致病性分级可能发生改变，对于此种未来知识更新引起的可能改变，我们无法避免及负责；</w:t>
      </w: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 w:firstLine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TW" w:eastAsia="zh-TW"/>
        </w:rPr>
      </w:pP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CN" w:eastAsia="zh-CN"/>
        </w:rPr>
        <w:t>4、本次检测只针对范围内的疾病和基因位点进行解读，不能排除在这些基因位点范围外存在其他未知类型变异、或其他疾病相关基因变异的可能；</w:t>
      </w: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 w:firstLine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CN" w:eastAsia="zh-CN"/>
        </w:rPr>
      </w:pP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CN" w:eastAsia="zh-CN"/>
        </w:rPr>
        <w:t>5、本检测阴性结果不排除由单亲二倍体UPD；染色体平衡易位、倒位、环等；生殖细胞嵌合；表观遗传学；多基因病及其他非遗传因素(感染、药物、辐射等环境因素)引起的可能性。</w:t>
      </w: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 w:firstLine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8"/>
          <w:szCs w:val="18"/>
          <w:u w:val="none" w:color="auto"/>
          <w:vertAlign w:val="baseline"/>
          <w:rtl w:val="0"/>
          <w:lang w:val="zh-CN" w:eastAsia="zh-CN"/>
        </w:rPr>
      </w:pPr>
    </w:p>
    <w:tbl>
      <w:tblPr>
        <w:tblStyle w:val="7"/>
        <w:tblW w:w="9750" w:type="dxa"/>
        <w:tblInd w:w="-1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60"/>
        <w:gridCol w:w="819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27" w:hRule="atLeast"/>
        </w:trPr>
        <w:tc>
          <w:tcPr>
            <w:tcW w:w="9750" w:type="dxa"/>
            <w:gridSpan w:val="2"/>
            <w:tcBorders>
              <w:top w:val="single" w:color="FEFEFE" w:sz="2" w:space="0"/>
              <w:left w:val="single" w:color="FEFEFE" w:sz="2" w:space="0"/>
              <w:bottom w:val="single" w:color="FEFEFE" w:sz="2" w:space="0"/>
              <w:right w:val="single" w:color="FEFEFE" w:sz="2" w:space="0"/>
            </w:tcBorders>
            <w:shd w:val="clear" w:color="auto" w:fill="286EB8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5"/>
              <w:framePr w:wrap="auto" w:vAnchor="margin" w:hAnchor="text" w:yAlign="inline"/>
              <w:spacing w:line="360" w:lineRule="exact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28"/>
                <w:szCs w:val="28"/>
                <w:rtl w:val="0"/>
              </w:rPr>
              <w:t>报告声明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189" w:hRule="atLeast"/>
        </w:trPr>
        <w:tc>
          <w:tcPr>
            <w:tcW w:w="1560" w:type="dxa"/>
            <w:tcBorders>
              <w:top w:val="single" w:color="FEFEFE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center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检测方法说明</w:t>
            </w:r>
          </w:p>
        </w:tc>
        <w:tc>
          <w:tcPr>
            <w:tcW w:w="8190" w:type="dxa"/>
            <w:tcBorders>
              <w:top w:val="single" w:color="FEFEFE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center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603" w:hRule="atLeast"/>
        </w:trPr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center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质控标准</w:t>
            </w:r>
          </w:p>
        </w:tc>
        <w:tc>
          <w:tcPr>
            <w:tcW w:w="81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本检测项目对患者样本DNA进行疾病相关基因目标区域捕获和深度测序，1X覆盖度99.9%，10X覆盖度99.8%；平均测序深度100X；Q30≥85%，Q20≥90%。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29" w:hRule="atLeast"/>
        </w:trPr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center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参考基因组</w:t>
            </w:r>
          </w:p>
        </w:tc>
        <w:tc>
          <w:tcPr>
            <w:tcW w:w="81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 xml:space="preserve"> GRCh37/hg19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77" w:hRule="atLeast"/>
        </w:trPr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center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参考数据库</w:t>
            </w:r>
          </w:p>
        </w:tc>
        <w:tc>
          <w:tcPr>
            <w:tcW w:w="81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 xml:space="preserve">1000 Genomes Project：千人基因组计划数据库； </w:t>
            </w:r>
          </w:p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 xml:space="preserve">dbSNP：美国国家生物技术信息中心单核苷酸多态性数据库； </w:t>
            </w:r>
          </w:p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 xml:space="preserve">ClinVar：美国国家生物技术信息中心临床疾病相关变异数据库； </w:t>
            </w:r>
          </w:p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 xml:space="preserve">ESP6500：美国国家心脏、肺和血液研究所数据库； </w:t>
            </w:r>
          </w:p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 xml:space="preserve">ExAc：Broad Institute领导创建的人类外显子组整合数据库； </w:t>
            </w:r>
          </w:p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 xml:space="preserve">Ensembl：欧洲生物信息学研究所建立的基因组数据库； </w:t>
            </w:r>
          </w:p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 xml:space="preserve">HGMD：英国卡尔地夫医学遗传研究所构建的人类基因突变数据库； </w:t>
            </w:r>
          </w:p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UCSC：美国加州大学圣塔克鲁兹分校建立的基因组数据库：</w:t>
            </w:r>
          </w:p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genomAD：多国研究人员共同构建的人类基因组突变频率数据库</w:t>
            </w:r>
          </w:p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Refseq：美国国家生物信息技术中心(NCBI)提供的具有生物意义上的非冗余的基因和蛋白质序列。</w:t>
            </w:r>
          </w:p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934" w:hRule="atLeast"/>
        </w:trPr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center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解读标准</w:t>
            </w:r>
          </w:p>
        </w:tc>
        <w:tc>
          <w:tcPr>
            <w:tcW w:w="81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本项目对位点致病性的判定，参考ACMG（美国医学遗传学与基因组学学会）标准指南进行致病性分析。有明确家族史的病人，如果有相关家属的基因检测结果会更有助于定性疾病相关的变异。本检测项目参考人群频率、HGMD疾病数据库等进行综合判断。</w:t>
            </w:r>
          </w:p>
        </w:tc>
      </w:tr>
    </w:tbl>
    <w:p>
      <w:pPr>
        <w:pStyle w:val="16"/>
        <w:framePr w:wrap="auto" w:vAnchor="margin" w:hAnchor="text" w:yAlign="inline"/>
        <w:spacing w:line="465" w:lineRule="exact"/>
        <w:rPr>
          <w:rFonts w:hint="eastAsia" w:ascii="微软雅黑" w:hAnsi="微软雅黑" w:eastAsia="微软雅黑" w:cs="微软雅黑"/>
          <w:b/>
          <w:bCs/>
          <w:color w:val="000000"/>
          <w:spacing w:val="0"/>
          <w:w w:val="100"/>
          <w:kern w:val="0"/>
          <w:position w:val="0"/>
          <w:sz w:val="16"/>
          <w:szCs w:val="16"/>
          <w:u w:val="none" w:color="auto"/>
          <w:vertAlign w:val="baseline"/>
          <w:rtl w:val="0"/>
          <w:lang w:val="zh-CN" w:eastAsia="zh-CN"/>
        </w:rPr>
      </w:pPr>
      <w:r>
        <w:rPr>
          <w:rFonts w:hint="eastAsia" w:ascii="微软雅黑" w:hAnsi="微软雅黑" w:eastAsia="微软雅黑" w:cs="微软雅黑"/>
          <w:color w:val="FEFEFE"/>
          <w:spacing w:val="-2"/>
          <w:sz w:val="28"/>
        </w:rPr>
        <w:br w:type="page"/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286DB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6"/>
        <w:gridCol w:w="1087"/>
        <w:gridCol w:w="981"/>
        <w:gridCol w:w="962"/>
        <w:gridCol w:w="964"/>
        <w:gridCol w:w="941"/>
        <w:gridCol w:w="982"/>
        <w:gridCol w:w="958"/>
        <w:gridCol w:w="947"/>
        <w:gridCol w:w="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86DB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  <w:gridSpan w:val="10"/>
            <w:shd w:val="clear" w:color="auto" w:fill="286DB8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left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6"/>
                <w:szCs w:val="16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color w:val="FEFEFE"/>
                <w:spacing w:val="-2"/>
                <w:sz w:val="28"/>
              </w:rPr>
              <w:t>ACMG7</w:t>
            </w:r>
            <w:r>
              <w:rPr>
                <w:rFonts w:hint="eastAsia" w:ascii="微软雅黑" w:hAnsi="微软雅黑" w:eastAsia="微软雅黑" w:cs="微软雅黑"/>
                <w:color w:val="FEFEFE"/>
                <w:spacing w:val="-2"/>
                <w:sz w:val="28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 w:cs="微软雅黑"/>
                <w:color w:val="FEFEFE"/>
                <w:spacing w:val="-11"/>
                <w:sz w:val="28"/>
              </w:rPr>
              <w:t xml:space="preserve"> 基因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86DB8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066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ACTA2</w:t>
            </w:r>
          </w:p>
        </w:tc>
        <w:tc>
          <w:tcPr>
            <w:tcW w:w="975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ACTC1</w:t>
            </w:r>
          </w:p>
        </w:tc>
        <w:tc>
          <w:tcPr>
            <w:tcW w:w="981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ACVRL1</w:t>
            </w:r>
          </w:p>
        </w:tc>
        <w:tc>
          <w:tcPr>
            <w:tcW w:w="965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APC</w:t>
            </w:r>
          </w:p>
        </w:tc>
        <w:tc>
          <w:tcPr>
            <w:tcW w:w="972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APOB</w:t>
            </w:r>
          </w:p>
        </w:tc>
        <w:tc>
          <w:tcPr>
            <w:tcW w:w="975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ATP7B</w:t>
            </w:r>
          </w:p>
        </w:tc>
        <w:tc>
          <w:tcPr>
            <w:tcW w:w="985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BMPR1A</w:t>
            </w:r>
          </w:p>
        </w:tc>
        <w:tc>
          <w:tcPr>
            <w:tcW w:w="977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BRCA1</w:t>
            </w:r>
          </w:p>
        </w:tc>
        <w:tc>
          <w:tcPr>
            <w:tcW w:w="977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BRCA2</w:t>
            </w:r>
          </w:p>
        </w:tc>
        <w:tc>
          <w:tcPr>
            <w:tcW w:w="981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BTD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86DB8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066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CACNA1S</w:t>
            </w:r>
          </w:p>
        </w:tc>
        <w:tc>
          <w:tcPr>
            <w:tcW w:w="975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CASQ2</w:t>
            </w:r>
          </w:p>
        </w:tc>
        <w:tc>
          <w:tcPr>
            <w:tcW w:w="981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COL3A1</w:t>
            </w:r>
          </w:p>
        </w:tc>
        <w:tc>
          <w:tcPr>
            <w:tcW w:w="965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DSC2</w:t>
            </w:r>
          </w:p>
        </w:tc>
        <w:tc>
          <w:tcPr>
            <w:tcW w:w="972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DSG2</w:t>
            </w:r>
          </w:p>
        </w:tc>
        <w:tc>
          <w:tcPr>
            <w:tcW w:w="975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DSP</w:t>
            </w:r>
          </w:p>
        </w:tc>
        <w:tc>
          <w:tcPr>
            <w:tcW w:w="985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ENG</w:t>
            </w:r>
          </w:p>
        </w:tc>
        <w:tc>
          <w:tcPr>
            <w:tcW w:w="977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FBN1</w:t>
            </w:r>
          </w:p>
        </w:tc>
        <w:tc>
          <w:tcPr>
            <w:tcW w:w="977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FLNC</w:t>
            </w:r>
          </w:p>
        </w:tc>
        <w:tc>
          <w:tcPr>
            <w:tcW w:w="981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GAA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86DB8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066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color="auto" w:fill="auto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GLA</w:t>
            </w:r>
          </w:p>
        </w:tc>
        <w:tc>
          <w:tcPr>
            <w:tcW w:w="975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color="auto" w:fill="auto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HFE</w:t>
            </w:r>
          </w:p>
        </w:tc>
        <w:tc>
          <w:tcPr>
            <w:tcW w:w="981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color="auto" w:fill="auto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HNF1A</w:t>
            </w:r>
          </w:p>
        </w:tc>
        <w:tc>
          <w:tcPr>
            <w:tcW w:w="965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color="auto" w:fill="auto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KCNH2</w:t>
            </w:r>
          </w:p>
        </w:tc>
        <w:tc>
          <w:tcPr>
            <w:tcW w:w="972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color="auto" w:fill="auto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KCNQ1</w:t>
            </w:r>
          </w:p>
        </w:tc>
        <w:tc>
          <w:tcPr>
            <w:tcW w:w="975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color="auto" w:fill="auto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LDLR</w:t>
            </w:r>
          </w:p>
        </w:tc>
        <w:tc>
          <w:tcPr>
            <w:tcW w:w="985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color="auto" w:fill="auto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LMNA</w:t>
            </w:r>
          </w:p>
        </w:tc>
        <w:tc>
          <w:tcPr>
            <w:tcW w:w="977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color="auto" w:fill="auto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MAX</w:t>
            </w:r>
          </w:p>
        </w:tc>
        <w:tc>
          <w:tcPr>
            <w:tcW w:w="977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color="auto" w:fill="auto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MEN1</w:t>
            </w:r>
          </w:p>
        </w:tc>
        <w:tc>
          <w:tcPr>
            <w:tcW w:w="981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color="auto" w:fill="auto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MLH1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86DB8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066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MSH2</w:t>
            </w:r>
          </w:p>
        </w:tc>
        <w:tc>
          <w:tcPr>
            <w:tcW w:w="975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MSH6</w:t>
            </w:r>
          </w:p>
        </w:tc>
        <w:tc>
          <w:tcPr>
            <w:tcW w:w="981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MUTYH</w:t>
            </w:r>
          </w:p>
        </w:tc>
        <w:tc>
          <w:tcPr>
            <w:tcW w:w="965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MYBPC3</w:t>
            </w:r>
          </w:p>
        </w:tc>
        <w:tc>
          <w:tcPr>
            <w:tcW w:w="972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MYH11</w:t>
            </w:r>
          </w:p>
        </w:tc>
        <w:tc>
          <w:tcPr>
            <w:tcW w:w="975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MYH7</w:t>
            </w:r>
          </w:p>
        </w:tc>
        <w:tc>
          <w:tcPr>
            <w:tcW w:w="985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MYL2</w:t>
            </w:r>
          </w:p>
        </w:tc>
        <w:tc>
          <w:tcPr>
            <w:tcW w:w="977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MYL3</w:t>
            </w:r>
          </w:p>
        </w:tc>
        <w:tc>
          <w:tcPr>
            <w:tcW w:w="977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NF2</w:t>
            </w:r>
          </w:p>
        </w:tc>
        <w:tc>
          <w:tcPr>
            <w:tcW w:w="981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OTC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86DB8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066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PALB2</w:t>
            </w:r>
          </w:p>
        </w:tc>
        <w:tc>
          <w:tcPr>
            <w:tcW w:w="975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PCSK9</w:t>
            </w:r>
          </w:p>
        </w:tc>
        <w:tc>
          <w:tcPr>
            <w:tcW w:w="981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PKP2</w:t>
            </w:r>
          </w:p>
        </w:tc>
        <w:tc>
          <w:tcPr>
            <w:tcW w:w="965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PMS2</w:t>
            </w:r>
          </w:p>
        </w:tc>
        <w:tc>
          <w:tcPr>
            <w:tcW w:w="972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PRKAG2</w:t>
            </w:r>
          </w:p>
        </w:tc>
        <w:tc>
          <w:tcPr>
            <w:tcW w:w="975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PTEN</w:t>
            </w:r>
          </w:p>
        </w:tc>
        <w:tc>
          <w:tcPr>
            <w:tcW w:w="985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RB1</w:t>
            </w:r>
          </w:p>
        </w:tc>
        <w:tc>
          <w:tcPr>
            <w:tcW w:w="977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RET</w:t>
            </w:r>
          </w:p>
        </w:tc>
        <w:tc>
          <w:tcPr>
            <w:tcW w:w="977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RPE65</w:t>
            </w:r>
          </w:p>
        </w:tc>
        <w:tc>
          <w:tcPr>
            <w:tcW w:w="981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RYR1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86DB8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066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RYR2</w:t>
            </w:r>
          </w:p>
        </w:tc>
        <w:tc>
          <w:tcPr>
            <w:tcW w:w="975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SCN5A</w:t>
            </w:r>
          </w:p>
        </w:tc>
        <w:tc>
          <w:tcPr>
            <w:tcW w:w="981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SDHAF2</w:t>
            </w:r>
          </w:p>
        </w:tc>
        <w:tc>
          <w:tcPr>
            <w:tcW w:w="965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SDHB</w:t>
            </w:r>
          </w:p>
        </w:tc>
        <w:tc>
          <w:tcPr>
            <w:tcW w:w="972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SDHC</w:t>
            </w:r>
          </w:p>
        </w:tc>
        <w:tc>
          <w:tcPr>
            <w:tcW w:w="975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SDHD</w:t>
            </w:r>
          </w:p>
        </w:tc>
        <w:tc>
          <w:tcPr>
            <w:tcW w:w="985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SMAD3</w:t>
            </w:r>
          </w:p>
        </w:tc>
        <w:tc>
          <w:tcPr>
            <w:tcW w:w="977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SMAD4</w:t>
            </w:r>
          </w:p>
        </w:tc>
        <w:tc>
          <w:tcPr>
            <w:tcW w:w="977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STK11</w:t>
            </w:r>
          </w:p>
        </w:tc>
        <w:tc>
          <w:tcPr>
            <w:tcW w:w="981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TGFBR1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86DB8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066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GFBR2</w:t>
            </w:r>
          </w:p>
        </w:tc>
        <w:tc>
          <w:tcPr>
            <w:tcW w:w="975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TMEM127</w:t>
            </w:r>
          </w:p>
        </w:tc>
        <w:tc>
          <w:tcPr>
            <w:tcW w:w="981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TMEM43</w:t>
            </w:r>
          </w:p>
        </w:tc>
        <w:tc>
          <w:tcPr>
            <w:tcW w:w="965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TNNI3</w:t>
            </w:r>
          </w:p>
        </w:tc>
        <w:tc>
          <w:tcPr>
            <w:tcW w:w="972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TNNT2</w:t>
            </w:r>
          </w:p>
        </w:tc>
        <w:tc>
          <w:tcPr>
            <w:tcW w:w="975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TP53</w:t>
            </w:r>
          </w:p>
        </w:tc>
        <w:tc>
          <w:tcPr>
            <w:tcW w:w="985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TPM1</w:t>
            </w:r>
          </w:p>
        </w:tc>
        <w:tc>
          <w:tcPr>
            <w:tcW w:w="977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TRDN</w:t>
            </w:r>
          </w:p>
        </w:tc>
        <w:tc>
          <w:tcPr>
            <w:tcW w:w="977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TSC1</w:t>
            </w:r>
          </w:p>
        </w:tc>
        <w:tc>
          <w:tcPr>
            <w:tcW w:w="981" w:type="dxa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TSC2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86DB8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066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TTN</w:t>
            </w:r>
          </w:p>
        </w:tc>
        <w:tc>
          <w:tcPr>
            <w:tcW w:w="975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VHL</w:t>
            </w:r>
          </w:p>
        </w:tc>
        <w:tc>
          <w:tcPr>
            <w:tcW w:w="981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WT1</w:t>
            </w:r>
          </w:p>
        </w:tc>
        <w:tc>
          <w:tcPr>
            <w:tcW w:w="965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TNNC1</w:t>
            </w:r>
          </w:p>
        </w:tc>
        <w:tc>
          <w:tcPr>
            <w:tcW w:w="972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RBM20</w:t>
            </w:r>
          </w:p>
        </w:tc>
        <w:tc>
          <w:tcPr>
            <w:tcW w:w="975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BAG3</w:t>
            </w:r>
          </w:p>
        </w:tc>
        <w:tc>
          <w:tcPr>
            <w:tcW w:w="985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DES</w:t>
            </w:r>
          </w:p>
        </w:tc>
        <w:tc>
          <w:tcPr>
            <w:tcW w:w="977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  <w:r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TTR</w:t>
            </w:r>
          </w:p>
        </w:tc>
        <w:tc>
          <w:tcPr>
            <w:tcW w:w="977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b/>
                <w:b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</w:pPr>
          </w:p>
        </w:tc>
        <w:tc>
          <w:tcPr>
            <w:tcW w:w="981" w:type="dxa"/>
            <w:shd w:val="clear" w:color="auto" w:fill="C5D7EE"/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/>
              <w:suppressAutoHyphen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right="0"/>
              <w:jc w:val="center"/>
              <w:textAlignment w:val="auto"/>
              <w:outlineLvl w:val="9"/>
              <w:rPr>
                <w:rFonts w:hint="eastAsia" w:ascii="微软雅黑" w:hAnsi="微软雅黑" w:eastAsia="微软雅黑" w:cs="微软雅黑"/>
                <w:i/>
                <w:iCs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</w:p>
        </w:tc>
      </w:tr>
    </w:tbl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 w:firstLine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000000"/>
          <w:spacing w:val="0"/>
          <w:w w:val="100"/>
          <w:kern w:val="0"/>
          <w:position w:val="0"/>
          <w:sz w:val="16"/>
          <w:szCs w:val="16"/>
          <w:u w:val="none" w:color="auto"/>
          <w:vertAlign w:val="baseline"/>
          <w:rtl w:val="0"/>
          <w:lang w:val="zh-CN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right="0" w:firstLine="0"/>
        <w:jc w:val="left"/>
        <w:textAlignment w:val="auto"/>
        <w:outlineLvl w:val="9"/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6"/>
          <w:szCs w:val="16"/>
          <w:u w:val="none" w:color="auto"/>
          <w:vertAlign w:val="baseline"/>
          <w:rtl w:val="0"/>
          <w:lang w:val="zh-CN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pacing w:val="0"/>
          <w:w w:val="100"/>
          <w:kern w:val="0"/>
          <w:position w:val="0"/>
          <w:sz w:val="16"/>
          <w:szCs w:val="16"/>
          <w:u w:val="none" w:color="auto"/>
          <w:vertAlign w:val="baseline"/>
          <w:rtl w:val="0"/>
          <w:lang w:val="zh-CN" w:eastAsia="zh-CN"/>
        </w:rPr>
        <w:t>可指导临床的次级发现：</w:t>
      </w: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6"/>
          <w:szCs w:val="16"/>
          <w:u w:val="none" w:color="auto"/>
          <w:vertAlign w:val="baseline"/>
          <w:rtl w:val="0"/>
          <w:lang w:val="en-US" w:eastAsia="zh-TW"/>
        </w:rPr>
        <w:t>ACMG</w:t>
      </w: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6"/>
          <w:szCs w:val="16"/>
          <w:u w:val="none" w:color="auto"/>
          <w:vertAlign w:val="baseline"/>
          <w:rtl w:val="0"/>
          <w:lang w:val="zh-CN" w:eastAsia="zh-CN"/>
        </w:rPr>
        <w:t>指南提出的临床次级提示</w:t>
      </w: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6"/>
          <w:szCs w:val="16"/>
          <w:u w:val="none" w:color="auto"/>
          <w:vertAlign w:val="baseline"/>
          <w:rtl w:val="0"/>
          <w:lang w:val="zh-TW" w:eastAsia="zh-CN"/>
        </w:rPr>
        <w:t>7</w:t>
      </w: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6"/>
          <w:szCs w:val="16"/>
          <w:u w:val="none" w:color="auto"/>
          <w:vertAlign w:val="baseline"/>
          <w:rtl w:val="0"/>
          <w:lang w:val="en-US" w:eastAsia="zh-CN"/>
        </w:rPr>
        <w:t>8</w:t>
      </w:r>
      <w:r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6"/>
          <w:szCs w:val="16"/>
          <w:u w:val="none" w:color="auto"/>
          <w:vertAlign w:val="baseline"/>
          <w:rtl w:val="0"/>
          <w:lang w:val="zh-CN" w:eastAsia="zh-CN"/>
        </w:rPr>
        <w:t>基因，已知这些基因存在突变会导致严重疾病，而且这些突变的相关信息有助于引导相关的临床措施。</w:t>
      </w: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360" w:lineRule="exact"/>
        <w:ind w:left="0" w:right="0" w:firstLine="0"/>
        <w:jc w:val="left"/>
        <w:outlineLvl w:val="9"/>
        <w:rPr>
          <w:rFonts w:hint="eastAsia" w:ascii="微软雅黑" w:hAnsi="微软雅黑" w:eastAsia="微软雅黑" w:cs="微软雅黑"/>
          <w:color w:val="000000"/>
          <w:spacing w:val="0"/>
          <w:w w:val="100"/>
          <w:kern w:val="0"/>
          <w:position w:val="0"/>
          <w:sz w:val="16"/>
          <w:szCs w:val="16"/>
          <w:u w:val="none" w:color="auto"/>
          <w:vertAlign w:val="baseline"/>
          <w:rtl w:val="0"/>
          <w:lang w:val="zh-CN" w:eastAsia="zh-CN"/>
        </w:rPr>
      </w:pPr>
    </w:p>
    <w:tbl>
      <w:tblPr>
        <w:tblStyle w:val="7"/>
        <w:tblW w:w="9870" w:type="dxa"/>
        <w:tblInd w:w="-2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shd w:val="clear" w:color="auto" w:fill="auto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1713"/>
        <w:gridCol w:w="8157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27" w:hRule="atLeast"/>
        </w:trPr>
        <w:tc>
          <w:tcPr>
            <w:tcW w:w="9870" w:type="dxa"/>
            <w:gridSpan w:val="2"/>
            <w:tcBorders>
              <w:top w:val="single" w:color="FEFEFE" w:sz="2" w:space="0"/>
              <w:left w:val="single" w:color="FEFEFE" w:sz="2" w:space="0"/>
              <w:bottom w:val="single" w:color="FEFEFE" w:sz="2" w:space="0"/>
              <w:right w:val="single" w:color="FEFEFE" w:sz="2" w:space="0"/>
            </w:tcBorders>
            <w:shd w:val="clear" w:color="auto" w:fill="286EB8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5"/>
              <w:framePr w:wrap="auto" w:vAnchor="margin" w:hAnchor="text" w:yAlign="inline"/>
              <w:spacing w:line="360" w:lineRule="exact"/>
              <w:jc w:val="left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28"/>
                <w:szCs w:val="28"/>
                <w:rtl w:val="0"/>
              </w:rPr>
              <w:t>名词解释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883" w:hRule="atLeast"/>
        </w:trPr>
        <w:tc>
          <w:tcPr>
            <w:tcW w:w="1713" w:type="dxa"/>
            <w:tcBorders>
              <w:top w:val="single" w:color="FEFEFE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center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  <w:t>遗传模式</w:t>
            </w:r>
          </w:p>
        </w:tc>
        <w:tc>
          <w:tcPr>
            <w:tcW w:w="8157" w:type="dxa"/>
            <w:tcBorders>
              <w:top w:val="single" w:color="FEFEFE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TW"/>
              </w:rPr>
              <w:t>AD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  <w:t>：常染色体显性遗传；</w:t>
            </w:r>
          </w:p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  <w:t>AR：常染色体隐性遗传；</w:t>
            </w:r>
          </w:p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  <w:t>XLD：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TW"/>
              </w:rPr>
              <w:t>X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  <w:t>连锁显性遗传；</w:t>
            </w:r>
          </w:p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  <w:t>XLR：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TW"/>
              </w:rPr>
              <w:t>X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  <w:t>连锁隐性遗传；</w:t>
            </w:r>
          </w:p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  <w:t>XL：X连锁；</w:t>
            </w:r>
          </w:p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TW"/>
              </w:rPr>
              <w:t>Unknown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  <w:t>：遗传模式不明确。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95" w:hRule="atLeast"/>
        </w:trPr>
        <w:tc>
          <w:tcPr>
            <w:tcW w:w="17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center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ja-JP" w:eastAsia="ja-JP"/>
              </w:rPr>
              <w:t>野生型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  <w:t>（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TW"/>
              </w:rPr>
              <w:t>WT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  <w:t>）</w:t>
            </w:r>
          </w:p>
        </w:tc>
        <w:tc>
          <w:tcPr>
            <w:tcW w:w="81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指自然群体中观察到的最高频率的等位基因序列，与参考基因序列是相同的。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95" w:hRule="atLeast"/>
        </w:trPr>
        <w:tc>
          <w:tcPr>
            <w:tcW w:w="17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center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  <w:t>杂合（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TW"/>
              </w:rPr>
              <w:t>het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  <w:t>）</w:t>
            </w:r>
          </w:p>
        </w:tc>
        <w:tc>
          <w:tcPr>
            <w:tcW w:w="81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  <w:t>指一对等位基因中，一个基因发生变异，另一个基因序列是正常的。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95" w:hRule="atLeast"/>
        </w:trPr>
        <w:tc>
          <w:tcPr>
            <w:tcW w:w="17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center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  <w:t>纯合（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TW"/>
              </w:rPr>
              <w:t>hom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  <w:t>）</w:t>
            </w:r>
          </w:p>
        </w:tc>
        <w:tc>
          <w:tcPr>
            <w:tcW w:w="81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  <w:t>指两个等位基因的相同位置上发生相同变异。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95" w:hRule="atLeast"/>
        </w:trPr>
        <w:tc>
          <w:tcPr>
            <w:tcW w:w="17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center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  <w:t>半合（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TW"/>
              </w:rPr>
              <w:t>hemi</w:t>
            </w: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  <w:t>）</w:t>
            </w:r>
          </w:p>
        </w:tc>
        <w:tc>
          <w:tcPr>
            <w:tcW w:w="81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  <w:t>指男性在X染色体上的基因发生变异。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95" w:hRule="atLeast"/>
        </w:trPr>
        <w:tc>
          <w:tcPr>
            <w:tcW w:w="17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center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en-US" w:eastAsia="zh-TW"/>
              </w:rPr>
              <w:t>MAF</w:t>
            </w:r>
          </w:p>
        </w:tc>
        <w:tc>
          <w:tcPr>
            <w:tcW w:w="81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320" w:lineRule="exact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CN" w:eastAsia="zh-CN"/>
              </w:rPr>
              <w:t>人群频率库中最大人群携带频率。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shd w:val="clear" w:color="auto" w:fill="auto"/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120" w:hRule="atLeast"/>
        </w:trPr>
        <w:tc>
          <w:tcPr>
            <w:tcW w:w="17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C5D7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center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HGVS</w:t>
            </w:r>
          </w:p>
        </w:tc>
        <w:tc>
          <w:tcPr>
            <w:tcW w:w="81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keepNext w:val="0"/>
              <w:keepLines w:val="0"/>
              <w:pageBreakBefore w:val="0"/>
              <w:framePr w:wrap="auto" w:vAnchor="margin" w:hAnchor="text" w:yAlign="inline"/>
              <w:widowControl w:val="0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both"/>
              <w:outlineLvl w:val="9"/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pacing w:val="0"/>
                <w:w w:val="100"/>
                <w:kern w:val="0"/>
                <w:position w:val="0"/>
                <w:sz w:val="18"/>
                <w:szCs w:val="18"/>
                <w:u w:val="none" w:color="auto"/>
                <w:vertAlign w:val="baseline"/>
                <w:rtl w:val="0"/>
                <w:lang w:val="zh-TW" w:eastAsia="zh-TW"/>
              </w:rPr>
              <w:t>人类基因组变异协会(Human Genome Variation Society)，提出的转录本编号，cDNA参考序列(以前缀“c.”表示)、氨基酸参考序列(以前缀“p.”表示)。cDNA中一种碱基被另一种碱基取代，以“&gt;”进行表示，如：c.2186A&gt;G，表示与参考序列相比，在第2186位置的腺嘌呤(A)被鸟嘌呤(G)所取代；在氨基酸中p.Asp729Gly，表示在第729位置的Asp(天冬氨酸)被Gly(甘氨酸)取代。</w:t>
            </w:r>
          </w:p>
        </w:tc>
      </w:tr>
    </w:tbl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  <w:r>
        <w:rPr>
          <w:rFonts w:hint="eastAsia" w:ascii="微软雅黑" w:hAnsi="微软雅黑" w:eastAsia="微软雅黑" w:cs="微软雅黑"/>
          <w:sz w:val="21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1068070</wp:posOffset>
            </wp:positionH>
            <wp:positionV relativeFrom="paragraph">
              <wp:posOffset>79375</wp:posOffset>
            </wp:positionV>
            <wp:extent cx="3515995" cy="1041400"/>
            <wp:effectExtent l="0" t="0" r="1905" b="0"/>
            <wp:wrapSquare wrapText="bothSides"/>
            <wp:docPr id="18" name="图片 18" descr="金域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金域log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 w:val="0"/>
        <w:shd w:val="clear" w:color="auto" w:fill="auto"/>
        <w:suppressAutoHyphens w:val="0"/>
        <w:bidi w:val="0"/>
        <w:spacing w:before="0" w:after="0" w:line="276" w:lineRule="auto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CCDDF2"/>
          <w:spacing w:val="0"/>
          <w:kern w:val="0"/>
          <w:position w:val="0"/>
          <w:sz w:val="20"/>
          <w:szCs w:val="20"/>
          <w:u w:val="none"/>
          <w:vertAlign w:val="baseline"/>
        </w:rPr>
      </w:pPr>
    </w:p>
    <w:p>
      <w:pPr>
        <w:rPr>
          <w:rFonts w:hint="eastAsia" w:ascii="微软雅黑" w:hAnsi="微软雅黑" w:eastAsia="微软雅黑" w:cs="微软雅黑"/>
        </w:rPr>
      </w:pPr>
    </w:p>
    <w:sectPr>
      <w:headerReference r:id="rId5" w:type="default"/>
      <w:footerReference r:id="rId6" w:type="default"/>
      <w:pgSz w:w="11906" w:h="16838"/>
      <w:pgMar w:top="1134" w:right="1134" w:bottom="1134" w:left="1134" w:header="709" w:footer="85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altName w:val="宋体"/>
    <w:panose1 w:val="020B0604020202020204"/>
    <w:charset w:val="86"/>
    <w:family w:val="roman"/>
    <w:pitch w:val="default"/>
    <w:sig w:usb0="00000000" w:usb1="00000000" w:usb2="0000003F" w:usb3="00000000" w:csb0="603F01FF" w:csb1="FFFF0000"/>
  </w:font>
  <w:font w:name="Hiragino Sans GB">
    <w:altName w:val="宋体"/>
    <w:panose1 w:val="020B0300000000000000"/>
    <w:charset w:val="86"/>
    <w:family w:val="swiss"/>
    <w:pitch w:val="default"/>
    <w:sig w:usb0="00000000" w:usb1="00000000" w:usb2="00000016" w:usb3="00000000" w:csb0="00060007" w:csb1="00000000"/>
  </w:font>
  <w:font w:name="PingFang SC">
    <w:altName w:val="宋体"/>
    <w:panose1 w:val="020B0400000000000000"/>
    <w:charset w:val="86"/>
    <w:family w:val="swiss"/>
    <w:pitch w:val="default"/>
    <w:sig w:usb0="00000000" w:usb1="00000000" w:usb2="00000017" w:usb3="00000000" w:csb0="00040001" w:csb1="00000000"/>
  </w:font>
  <w:font w:name="DejaVu Sans">
    <w:altName w:val="DejaVu Sans Mono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FZLTTHK--GBK1-0">
    <w:altName w:val="宋体"/>
    <w:panose1 w:val="02000000000000000000"/>
    <w:charset w:val="86"/>
    <w:family w:val="swiss"/>
    <w:pitch w:val="default"/>
    <w:sig w:usb0="00000000" w:usb1="00000000" w:usb2="00000000" w:usb3="00000000" w:csb0="00040000" w:csb1="00000000"/>
  </w:font>
  <w:font w:name="Helvetica Neue">
    <w:altName w:val="Times New Roman"/>
    <w:panose1 w:val="02000503000000020004"/>
    <w:charset w:val="00"/>
    <w:family w:val="auto"/>
    <w:pitch w:val="default"/>
    <w:sig w:usb0="00000000" w:usb1="00000000" w:usb2="0000001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思域黑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framePr w:wrap="auto" w:vAnchor="margin" w:hAnchor="text" w:yAlign="inline"/>
      <w:tabs>
        <w:tab w:val="center" w:pos="4819"/>
        <w:tab w:val="right" w:pos="9638"/>
        <w:tab w:val="clear" w:pos="9020"/>
      </w:tabs>
      <w:jc w:val="left"/>
    </w:pPr>
    <w:r>
      <w:drawing>
        <wp:anchor distT="0" distB="0" distL="0" distR="0" simplePos="0" relativeHeight="251659264" behindDoc="0" locked="0" layoutInCell="1" allowOverlap="1">
          <wp:simplePos x="0" y="0"/>
          <wp:positionH relativeFrom="page">
            <wp:posOffset>662305</wp:posOffset>
          </wp:positionH>
          <wp:positionV relativeFrom="paragraph">
            <wp:posOffset>-208280</wp:posOffset>
          </wp:positionV>
          <wp:extent cx="6429375" cy="877570"/>
          <wp:effectExtent l="0" t="0" r="22225" b="11430"/>
          <wp:wrapTopAndBottom/>
          <wp:docPr id="5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3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29375" cy="877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fldChar w:fldCharType="begin"/>
    </w:r>
    <w:r>
      <w:instrText xml:space="preserve"> PAGE 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5825490</wp:posOffset>
              </wp:positionH>
              <wp:positionV relativeFrom="page">
                <wp:posOffset>585470</wp:posOffset>
              </wp:positionV>
              <wp:extent cx="1016000" cy="10795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6000" cy="107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framePr w:wrap="auto" w:vAnchor="margin" w:hAnchor="text" w:yAlign="inline"/>
                            <w:spacing w:before="0" w:line="162" w:lineRule="exact"/>
                            <w:ind w:left="20" w:right="0" w:firstLine="0"/>
                            <w:jc w:val="left"/>
                            <w:rPr>
                              <w:rFonts w:hint="eastAsia" w:ascii="Hiragino Sans GB" w:eastAsia="Hiragino Sans GB"/>
                              <w:sz w:val="13"/>
                            </w:rPr>
                          </w:pPr>
                          <w:r>
                            <w:rPr>
                              <w:rFonts w:hint="eastAsia" w:ascii="Hiragino Sans GB" w:eastAsia="Hiragino Sans GB"/>
                              <w:color w:val="231F20"/>
                              <w:spacing w:val="-1"/>
                              <w:sz w:val="13"/>
                            </w:rPr>
                            <w:t>本报告单经过电⼦签名认证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58.7pt;margin-top:46.1pt;height:8.5pt;width:80pt;mso-position-horizontal-relative:page;mso-position-vertical-relative:page;z-index:-251655168;mso-width-relative:page;mso-height-relative:page;" filled="f" stroked="f" coordsize="21600,21600" o:gfxdata="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4AgUZNgAAAALAQAADwAAAAAAAAABACAAAAAiAAAAZHJzL2Rvd25yZXYu&#10;eG1sUEsBAhQAFAAAAAgAh07iQER1ajzCAQAAewMAAA4AAAAAAAAAAQAgAAAAJwEAAGRycy9lMm9E&#10;b2MueG1sUEsFBgAAAAAGAAYAWQEAAFs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framePr w:wrap="auto" w:vAnchor="margin" w:hAnchor="text" w:yAlign="inline"/>
                      <w:spacing w:before="0" w:line="162" w:lineRule="exact"/>
                      <w:ind w:left="20" w:right="0" w:firstLine="0"/>
                      <w:jc w:val="left"/>
                      <w:rPr>
                        <w:rFonts w:hint="eastAsia" w:ascii="Hiragino Sans GB" w:eastAsia="Hiragino Sans GB"/>
                        <w:sz w:val="13"/>
                      </w:rPr>
                    </w:pPr>
                    <w:r>
                      <w:rPr>
                        <w:rFonts w:hint="eastAsia" w:ascii="Hiragino Sans GB" w:eastAsia="Hiragino Sans GB"/>
                        <w:color w:val="231F20"/>
                        <w:spacing w:val="-1"/>
                        <w:sz w:val="13"/>
                      </w:rPr>
                      <w:t>本报告单经过电⼦签名认证</w:t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0" distR="0" simplePos="0" relativeHeight="251660288" behindDoc="1" locked="0" layoutInCell="1" allowOverlap="1">
          <wp:simplePos x="0" y="0"/>
          <wp:positionH relativeFrom="page">
            <wp:posOffset>748030</wp:posOffset>
          </wp:positionH>
          <wp:positionV relativeFrom="page">
            <wp:posOffset>425450</wp:posOffset>
          </wp:positionV>
          <wp:extent cx="649605" cy="280670"/>
          <wp:effectExtent l="0" t="0" r="10795" b="2413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2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9605" cy="280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71F819"/>
    <w:multiLevelType w:val="singleLevel"/>
    <w:tmpl w:val="2371F81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noLineBreaksAfter w:lang="zh-CN" w:val="‘“(〔[{〈《「『【⦅〘〖«〝︵︷︹︻︽︿﹁﹃﹇﹙﹛﹝｢"/>
  <w:noLineBreaksBefore w:lang="zh-CN" w:val="’”)〕]}〉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</w:compat>
  <w:docVars>
    <w:docVar w:name="commondata" w:val="eyJoZGlkIjoiMjgwMGIwZDZjZTQ5ZDVjNjkyYmY5ZjJkNWVmZDE0NmEifQ=="/>
  </w:docVars>
  <w:rsids>
    <w:rsidRoot w:val="00172A27"/>
    <w:rsid w:val="005B6B47"/>
    <w:rsid w:val="009D5007"/>
    <w:rsid w:val="00F51675"/>
    <w:rsid w:val="00FB00E0"/>
    <w:rsid w:val="01076C4C"/>
    <w:rsid w:val="01871A8D"/>
    <w:rsid w:val="01A74ECD"/>
    <w:rsid w:val="01A817DB"/>
    <w:rsid w:val="01C02938"/>
    <w:rsid w:val="024F516F"/>
    <w:rsid w:val="02624ED2"/>
    <w:rsid w:val="03FA61DB"/>
    <w:rsid w:val="040E548E"/>
    <w:rsid w:val="044132C4"/>
    <w:rsid w:val="04DE7278"/>
    <w:rsid w:val="05323DDF"/>
    <w:rsid w:val="05C416C0"/>
    <w:rsid w:val="05E3667C"/>
    <w:rsid w:val="06595F92"/>
    <w:rsid w:val="065B7836"/>
    <w:rsid w:val="068111BE"/>
    <w:rsid w:val="06E13EFA"/>
    <w:rsid w:val="06E57EA7"/>
    <w:rsid w:val="07037A32"/>
    <w:rsid w:val="079E131A"/>
    <w:rsid w:val="07EC1847"/>
    <w:rsid w:val="092C31A5"/>
    <w:rsid w:val="096E52F8"/>
    <w:rsid w:val="09C34D22"/>
    <w:rsid w:val="0AB13EC9"/>
    <w:rsid w:val="0AC37F01"/>
    <w:rsid w:val="0ACD68A5"/>
    <w:rsid w:val="0BEF6DE4"/>
    <w:rsid w:val="0C895BC0"/>
    <w:rsid w:val="0CA90909"/>
    <w:rsid w:val="0D5A7BA0"/>
    <w:rsid w:val="0D9743B7"/>
    <w:rsid w:val="0E001326"/>
    <w:rsid w:val="0E3C5C14"/>
    <w:rsid w:val="0E472D55"/>
    <w:rsid w:val="0F4C790E"/>
    <w:rsid w:val="0F693ECA"/>
    <w:rsid w:val="0FBF57AE"/>
    <w:rsid w:val="10313D19"/>
    <w:rsid w:val="10463F7D"/>
    <w:rsid w:val="1092783E"/>
    <w:rsid w:val="10977B66"/>
    <w:rsid w:val="10A45AFE"/>
    <w:rsid w:val="10CF44B2"/>
    <w:rsid w:val="111B45D0"/>
    <w:rsid w:val="11DB3768"/>
    <w:rsid w:val="11ED5EAE"/>
    <w:rsid w:val="123A5E0E"/>
    <w:rsid w:val="124525AB"/>
    <w:rsid w:val="136D74B4"/>
    <w:rsid w:val="13B31C39"/>
    <w:rsid w:val="14200B30"/>
    <w:rsid w:val="1457079F"/>
    <w:rsid w:val="14934DDF"/>
    <w:rsid w:val="14FD2347"/>
    <w:rsid w:val="16CD4127"/>
    <w:rsid w:val="16E27F03"/>
    <w:rsid w:val="17146A40"/>
    <w:rsid w:val="17284D0D"/>
    <w:rsid w:val="173B2225"/>
    <w:rsid w:val="176C0D57"/>
    <w:rsid w:val="17B9612D"/>
    <w:rsid w:val="18757802"/>
    <w:rsid w:val="188E3A9B"/>
    <w:rsid w:val="1909018F"/>
    <w:rsid w:val="1987098D"/>
    <w:rsid w:val="1B9C0A10"/>
    <w:rsid w:val="1CB2549C"/>
    <w:rsid w:val="1D4C6FC3"/>
    <w:rsid w:val="1DB60283"/>
    <w:rsid w:val="1DCC677F"/>
    <w:rsid w:val="1DE37048"/>
    <w:rsid w:val="1F6B015C"/>
    <w:rsid w:val="1FA266E0"/>
    <w:rsid w:val="1FF84B11"/>
    <w:rsid w:val="20455750"/>
    <w:rsid w:val="20506668"/>
    <w:rsid w:val="20EB4EDE"/>
    <w:rsid w:val="213F0878"/>
    <w:rsid w:val="217B12AB"/>
    <w:rsid w:val="21E122F4"/>
    <w:rsid w:val="22173C17"/>
    <w:rsid w:val="224A4047"/>
    <w:rsid w:val="22AB12D8"/>
    <w:rsid w:val="232C6740"/>
    <w:rsid w:val="242A734D"/>
    <w:rsid w:val="243454F7"/>
    <w:rsid w:val="248E1E23"/>
    <w:rsid w:val="25B06EFA"/>
    <w:rsid w:val="25FF03EA"/>
    <w:rsid w:val="263D6CFA"/>
    <w:rsid w:val="264937FD"/>
    <w:rsid w:val="26881225"/>
    <w:rsid w:val="26DA58F8"/>
    <w:rsid w:val="27A34FE1"/>
    <w:rsid w:val="27B64475"/>
    <w:rsid w:val="284E656B"/>
    <w:rsid w:val="28C22AF5"/>
    <w:rsid w:val="28E04322"/>
    <w:rsid w:val="292A6EC8"/>
    <w:rsid w:val="29B652C5"/>
    <w:rsid w:val="29EC68E5"/>
    <w:rsid w:val="2A233959"/>
    <w:rsid w:val="2A7F5198"/>
    <w:rsid w:val="2B916962"/>
    <w:rsid w:val="2B9C5749"/>
    <w:rsid w:val="2C4D653A"/>
    <w:rsid w:val="2C5C369B"/>
    <w:rsid w:val="2C6176D8"/>
    <w:rsid w:val="2C70553A"/>
    <w:rsid w:val="2CBE6DEB"/>
    <w:rsid w:val="2CE82074"/>
    <w:rsid w:val="2D366106"/>
    <w:rsid w:val="2DC15137"/>
    <w:rsid w:val="2E5036D6"/>
    <w:rsid w:val="2ED00AC9"/>
    <w:rsid w:val="2EFBE744"/>
    <w:rsid w:val="303D17A4"/>
    <w:rsid w:val="3051409E"/>
    <w:rsid w:val="307805FB"/>
    <w:rsid w:val="309C1838"/>
    <w:rsid w:val="30C028D1"/>
    <w:rsid w:val="30C705D7"/>
    <w:rsid w:val="31163141"/>
    <w:rsid w:val="31301E72"/>
    <w:rsid w:val="318F411A"/>
    <w:rsid w:val="31A240F4"/>
    <w:rsid w:val="326B102B"/>
    <w:rsid w:val="329F7072"/>
    <w:rsid w:val="33185030"/>
    <w:rsid w:val="34303811"/>
    <w:rsid w:val="344B48C7"/>
    <w:rsid w:val="34C3181F"/>
    <w:rsid w:val="352074A5"/>
    <w:rsid w:val="36450FEB"/>
    <w:rsid w:val="38FC32F5"/>
    <w:rsid w:val="39123002"/>
    <w:rsid w:val="3927510A"/>
    <w:rsid w:val="39537D0B"/>
    <w:rsid w:val="3990587D"/>
    <w:rsid w:val="39A51286"/>
    <w:rsid w:val="39FD1E1A"/>
    <w:rsid w:val="3A0D4511"/>
    <w:rsid w:val="3A4C5EA7"/>
    <w:rsid w:val="3A795137"/>
    <w:rsid w:val="3B1F5AEE"/>
    <w:rsid w:val="3B491EA3"/>
    <w:rsid w:val="3C204E70"/>
    <w:rsid w:val="3C7052EA"/>
    <w:rsid w:val="3CF25853"/>
    <w:rsid w:val="3D4143D2"/>
    <w:rsid w:val="3D5B0E5C"/>
    <w:rsid w:val="3D6F376F"/>
    <w:rsid w:val="3E223BED"/>
    <w:rsid w:val="3E274D41"/>
    <w:rsid w:val="3F7F1678"/>
    <w:rsid w:val="3F8774B5"/>
    <w:rsid w:val="40275AB8"/>
    <w:rsid w:val="40352258"/>
    <w:rsid w:val="41A42FAD"/>
    <w:rsid w:val="423726C8"/>
    <w:rsid w:val="42C53717"/>
    <w:rsid w:val="42F13487"/>
    <w:rsid w:val="42FE50D7"/>
    <w:rsid w:val="43BE5141"/>
    <w:rsid w:val="43C72579"/>
    <w:rsid w:val="44CE7600"/>
    <w:rsid w:val="4530481D"/>
    <w:rsid w:val="46A5686A"/>
    <w:rsid w:val="471B7991"/>
    <w:rsid w:val="47E61B2C"/>
    <w:rsid w:val="47F56D03"/>
    <w:rsid w:val="4814634D"/>
    <w:rsid w:val="48B455E9"/>
    <w:rsid w:val="48E766E1"/>
    <w:rsid w:val="491204AD"/>
    <w:rsid w:val="497600D5"/>
    <w:rsid w:val="49A308A5"/>
    <w:rsid w:val="4A567638"/>
    <w:rsid w:val="4A987CDE"/>
    <w:rsid w:val="4ADD0C0B"/>
    <w:rsid w:val="4B70353E"/>
    <w:rsid w:val="4B99057B"/>
    <w:rsid w:val="4CB47441"/>
    <w:rsid w:val="4CFD5A06"/>
    <w:rsid w:val="4D6B5C70"/>
    <w:rsid w:val="4DA649DB"/>
    <w:rsid w:val="4E686795"/>
    <w:rsid w:val="4E7F7C5E"/>
    <w:rsid w:val="4E886707"/>
    <w:rsid w:val="4E8A4450"/>
    <w:rsid w:val="4EAD764E"/>
    <w:rsid w:val="4F580134"/>
    <w:rsid w:val="4F7F0D57"/>
    <w:rsid w:val="4F807F45"/>
    <w:rsid w:val="4FC363A4"/>
    <w:rsid w:val="4FFF0769"/>
    <w:rsid w:val="50504A7D"/>
    <w:rsid w:val="50FA0926"/>
    <w:rsid w:val="5143651E"/>
    <w:rsid w:val="522D6ABB"/>
    <w:rsid w:val="53135B10"/>
    <w:rsid w:val="533E519B"/>
    <w:rsid w:val="538141AB"/>
    <w:rsid w:val="547B4924"/>
    <w:rsid w:val="555A47E2"/>
    <w:rsid w:val="562C17F3"/>
    <w:rsid w:val="563F3595"/>
    <w:rsid w:val="5657613D"/>
    <w:rsid w:val="567529EA"/>
    <w:rsid w:val="5707156D"/>
    <w:rsid w:val="575E2E00"/>
    <w:rsid w:val="577070F6"/>
    <w:rsid w:val="57E502DB"/>
    <w:rsid w:val="57F32517"/>
    <w:rsid w:val="5930644A"/>
    <w:rsid w:val="59CB159D"/>
    <w:rsid w:val="5A033232"/>
    <w:rsid w:val="5A585330"/>
    <w:rsid w:val="5AC44CFF"/>
    <w:rsid w:val="5BF2585F"/>
    <w:rsid w:val="5C0B4B55"/>
    <w:rsid w:val="5C0D3408"/>
    <w:rsid w:val="5C594529"/>
    <w:rsid w:val="5C740FA5"/>
    <w:rsid w:val="5C9F5B9A"/>
    <w:rsid w:val="5D9E48C8"/>
    <w:rsid w:val="5DAB009A"/>
    <w:rsid w:val="5DF370A7"/>
    <w:rsid w:val="5ED70E2C"/>
    <w:rsid w:val="5EE5015A"/>
    <w:rsid w:val="5EFA0B0F"/>
    <w:rsid w:val="5F290616"/>
    <w:rsid w:val="5F8E0FA1"/>
    <w:rsid w:val="602A0F80"/>
    <w:rsid w:val="602F2810"/>
    <w:rsid w:val="60564A84"/>
    <w:rsid w:val="609707F6"/>
    <w:rsid w:val="610F1826"/>
    <w:rsid w:val="611538B1"/>
    <w:rsid w:val="613C1D74"/>
    <w:rsid w:val="61504A17"/>
    <w:rsid w:val="61533377"/>
    <w:rsid w:val="615F22A6"/>
    <w:rsid w:val="621D770A"/>
    <w:rsid w:val="625D4D63"/>
    <w:rsid w:val="626939DF"/>
    <w:rsid w:val="626F1110"/>
    <w:rsid w:val="62A14A57"/>
    <w:rsid w:val="637B2ABE"/>
    <w:rsid w:val="64565A33"/>
    <w:rsid w:val="6465185A"/>
    <w:rsid w:val="655040A2"/>
    <w:rsid w:val="65FA4A0F"/>
    <w:rsid w:val="662202A6"/>
    <w:rsid w:val="67A11AEC"/>
    <w:rsid w:val="680433B7"/>
    <w:rsid w:val="681502C9"/>
    <w:rsid w:val="682D6385"/>
    <w:rsid w:val="6894512E"/>
    <w:rsid w:val="68AB7912"/>
    <w:rsid w:val="68DD5C63"/>
    <w:rsid w:val="696E51CE"/>
    <w:rsid w:val="69B75086"/>
    <w:rsid w:val="69C2590A"/>
    <w:rsid w:val="6A911FD3"/>
    <w:rsid w:val="6A995680"/>
    <w:rsid w:val="6C35262F"/>
    <w:rsid w:val="6C412E20"/>
    <w:rsid w:val="6C911A82"/>
    <w:rsid w:val="6C9444B6"/>
    <w:rsid w:val="6C9C757A"/>
    <w:rsid w:val="6CD232D3"/>
    <w:rsid w:val="6D4F2026"/>
    <w:rsid w:val="6DD461A9"/>
    <w:rsid w:val="6EC52B6C"/>
    <w:rsid w:val="6F1202D0"/>
    <w:rsid w:val="6F2121ED"/>
    <w:rsid w:val="6F802508"/>
    <w:rsid w:val="6F993A2D"/>
    <w:rsid w:val="700E1CD1"/>
    <w:rsid w:val="70DC163B"/>
    <w:rsid w:val="70FC4E0F"/>
    <w:rsid w:val="715F09CF"/>
    <w:rsid w:val="72060C56"/>
    <w:rsid w:val="734C0D9B"/>
    <w:rsid w:val="74583EB6"/>
    <w:rsid w:val="746823FF"/>
    <w:rsid w:val="746A1FB7"/>
    <w:rsid w:val="750F7DF5"/>
    <w:rsid w:val="75346E3F"/>
    <w:rsid w:val="7550104A"/>
    <w:rsid w:val="75AC06E7"/>
    <w:rsid w:val="75B02E42"/>
    <w:rsid w:val="760E1C5E"/>
    <w:rsid w:val="76153982"/>
    <w:rsid w:val="76366479"/>
    <w:rsid w:val="765DEA8F"/>
    <w:rsid w:val="765E3803"/>
    <w:rsid w:val="76846F5D"/>
    <w:rsid w:val="77E42F0A"/>
    <w:rsid w:val="78347A55"/>
    <w:rsid w:val="7839673D"/>
    <w:rsid w:val="786E7ED3"/>
    <w:rsid w:val="78DE4285"/>
    <w:rsid w:val="79095CED"/>
    <w:rsid w:val="790C3C0C"/>
    <w:rsid w:val="793D5C58"/>
    <w:rsid w:val="796C5FAE"/>
    <w:rsid w:val="79F17B06"/>
    <w:rsid w:val="79FB4863"/>
    <w:rsid w:val="7A1C2A5E"/>
    <w:rsid w:val="7B2C6D4F"/>
    <w:rsid w:val="7BB14F9A"/>
    <w:rsid w:val="7BE10C35"/>
    <w:rsid w:val="7BF744AD"/>
    <w:rsid w:val="7C482FEC"/>
    <w:rsid w:val="7C4C28A3"/>
    <w:rsid w:val="7C520CD3"/>
    <w:rsid w:val="7DBB1435"/>
    <w:rsid w:val="7F9E6B00"/>
    <w:rsid w:val="7FFD3711"/>
    <w:rsid w:val="9C7BDF7D"/>
    <w:rsid w:val="9D99CCAD"/>
    <w:rsid w:val="CCFD64C5"/>
    <w:rsid w:val="D7C3CBB7"/>
    <w:rsid w:val="FEBBC03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spacing w:line="316" w:lineRule="exact"/>
      <w:ind w:left="4151" w:right="4062"/>
      <w:jc w:val="center"/>
      <w:outlineLvl w:val="1"/>
    </w:pPr>
    <w:rPr>
      <w:rFonts w:ascii="Hiragino Sans GB" w:hAnsi="Hiragino Sans GB" w:eastAsia="Hiragino Sans GB" w:cs="Hiragino Sans GB"/>
      <w:sz w:val="24"/>
      <w:szCs w:val="24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rPr>
      <w:rFonts w:ascii="PingFang SC" w:hAnsi="PingFang SC" w:eastAsia="PingFang SC" w:cs="PingFang SC"/>
      <w:sz w:val="18"/>
      <w:szCs w:val="18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6">
    <w:name w:val="Title"/>
    <w:basedOn w:val="1"/>
    <w:qFormat/>
    <w:uiPriority w:val="0"/>
    <w:pPr>
      <w:keepNext w:val="0"/>
      <w:keepLines w:val="0"/>
      <w:pageBreakBefore w:val="0"/>
      <w:framePr w:wrap="auto"/>
      <w:widowControl w:val="0"/>
      <w:numPr>
        <w:ilvl w:val="-1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/>
      <w:suppressAutoHyphens/>
      <w:autoSpaceDE w:val="0"/>
      <w:autoSpaceDN w:val="0"/>
      <w:spacing w:before="74" w:beforeAutospacing="0" w:afterAutospacing="0"/>
      <w:ind w:left="307" w:firstLine="0"/>
      <w:outlineLvl w:val="9"/>
    </w:pPr>
    <w:rPr>
      <w:rFonts w:ascii="FZLTTHK--GBK1-0" w:hAnsi="FZLTTHK--GBK1-0" w:eastAsia="FZLTTHK--GBK1-0" w:cs="FZLTTHK--GBK1-0"/>
      <w:b/>
      <w:bCs/>
      <w:spacing w:val="0"/>
      <w:w w:val="100"/>
      <w:kern w:val="0"/>
      <w:position w:val="0"/>
      <w:sz w:val="24"/>
      <w:szCs w:val="24"/>
      <w:u w:val="none"/>
      <w:vertAlign w:val="baseline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qFormat/>
    <w:uiPriority w:val="0"/>
    <w:rPr>
      <w:u w:val="single"/>
    </w:rPr>
  </w:style>
  <w:style w:type="table" w:customStyle="1" w:styleId="11">
    <w:name w:val="Table Normal"/>
    <w:qFormat/>
    <w:uiPriority w:val="0"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12">
    <w:name w:val="页眉与页脚"/>
    <w:qFormat/>
    <w:uiPriority w:val="0"/>
    <w:pPr>
      <w:keepNext w:val="0"/>
      <w:keepLines w:val="0"/>
      <w:pageBreakBefore w:val="0"/>
      <w:framePr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vertAlign w:val="baseline"/>
    </w:rPr>
  </w:style>
  <w:style w:type="paragraph" w:customStyle="1" w:styleId="13">
    <w:name w:val="默认"/>
    <w:qFormat/>
    <w:uiPriority w:val="0"/>
    <w:pPr>
      <w:keepNext w:val="0"/>
      <w:keepLines w:val="0"/>
      <w:pageBreakBefore w:val="0"/>
      <w:framePr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hint="eastAsia" w:ascii="Arial Unicode MS" w:hAnsi="Arial Unicode MS" w:eastAsia="Helvetica Neue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  <w:lang w:val="zh-TW" w:eastAsia="zh-TW"/>
    </w:rPr>
  </w:style>
  <w:style w:type="paragraph" w:customStyle="1" w:styleId="14">
    <w:name w:val="正文1"/>
    <w:qFormat/>
    <w:uiPriority w:val="0"/>
    <w:pPr>
      <w:keepNext w:val="0"/>
      <w:keepLines w:val="0"/>
      <w:pageBreakBefore w:val="0"/>
      <w:framePr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Helvetica Neue" w:cs="Helvetica Neue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</w:rPr>
  </w:style>
  <w:style w:type="paragraph" w:customStyle="1" w:styleId="15">
    <w:name w:val="表格样式 2"/>
    <w:qFormat/>
    <w:uiPriority w:val="0"/>
    <w:pPr>
      <w:keepNext w:val="0"/>
      <w:keepLines w:val="0"/>
      <w:pageBreakBefore w:val="0"/>
      <w:framePr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Helvetica Neue" w:cs="Helvetica Neue"/>
      <w:color w:val="000000"/>
      <w:spacing w:val="0"/>
      <w:w w:val="100"/>
      <w:kern w:val="0"/>
      <w:position w:val="0"/>
      <w:sz w:val="20"/>
      <w:szCs w:val="20"/>
      <w:u w:val="none" w:color="auto"/>
      <w:vertAlign w:val="baseline"/>
    </w:rPr>
  </w:style>
  <w:style w:type="paragraph" w:customStyle="1" w:styleId="16">
    <w:name w:val="Table Paragraph"/>
    <w:basedOn w:val="1"/>
    <w:qFormat/>
    <w:uiPriority w:val="1"/>
    <w:rPr>
      <w:rFonts w:ascii="PingFang SC" w:hAnsi="PingFang SC" w:eastAsia="PingFang SC" w:cs="PingFang SC"/>
    </w:rPr>
  </w:style>
  <w:style w:type="paragraph" w:customStyle="1" w:styleId="17">
    <w:name w:val="List Paragraph"/>
    <w:basedOn w:val="1"/>
    <w:qFormat/>
    <w:uiPriority w:val="1"/>
    <w:pPr>
      <w:keepNext w:val="0"/>
      <w:keepLines w:val="0"/>
      <w:pageBreakBefore w:val="0"/>
      <w:framePr w:wrap="auto"/>
      <w:widowControl w:val="0"/>
      <w:numPr>
        <w:ilvl w:val="-1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/>
      <w:suppressAutoHyphens/>
      <w:autoSpaceDE w:val="0"/>
      <w:autoSpaceDN w:val="0"/>
      <w:spacing w:beforeAutospacing="0" w:afterAutospacing="0"/>
      <w:ind w:left="817" w:hanging="151"/>
      <w:outlineLvl w:val="9"/>
    </w:pPr>
    <w:rPr>
      <w:rFonts w:ascii="Arial Unicode MS" w:hAnsi="Arial Unicode MS" w:eastAsia="Arial Unicode MS" w:cs="Arial Unicode MS"/>
      <w:spacing w:val="0"/>
      <w:w w:val="10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3682</Words>
  <Characters>4599</Characters>
  <Lines>0</Lines>
  <Paragraphs>0</Paragraphs>
  <TotalTime>7</TotalTime>
  <ScaleCrop>false</ScaleCrop>
  <LinksUpToDate>false</LinksUpToDate>
  <CharactersWithSpaces>4804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2022-07-11T13:24:00Z</dcterms:created>
  <dc:creator>巧夫</dc:creator>
  <cp:lastModifiedBy>小仓思密达</cp:lastModifiedBy>
  <dcterms:modified xsi:type="dcterms:W3CDTF">2023-04-18T06:18:48Z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Created">
    <vt:filetime>2021-12-15T00:00:00Z</vt:filetime>
  </property>
  <property fmtid="{D5CDD505-2E9C-101B-9397-08002B2CF9AE}" pid="4" name="Creator">
    <vt:lpwstr> XeTeX output 2021.12.15:1601</vt:lpwstr>
  </property>
  <property fmtid="{D5CDD505-2E9C-101B-9397-08002B2CF9AE}" pid="5" name="LastSaved">
    <vt:filetime>2022-07-11T00:00:00Z</vt:filetime>
  </property>
  <property fmtid="{D5CDD505-2E9C-101B-9397-08002B2CF9AE}" pid="6" name="ICV">
    <vt:lpwstr>9E84E4B56F69495FB3CFED8137FA4630</vt:lpwstr>
  </property>
</Properties>
</file>