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1E3A8A"/>
          <w:sz w:val="36"/>
        </w:rPr>
        <w:t>TÀI LIỆU YÊU CẦU NGHIỆP VỤ (BRD)</w:t>
      </w:r>
    </w:p>
    <w:p>
      <w:pPr>
        <w:spacing w:after="280"/>
        <w:jc w:val="center"/>
      </w:pPr>
      <w:r>
        <w:rPr>
          <w:rFonts w:ascii="Arial" w:hAnsi="Arial"/>
          <w:b/>
          <w:color w:val="475569"/>
          <w:sz w:val="24"/>
        </w:rPr>
        <w:t>TÍNH NĂNG ỦY QUYỀN SỐ (DIGITAL DELEGATION) - CASSO ID</w:t>
      </w:r>
    </w:p>
    <w:tbl>
      <w:tblPr>
        <w:tblW w:type="auto" w:w="0"/>
        <w:jc w:val="center"/>
        <w:tblLook w:firstColumn="1" w:firstRow="1" w:lastColumn="0" w:lastRow="0" w:noHBand="0" w:noVBand="1" w:val="04A0"/>
      </w:tblPr>
      <w:tblGrid>
        <w:gridCol w:w="4320"/>
        <w:gridCol w:w="4320"/>
      </w:tblGrid>
      <w:tr>
        <w:tc>
          <w:tcPr>
            <w:tcW w:type="dxa" w:w="2880"/>
            <w:shd w:fill="F1F5F9"/>
            <w:tcMar>
              <w:top w:w="100" w:type="dxa"/>
              <w:bottom w:w="100" w:type="dxa"/>
              <w:left w:w="150" w:type="dxa"/>
              <w:right w:w="150" w:type="dxa"/>
            </w:tcMar>
          </w:tcPr>
          <w:p>
            <w:r>
              <w:rPr>
                <w:b/>
                <w:sz w:val="18"/>
              </w:rPr>
              <w:t>Dự án / Nền tảng</w:t>
            </w:r>
          </w:p>
        </w:tc>
        <w:tc>
          <w:tcPr>
            <w:tcW w:type="dxa" w:w="6480"/>
            <w:shd w:fill="FFFFFF"/>
            <w:tcMar>
              <w:top w:w="100" w:type="dxa"/>
              <w:bottom w:w="100" w:type="dxa"/>
              <w:left w:w="150" w:type="dxa"/>
              <w:right w:w="150" w:type="dxa"/>
            </w:tcMar>
          </w:tcPr>
          <w:p>
            <w:r>
              <w:rPr>
                <w:sz w:val="18"/>
              </w:rPr>
              <w:t>Casso ID (Hệ sinh thái định danh &amp; tài sản số)</w:t>
            </w:r>
          </w:p>
        </w:tc>
      </w:tr>
      <w:tr>
        <w:tc>
          <w:tcPr>
            <w:tcW w:type="dxa" w:w="2880"/>
            <w:shd w:fill="F1F5F9"/>
            <w:tcMar>
              <w:top w:w="100" w:type="dxa"/>
              <w:bottom w:w="100" w:type="dxa"/>
              <w:left w:w="150" w:type="dxa"/>
              <w:right w:w="150" w:type="dxa"/>
            </w:tcMar>
          </w:tcPr>
          <w:p>
            <w:r>
              <w:rPr>
                <w:b/>
                <w:sz w:val="18"/>
              </w:rPr>
              <w:t>Mô-đun</w:t>
            </w:r>
          </w:p>
        </w:tc>
        <w:tc>
          <w:tcPr>
            <w:tcW w:type="dxa" w:w="6480"/>
            <w:shd w:fill="FFFFFF"/>
            <w:tcMar>
              <w:top w:w="100" w:type="dxa"/>
              <w:bottom w:w="100" w:type="dxa"/>
              <w:left w:w="150" w:type="dxa"/>
              <w:right w:w="150" w:type="dxa"/>
            </w:tcMar>
          </w:tcPr>
          <w:p>
            <w:r>
              <w:rPr>
                <w:sz w:val="18"/>
              </w:rPr>
              <w:t>Trung tâm Ủy quyền số tập trung (Centralized Delegation Hub)</w:t>
            </w:r>
          </w:p>
        </w:tc>
      </w:tr>
      <w:tr>
        <w:tc>
          <w:tcPr>
            <w:tcW w:type="dxa" w:w="2880"/>
            <w:shd w:fill="F1F5F9"/>
            <w:tcMar>
              <w:top w:w="100" w:type="dxa"/>
              <w:bottom w:w="100" w:type="dxa"/>
              <w:left w:w="150" w:type="dxa"/>
              <w:right w:w="150" w:type="dxa"/>
            </w:tcMar>
          </w:tcPr>
          <w:p>
            <w:r>
              <w:rPr>
                <w:b/>
                <w:sz w:val="18"/>
              </w:rPr>
              <w:t>Phiên bản</w:t>
            </w:r>
          </w:p>
        </w:tc>
        <w:tc>
          <w:tcPr>
            <w:tcW w:type="dxa" w:w="6480"/>
            <w:shd w:fill="FFFFFF"/>
            <w:tcMar>
              <w:top w:w="100" w:type="dxa"/>
              <w:bottom w:w="100" w:type="dxa"/>
              <w:left w:w="150" w:type="dxa"/>
              <w:right w:w="150" w:type="dxa"/>
            </w:tcMar>
          </w:tcPr>
          <w:p>
            <w:r>
              <w:rPr>
                <w:sz w:val="18"/>
              </w:rPr>
              <w:t>2.1 (Bổ sung Lịch sử hoạt động / Audit Log &amp; Timeline)</w:t>
            </w:r>
          </w:p>
        </w:tc>
      </w:tr>
      <w:tr>
        <w:tc>
          <w:tcPr>
            <w:tcW w:type="dxa" w:w="2880"/>
            <w:shd w:fill="F1F5F9"/>
            <w:tcMar>
              <w:top w:w="100" w:type="dxa"/>
              <w:bottom w:w="100" w:type="dxa"/>
              <w:left w:w="150" w:type="dxa"/>
              <w:right w:w="150" w:type="dxa"/>
            </w:tcMar>
          </w:tcPr>
          <w:p>
            <w:r>
              <w:rPr>
                <w:b/>
                <w:sz w:val="18"/>
              </w:rPr>
              <w:t>Đối tượng áp dụng</w:t>
            </w:r>
          </w:p>
        </w:tc>
        <w:tc>
          <w:tcPr>
            <w:tcW w:type="dxa" w:w="6480"/>
            <w:shd w:fill="FFFFFF"/>
            <w:tcMar>
              <w:top w:w="100" w:type="dxa"/>
              <w:bottom w:w="100" w:type="dxa"/>
              <w:left w:w="150" w:type="dxa"/>
              <w:right w:w="150" w:type="dxa"/>
            </w:tcMar>
          </w:tcPr>
          <w:p>
            <w:r>
              <w:rPr>
                <w:sz w:val="18"/>
              </w:rPr>
              <w:t>Cá nhân, Doanh nghiệp sở hữu tài sản số, Nhân sự / Đối tác được ủy quyền</w:t>
            </w:r>
          </w:p>
        </w:tc>
      </w:tr>
    </w:tbl>
    <w:p>
      <w:pPr>
        <w:spacing w:after="200"/>
      </w:pPr>
    </w:p>
    <w:p>
      <w:pPr>
        <w:keepNext/>
        <w:spacing w:before="320" w:after="120"/>
      </w:pPr>
      <w:r>
        <w:rPr>
          <w:rFonts w:ascii="Arial" w:hAnsi="Arial"/>
          <w:b/>
          <w:color w:val="1E3A8A"/>
          <w:sz w:val="28"/>
        </w:rPr>
        <w:t>1. Tổng Quan &amp; Mục Tiêu Nghiệp Vụ</w:t>
      </w:r>
    </w:p>
    <w:p>
      <w:pPr>
        <w:keepNext/>
        <w:spacing w:before="240" w:after="80"/>
      </w:pPr>
      <w:r>
        <w:rPr>
          <w:rFonts w:ascii="Arial" w:hAnsi="Arial"/>
          <w:b/>
          <w:color w:val="475569"/>
          <w:sz w:val="24"/>
        </w:rPr>
        <w:t>1.1. Bối cảnh</w:t>
      </w:r>
    </w:p>
    <w:p>
      <w:pPr>
        <w:spacing w:after="80" w:line="276" w:lineRule="auto"/>
      </w:pPr>
      <w:r>
        <w:rPr>
          <w:rFonts w:ascii="Arial" w:hAnsi="Arial"/>
          <w:color w:val="111827"/>
          <w:sz w:val="20"/>
        </w:rPr>
        <w:t>Trong hoạt động vận hành của cá nhân và doanh nghiệp hiện đại, việc quản lý và chia sẻ quyền sử dụng các tài sản số (Tài khoản ngân hàng, Chứng thư số ký văn bản điện tử, Phần mềm hóa đơn điện tử) thường gặp phải các thách thức bảo mật lớn: chia sẻ mật khẩu/OTP trực tiếp, thiếu cơ chế tự động hết hạn, và thiếu sự minh bạch giữa bên giao quyền và bên nhận quyền.</w:t>
      </w:r>
    </w:p>
    <w:p>
      <w:pPr>
        <w:keepNext/>
        <w:spacing w:before="240" w:after="80"/>
      </w:pPr>
      <w:r>
        <w:rPr>
          <w:rFonts w:ascii="Arial" w:hAnsi="Arial"/>
          <w:b/>
          <w:color w:val="475569"/>
          <w:sz w:val="24"/>
        </w:rPr>
        <w:t>1.2. Mục tiêu của Tính năng Ủy quyền số</w:t>
      </w:r>
    </w:p>
    <w:p>
      <w:pPr>
        <w:spacing w:after="60" w:line="276" w:lineRule="auto"/>
        <w:ind w:left="288"/>
      </w:pPr>
      <w:r>
        <w:rPr>
          <w:rFonts w:ascii="Arial" w:hAnsi="Arial"/>
          <w:b/>
          <w:color w:val="1E3A8A"/>
          <w:sz w:val="20"/>
        </w:rPr>
        <w:t xml:space="preserve">• </w:t>
      </w:r>
      <w:r>
        <w:rPr>
          <w:rFonts w:ascii="Arial" w:hAnsi="Arial"/>
          <w:color w:val="111827"/>
          <w:sz w:val="20"/>
        </w:rPr>
        <w:t>Cơ chế phân quyền số an toàn: Cho phép Chủ sở hữu (Cá nhân hoặc Doanh nghiệp) cấp quyền sử dụng các tài sản số cụ thể cho cá nhân khác thông qua số định danh CCCD (12 chữ số) mà không làm lộ khóa bảo mật hoặc mật khẩu đăng nhập gốc.</w:t>
      </w:r>
    </w:p>
    <w:p>
      <w:pPr>
        <w:spacing w:after="60" w:line="276" w:lineRule="auto"/>
        <w:ind w:left="288"/>
      </w:pPr>
      <w:r>
        <w:rPr>
          <w:rFonts w:ascii="Arial" w:hAnsi="Arial"/>
          <w:b/>
          <w:color w:val="1E3A8A"/>
          <w:sz w:val="20"/>
        </w:rPr>
        <w:t xml:space="preserve">• </w:t>
      </w:r>
      <w:r>
        <w:rPr>
          <w:rFonts w:ascii="Arial" w:hAnsi="Arial"/>
          <w:color w:val="111827"/>
          <w:sz w:val="20"/>
        </w:rPr>
        <w:t>Quy trình xác nhận 2 chiều (2-Way Handshake): Yêu cầu người nhận phải xem xét và bấm 'Đồng ý xác nhận' thì ủy quyền mới chính thức có hiệu lực.</w:t>
      </w:r>
    </w:p>
    <w:p>
      <w:pPr>
        <w:spacing w:after="60" w:line="276" w:lineRule="auto"/>
        <w:ind w:left="288"/>
      </w:pPr>
      <w:r>
        <w:rPr>
          <w:rFonts w:ascii="Arial" w:hAnsi="Arial"/>
          <w:b/>
          <w:color w:val="1E3A8A"/>
          <w:sz w:val="20"/>
        </w:rPr>
        <w:t xml:space="preserve">• </w:t>
      </w:r>
      <w:r>
        <w:rPr>
          <w:rFonts w:ascii="Arial" w:hAnsi="Arial"/>
          <w:color w:val="111827"/>
          <w:sz w:val="20"/>
        </w:rPr>
        <w:t>Quản lý tập trung đa thực thể (Multi-Entity): Người dùng có thể quản lý đồng thời ủy quyền phát đi từ tài khoản cá nhân, từ các công ty do mình làm đại diện, và theo dõi các ủy quyền nhận về tại một nơi duy nhất.</w:t>
      </w:r>
    </w:p>
    <w:p>
      <w:pPr>
        <w:spacing w:after="60" w:line="276" w:lineRule="auto"/>
        <w:ind w:left="288"/>
      </w:pPr>
      <w:r>
        <w:rPr>
          <w:rFonts w:ascii="Arial" w:hAnsi="Arial"/>
          <w:b/>
          <w:color w:val="1E3A8A"/>
          <w:sz w:val="20"/>
        </w:rPr>
        <w:t xml:space="preserve">• </w:t>
      </w:r>
      <w:r>
        <w:rPr>
          <w:rFonts w:ascii="Arial" w:hAnsi="Arial"/>
          <w:color w:val="111827"/>
          <w:sz w:val="20"/>
        </w:rPr>
        <w:t>Ghi nhận Lịch sử hoạt động minh bạch (Audit Trail): Theo dõi và lưu trữ toàn bộ chuỗi sự kiện vòng đời ủy quyền từ lúc khởi tạo, xác nhận, chỉnh sửa, tạm dừng đến khi tiếp tục hoặc xóa.</w:t>
      </w:r>
    </w:p>
    <w:p>
      <w:pPr>
        <w:keepNext/>
        <w:spacing w:before="320" w:after="120"/>
      </w:pPr>
      <w:r>
        <w:rPr>
          <w:rFonts w:ascii="Arial" w:hAnsi="Arial"/>
          <w:b/>
          <w:color w:val="1E3A8A"/>
          <w:sz w:val="28"/>
        </w:rPr>
        <w:t>2. Các Tác Nhân &amp; Ma Trận Phân Quyền</w:t>
      </w:r>
    </w:p>
    <w:p>
      <w:pPr>
        <w:spacing w:after="80" w:line="276" w:lineRule="auto"/>
      </w:pPr>
      <w:r>
        <w:rPr>
          <w:rFonts w:ascii="Arial" w:hAnsi="Arial"/>
          <w:color w:val="111827"/>
          <w:sz w:val="20"/>
        </w:rPr>
        <w:t>Hệ thống phân định rõ 2 nhóm tác nhân và các danh mục tài sản hỗ trợ:</w:t>
      </w:r>
    </w:p>
    <w:tbl>
      <w:tblPr>
        <w:tblW w:type="auto" w:w="0"/>
        <w:jc w:val="center"/>
        <w:tblLook w:firstColumn="1" w:firstRow="1" w:lastColumn="0" w:lastRow="0" w:noHBand="0" w:noVBand="1" w:val="04A0"/>
      </w:tblPr>
      <w:tblGrid>
        <w:gridCol w:w="2880"/>
        <w:gridCol w:w="2880"/>
        <w:gridCol w:w="2880"/>
      </w:tblGrid>
      <w:tr>
        <w:tc>
          <w:tcPr>
            <w:tcW w:type="dxa" w:w="2880"/>
            <w:shd w:fill="1E3A8A"/>
            <w:tcMar>
              <w:top w:w="140" w:type="dxa"/>
              <w:bottom w:w="140" w:type="dxa"/>
              <w:left w:w="150" w:type="dxa"/>
              <w:right w:w="150" w:type="dxa"/>
            </w:tcMar>
          </w:tcPr>
          <w:p>
            <w:pPr>
              <w:jc w:val="center"/>
            </w:pPr>
            <w:r>
              <w:rPr>
                <w:rFonts w:ascii="Arial" w:hAnsi="Arial"/>
                <w:b/>
                <w:color w:val="FFFFFF"/>
                <w:sz w:val="18"/>
              </w:rPr>
              <w:t>Nhóm Tài Sản</w:t>
            </w:r>
          </w:p>
        </w:tc>
        <w:tc>
          <w:tcPr>
            <w:tcW w:type="dxa" w:w="2880"/>
            <w:shd w:fill="1E3A8A"/>
            <w:tcMar>
              <w:top w:w="140" w:type="dxa"/>
              <w:bottom w:w="140" w:type="dxa"/>
              <w:left w:w="150" w:type="dxa"/>
              <w:right w:w="150" w:type="dxa"/>
            </w:tcMar>
          </w:tcPr>
          <w:p>
            <w:pPr>
              <w:jc w:val="center"/>
            </w:pPr>
            <w:r>
              <w:rPr>
                <w:rFonts w:ascii="Arial" w:hAnsi="Arial"/>
                <w:b/>
                <w:color w:val="FFFFFF"/>
                <w:sz w:val="18"/>
              </w:rPr>
              <w:t>Danh Mục Con (Sub-Assets)</w:t>
            </w:r>
          </w:p>
        </w:tc>
        <w:tc>
          <w:tcPr>
            <w:tcW w:type="dxa" w:w="2880"/>
            <w:shd w:fill="1E3A8A"/>
            <w:tcMar>
              <w:top w:w="140" w:type="dxa"/>
              <w:bottom w:w="140" w:type="dxa"/>
              <w:left w:w="150" w:type="dxa"/>
              <w:right w:w="150" w:type="dxa"/>
            </w:tcMar>
          </w:tcPr>
          <w:p>
            <w:pPr>
              <w:jc w:val="center"/>
            </w:pPr>
            <w:r>
              <w:rPr>
                <w:rFonts w:ascii="Arial" w:hAnsi="Arial"/>
                <w:b/>
                <w:color w:val="FFFFFF"/>
                <w:sz w:val="18"/>
              </w:rPr>
              <w:t>Phạm Vi Quyền Hạn</w:t>
            </w:r>
          </w:p>
        </w:tc>
      </w:tr>
      <w:tr>
        <w:tc>
          <w:tcPr>
            <w:tcW w:type="dxa" w:w="2880"/>
            <w:shd w:fill="FFFFFF"/>
            <w:tcMar>
              <w:top w:w="100" w:type="dxa"/>
              <w:bottom w:w="100" w:type="dxa"/>
              <w:left w:w="150" w:type="dxa"/>
              <w:right w:w="150" w:type="dxa"/>
            </w:tcMar>
          </w:tcPr>
          <w:p>
            <w:r>
              <w:rPr>
                <w:rFonts w:ascii="Arial" w:hAnsi="Arial"/>
                <w:color w:val="111827"/>
                <w:sz w:val="17"/>
              </w:rPr>
              <w:t>Ngân hàng</w:t>
            </w:r>
          </w:p>
        </w:tc>
        <w:tc>
          <w:tcPr>
            <w:tcW w:type="dxa" w:w="2880"/>
            <w:shd w:fill="FFFFFF"/>
            <w:tcMar>
              <w:top w:w="100" w:type="dxa"/>
              <w:bottom w:w="100" w:type="dxa"/>
              <w:left w:w="150" w:type="dxa"/>
              <w:right w:w="150" w:type="dxa"/>
            </w:tcMar>
          </w:tcPr>
          <w:p>
            <w:r>
              <w:rPr>
                <w:rFonts w:ascii="Arial" w:hAnsi="Arial"/>
                <w:color w:val="111827"/>
                <w:sz w:val="17"/>
              </w:rPr>
              <w:t>VCB, TCB, MB, ACB</w:t>
            </w:r>
          </w:p>
        </w:tc>
        <w:tc>
          <w:tcPr>
            <w:tcW w:type="dxa" w:w="2880"/>
            <w:shd w:fill="FFFFFF"/>
            <w:tcMar>
              <w:top w:w="100" w:type="dxa"/>
              <w:bottom w:w="100" w:type="dxa"/>
              <w:left w:w="150" w:type="dxa"/>
              <w:right w:w="150" w:type="dxa"/>
            </w:tcMar>
          </w:tcPr>
          <w:p>
            <w:r>
              <w:rPr>
                <w:rFonts w:ascii="Arial" w:hAnsi="Arial"/>
                <w:color w:val="111827"/>
                <w:sz w:val="17"/>
              </w:rPr>
              <w:t>Tra cứu số dư, duyệt chi</w:t>
            </w:r>
          </w:p>
        </w:tc>
      </w:tr>
      <w:tr>
        <w:tc>
          <w:tcPr>
            <w:tcW w:type="dxa" w:w="2880"/>
            <w:shd w:fill="F8FAFC"/>
            <w:tcMar>
              <w:top w:w="100" w:type="dxa"/>
              <w:bottom w:w="100" w:type="dxa"/>
              <w:left w:w="150" w:type="dxa"/>
              <w:right w:w="150" w:type="dxa"/>
            </w:tcMar>
          </w:tcPr>
          <w:p>
            <w:r>
              <w:rPr>
                <w:rFonts w:ascii="Arial" w:hAnsi="Arial"/>
                <w:color w:val="111827"/>
                <w:sz w:val="17"/>
              </w:rPr>
              <w:t>Chứng thư số</w:t>
            </w:r>
          </w:p>
        </w:tc>
        <w:tc>
          <w:tcPr>
            <w:tcW w:type="dxa" w:w="2880"/>
            <w:shd w:fill="F8FAFC"/>
            <w:tcMar>
              <w:top w:w="100" w:type="dxa"/>
              <w:bottom w:w="100" w:type="dxa"/>
              <w:left w:w="150" w:type="dxa"/>
              <w:right w:w="150" w:type="dxa"/>
            </w:tcMar>
          </w:tcPr>
          <w:p>
            <w:r>
              <w:rPr>
                <w:rFonts w:ascii="Arial" w:hAnsi="Arial"/>
                <w:color w:val="111827"/>
                <w:sz w:val="17"/>
              </w:rPr>
              <w:t>CMC CA, HILO CA</w:t>
            </w:r>
          </w:p>
        </w:tc>
        <w:tc>
          <w:tcPr>
            <w:tcW w:type="dxa" w:w="2880"/>
            <w:shd w:fill="F8FAFC"/>
            <w:tcMar>
              <w:top w:w="100" w:type="dxa"/>
              <w:bottom w:w="100" w:type="dxa"/>
              <w:left w:w="150" w:type="dxa"/>
              <w:right w:w="150" w:type="dxa"/>
            </w:tcMar>
          </w:tcPr>
          <w:p>
            <w:r>
              <w:rPr>
                <w:rFonts w:ascii="Arial" w:hAnsi="Arial"/>
                <w:color w:val="111827"/>
                <w:sz w:val="17"/>
              </w:rPr>
              <w:t>Ký số hóa đơn, hợp đồng</w:t>
            </w:r>
          </w:p>
        </w:tc>
      </w:tr>
      <w:tr>
        <w:tc>
          <w:tcPr>
            <w:tcW w:type="dxa" w:w="2880"/>
            <w:shd w:fill="FFFFFF"/>
            <w:tcMar>
              <w:top w:w="100" w:type="dxa"/>
              <w:bottom w:w="100" w:type="dxa"/>
              <w:left w:w="150" w:type="dxa"/>
              <w:right w:w="150" w:type="dxa"/>
            </w:tcMar>
          </w:tcPr>
          <w:p>
            <w:r>
              <w:rPr>
                <w:rFonts w:ascii="Arial" w:hAnsi="Arial"/>
                <w:color w:val="111827"/>
                <w:sz w:val="17"/>
              </w:rPr>
              <w:t>Hóa đơn</w:t>
            </w:r>
          </w:p>
        </w:tc>
        <w:tc>
          <w:tcPr>
            <w:tcW w:type="dxa" w:w="2880"/>
            <w:shd w:fill="FFFFFF"/>
            <w:tcMar>
              <w:top w:w="100" w:type="dxa"/>
              <w:bottom w:w="100" w:type="dxa"/>
              <w:left w:w="150" w:type="dxa"/>
              <w:right w:w="150" w:type="dxa"/>
            </w:tcMar>
          </w:tcPr>
          <w:p>
            <w:r>
              <w:rPr>
                <w:rFonts w:ascii="Arial" w:hAnsi="Arial"/>
                <w:color w:val="111827"/>
                <w:sz w:val="17"/>
              </w:rPr>
              <w:t>xInvoice, HILO</w:t>
            </w:r>
          </w:p>
        </w:tc>
        <w:tc>
          <w:tcPr>
            <w:tcW w:type="dxa" w:w="2880"/>
            <w:shd w:fill="FFFFFF"/>
            <w:tcMar>
              <w:top w:w="100" w:type="dxa"/>
              <w:bottom w:w="100" w:type="dxa"/>
              <w:left w:w="150" w:type="dxa"/>
              <w:right w:w="150" w:type="dxa"/>
            </w:tcMar>
          </w:tcPr>
          <w:p>
            <w:r>
              <w:rPr>
                <w:rFonts w:ascii="Arial" w:hAnsi="Arial"/>
                <w:color w:val="111827"/>
                <w:sz w:val="17"/>
              </w:rPr>
              <w:t>Xuất, tra cứu hóa đơn</w:t>
            </w:r>
          </w:p>
        </w:tc>
      </w:tr>
      <w:tr>
        <w:tc>
          <w:tcPr>
            <w:tcW w:type="dxa" w:w="2880"/>
            <w:shd w:fill="F8FAFC"/>
            <w:tcMar>
              <w:top w:w="100" w:type="dxa"/>
              <w:bottom w:w="100" w:type="dxa"/>
              <w:left w:w="150" w:type="dxa"/>
              <w:right w:w="150" w:type="dxa"/>
            </w:tcMar>
          </w:tcPr>
          <w:p>
            <w:r>
              <w:rPr>
                <w:rFonts w:ascii="Arial" w:hAnsi="Arial"/>
                <w:color w:val="111827"/>
                <w:sz w:val="17"/>
              </w:rPr>
              <w:t>Định danh số</w:t>
            </w:r>
          </w:p>
        </w:tc>
        <w:tc>
          <w:tcPr>
            <w:tcW w:type="dxa" w:w="2880"/>
            <w:shd w:fill="F8FAFC"/>
            <w:tcMar>
              <w:top w:w="100" w:type="dxa"/>
              <w:bottom w:w="100" w:type="dxa"/>
              <w:left w:w="150" w:type="dxa"/>
              <w:right w:w="150" w:type="dxa"/>
            </w:tcMar>
          </w:tcPr>
          <w:p>
            <w:r>
              <w:rPr>
                <w:rFonts w:ascii="Arial" w:hAnsi="Arial"/>
                <w:color w:val="111827"/>
                <w:sz w:val="17"/>
              </w:rPr>
              <w:t>Casso Account</w:t>
            </w:r>
          </w:p>
        </w:tc>
        <w:tc>
          <w:tcPr>
            <w:tcW w:type="dxa" w:w="2880"/>
            <w:shd w:fill="F8FAFC"/>
            <w:tcMar>
              <w:top w:w="100" w:type="dxa"/>
              <w:bottom w:w="100" w:type="dxa"/>
              <w:left w:w="150" w:type="dxa"/>
              <w:right w:w="150" w:type="dxa"/>
            </w:tcMar>
          </w:tcPr>
          <w:p>
            <w:r>
              <w:rPr>
                <w:rFonts w:ascii="Arial" w:hAnsi="Arial"/>
                <w:color w:val="111827"/>
                <w:sz w:val="17"/>
              </w:rPr>
              <w:t>Đăng nhập một chạm (SSO)</w:t>
            </w:r>
          </w:p>
        </w:tc>
      </w:tr>
    </w:tbl>
    <w:p>
      <w:pPr>
        <w:spacing w:after="120"/>
      </w:pPr>
    </w:p>
    <w:p>
      <w:pPr>
        <w:keepNext/>
        <w:spacing w:before="320" w:after="120"/>
      </w:pPr>
      <w:r>
        <w:rPr>
          <w:rFonts w:ascii="Arial" w:hAnsi="Arial"/>
          <w:b/>
          <w:color w:val="1E3A8A"/>
          <w:sz w:val="28"/>
        </w:rPr>
        <w:t>3. Quy Trình Nghiệp Vụ Tổng Thể (End-to-End Workflow)</w:t>
      </w:r>
    </w:p>
    <w:p>
      <w:pPr>
        <w:spacing w:after="60" w:line="276" w:lineRule="auto"/>
        <w:ind w:left="288"/>
      </w:pPr>
      <w:r>
        <w:rPr>
          <w:rFonts w:ascii="Arial" w:hAnsi="Arial"/>
          <w:b/>
          <w:color w:val="1E3A8A"/>
          <w:sz w:val="20"/>
        </w:rPr>
        <w:t xml:space="preserve">1. </w:t>
      </w:r>
      <w:r>
        <w:rPr>
          <w:rFonts w:ascii="Arial" w:hAnsi="Arial"/>
          <w:color w:val="111827"/>
          <w:sz w:val="20"/>
        </w:rPr>
        <w:t>Bước 1 - Khởi tạo ủy quyền: Bên Ủy quyền (Cá nhân / Doanh nghiệp) nhập CCCD người nhận -&gt; Hệ thống xác thực hồ sơ -&gt; Chọn danh mục tài sản &amp; tài sản con -&gt; Thiết lập thời hạn hiệu lực -&gt; Gửi yêu cầu (Ghi nhận lịch sử Khởi tạo).</w:t>
      </w:r>
    </w:p>
    <w:p>
      <w:pPr>
        <w:spacing w:after="60" w:line="276" w:lineRule="auto"/>
        <w:ind w:left="288"/>
      </w:pPr>
      <w:r>
        <w:rPr>
          <w:rFonts w:ascii="Arial" w:hAnsi="Arial"/>
          <w:b/>
          <w:color w:val="1E3A8A"/>
          <w:sz w:val="20"/>
        </w:rPr>
        <w:t xml:space="preserve">2. </w:t>
      </w:r>
      <w:r>
        <w:rPr>
          <w:rFonts w:ascii="Arial" w:hAnsi="Arial"/>
          <w:color w:val="111827"/>
          <w:sz w:val="20"/>
        </w:rPr>
        <w:t>Bước 2 - Thông báo &amp; Duyệt lời mời: Người nhận nhận thông báo đẩy trên App -&gt; Mở màn hình Chi tiết lời mời toàn trang -&gt; Bấm 'Đồng ý xác nhận' (ủy quyền chuyển sang Hiệu lực &amp; Ghi nhận lịch sử Chấp nhận) hoặc 'Từ chối ủy quyền'.</w:t>
      </w:r>
    </w:p>
    <w:p>
      <w:pPr>
        <w:spacing w:after="60" w:line="276" w:lineRule="auto"/>
        <w:ind w:left="288"/>
      </w:pPr>
      <w:r>
        <w:rPr>
          <w:rFonts w:ascii="Arial" w:hAnsi="Arial"/>
          <w:b/>
          <w:color w:val="1E3A8A"/>
          <w:sz w:val="20"/>
        </w:rPr>
        <w:t xml:space="preserve">3. </w:t>
      </w:r>
      <w:r>
        <w:rPr>
          <w:rFonts w:ascii="Arial" w:hAnsi="Arial"/>
          <w:color w:val="111827"/>
          <w:sz w:val="20"/>
        </w:rPr>
        <w:t>Bước 3 - Vận hành &amp; Lịch sử hoạt động: Bên ủy quyền có thể Tạm dừng (Inactive), Tiếp tục (Active), Chỉnh sửa hoặc Xóa vĩnh viễn ủy quyền. Toàn bộ các thao tác này đều được ghi lại trong timeline 'Lịch sử hoạt động' bên dưới chi tiết yêu cầu.</w:t>
      </w:r>
    </w:p>
    <w:p>
      <w:pPr>
        <w:keepNext/>
        <w:spacing w:before="320" w:after="120"/>
      </w:pPr>
      <w:r>
        <w:rPr>
          <w:rFonts w:ascii="Arial" w:hAnsi="Arial"/>
          <w:b/>
          <w:color w:val="1E3A8A"/>
          <w:sz w:val="28"/>
        </w:rPr>
        <w:t>4. Mô Tả Chi Tiết Chức Năng &amp; Giao Diện Kèm Ảnh Chụp</w:t>
      </w:r>
    </w:p>
    <w:p>
      <w:pPr>
        <w:keepNext/>
        <w:spacing w:before="240" w:after="80"/>
      </w:pPr>
      <w:r>
        <w:rPr>
          <w:rFonts w:ascii="Arial" w:hAnsi="Arial"/>
          <w:b/>
          <w:color w:val="475569"/>
          <w:sz w:val="24"/>
        </w:rPr>
        <w:t>4.1. Điểm Vào Tính Năng Từ Màn Hình Chính (Entry Points)</w:t>
      </w:r>
    </w:p>
    <w:p>
      <w:pPr>
        <w:spacing w:after="80" w:line="276" w:lineRule="auto"/>
      </w:pPr>
      <w:r>
        <w:rPr>
          <w:rFonts w:ascii="Arial" w:hAnsi="Arial"/>
          <w:color w:val="111827"/>
          <w:sz w:val="20"/>
        </w:rPr>
        <w:t>Người dùng có 4 điểm truy cập trực quan từ màn hình chính (index.html):</w:t>
      </w:r>
    </w:p>
    <w:p>
      <w:pPr>
        <w:spacing w:after="60" w:line="276" w:lineRule="auto"/>
        <w:ind w:left="288"/>
      </w:pPr>
      <w:r>
        <w:rPr>
          <w:rFonts w:ascii="Arial" w:hAnsi="Arial"/>
          <w:b/>
          <w:color w:val="1E3A8A"/>
          <w:sz w:val="20"/>
        </w:rPr>
        <w:t xml:space="preserve">• </w:t>
      </w:r>
      <w:r>
        <w:rPr>
          <w:rFonts w:ascii="Arial" w:hAnsi="Arial"/>
          <w:color w:val="111827"/>
          <w:sz w:val="20"/>
        </w:rPr>
        <w:t>Card Ủy quyền trong Trung tâm dữ liệu (hiển thị avatar người nhận và tổng số ủy quyền).</w:t>
      </w:r>
    </w:p>
    <w:p>
      <w:pPr>
        <w:spacing w:after="60" w:line="276" w:lineRule="auto"/>
        <w:ind w:left="288"/>
      </w:pPr>
      <w:r>
        <w:rPr>
          <w:rFonts w:ascii="Arial" w:hAnsi="Arial"/>
          <w:b/>
          <w:color w:val="1E3A8A"/>
          <w:sz w:val="20"/>
        </w:rPr>
        <w:t xml:space="preserve">• </w:t>
      </w:r>
      <w:r>
        <w:rPr>
          <w:rFonts w:ascii="Arial" w:hAnsi="Arial"/>
          <w:color w:val="111827"/>
          <w:sz w:val="20"/>
        </w:rPr>
        <w:t>Pill 'ỦY QUYỀN SỐ' trên thanh chọn hồ sơ ở đầu trang.</w:t>
      </w:r>
    </w:p>
    <w:p>
      <w:pPr>
        <w:spacing w:after="60" w:line="276" w:lineRule="auto"/>
        <w:ind w:left="288"/>
      </w:pPr>
      <w:r>
        <w:rPr>
          <w:rFonts w:ascii="Arial" w:hAnsi="Arial"/>
          <w:b/>
          <w:color w:val="1E3A8A"/>
          <w:sz w:val="20"/>
        </w:rPr>
        <w:t xml:space="preserve">• </w:t>
      </w:r>
      <w:r>
        <w:rPr>
          <w:rFonts w:ascii="Arial" w:hAnsi="Arial"/>
          <w:color w:val="111827"/>
          <w:sz w:val="20"/>
        </w:rPr>
        <w:t>Nút nổi FAB (+) màu đen ở góc dưới bên phải màn hình.</w:t>
      </w:r>
    </w:p>
    <w:p>
      <w:pPr>
        <w:spacing w:after="60" w:line="276" w:lineRule="auto"/>
        <w:ind w:left="288"/>
      </w:pPr>
      <w:r>
        <w:rPr>
          <w:rFonts w:ascii="Arial" w:hAnsi="Arial"/>
          <w:b/>
          <w:color w:val="1E3A8A"/>
          <w:sz w:val="20"/>
        </w:rPr>
        <w:t xml:space="preserve">• </w:t>
      </w:r>
      <w:r>
        <w:rPr>
          <w:rFonts w:ascii="Arial" w:hAnsi="Arial"/>
          <w:color w:val="111827"/>
          <w:sz w:val="20"/>
        </w:rPr>
        <w:t>Tab 'Cấp quyền' trên thanh điều hướng chân trang (Bottom Navigation).</w:t>
      </w:r>
    </w:p>
    <w:p>
      <w:pPr>
        <w:spacing w:before="160" w:after="40"/>
        <w:jc w:val="center"/>
      </w:pPr>
      <w:r>
        <w:drawing>
          <wp:inline xmlns:a="http://schemas.openxmlformats.org/drawingml/2006/main" xmlns:pic="http://schemas.openxmlformats.org/drawingml/2006/picture">
            <wp:extent cx="2331720" cy="5048951"/>
            <wp:docPr id="1" name="Picture 1"/>
            <wp:cNvGraphicFramePr>
              <a:graphicFrameLocks noChangeAspect="1"/>
            </wp:cNvGraphicFramePr>
            <a:graphic>
              <a:graphicData uri="http://schemas.openxmlformats.org/drawingml/2006/picture">
                <pic:pic>
                  <pic:nvPicPr>
                    <pic:cNvPr id="0" name="brd_01_home_screen.png"/>
                    <pic:cNvPicPr/>
                  </pic:nvPicPr>
                  <pic:blipFill>
                    <a:blip r:embed="rId9"/>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Màn hình chính Casso ID với các điểm vào tính năng ủy quyền</w:t>
      </w:r>
    </w:p>
    <w:p>
      <w:pPr>
        <w:keepNext/>
        <w:spacing w:before="240" w:after="80"/>
      </w:pPr>
      <w:r>
        <w:rPr>
          <w:rFonts w:ascii="Arial" w:hAnsi="Arial"/>
          <w:b/>
          <w:color w:val="475569"/>
          <w:sz w:val="24"/>
        </w:rPr>
        <w:t>4.2. Quản Lý Danh Sách Ủy Quyền (Đa Hồ Sơ)</w:t>
      </w:r>
    </w:p>
    <w:p>
      <w:pPr>
        <w:spacing w:after="80" w:line="276" w:lineRule="auto"/>
      </w:pPr>
      <w:r>
        <w:rPr>
          <w:rFonts w:ascii="Arial" w:hAnsi="Arial"/>
          <w:color w:val="111827"/>
          <w:sz w:val="20"/>
        </w:rPr>
        <w:t>Màn hình danh sách tập trung (casID-sign-delegation.html) hỗ trợ lọc theo 4 Tab hồ sơ:</w:t>
      </w:r>
    </w:p>
    <w:p>
      <w:pPr>
        <w:spacing w:after="60" w:line="276" w:lineRule="auto"/>
        <w:ind w:left="288"/>
      </w:pPr>
      <w:r>
        <w:rPr>
          <w:rFonts w:ascii="Arial" w:hAnsi="Arial"/>
          <w:b/>
          <w:color w:val="1E3A8A"/>
          <w:sz w:val="20"/>
        </w:rPr>
        <w:t xml:space="preserve">• </w:t>
      </w:r>
      <w:r>
        <w:rPr>
          <w:rFonts w:ascii="Arial" w:hAnsi="Arial"/>
          <w:color w:val="111827"/>
          <w:sz w:val="20"/>
        </w:rPr>
        <w:t>Tab Cá nhân &amp; Doanh nghiệp (Cấp quyền phát đi): Hiển thị danh sách tài sản đã giao cho đối tác/nhân sự kèm trạng thái Hiệu lực / Chờ xác nhận và nút 'Tạo ủy quyền mới +'.</w:t>
      </w:r>
    </w:p>
    <w:p>
      <w:pPr>
        <w:spacing w:after="60" w:line="276" w:lineRule="auto"/>
        <w:ind w:left="288"/>
      </w:pPr>
      <w:r>
        <w:rPr>
          <w:rFonts w:ascii="Arial" w:hAnsi="Arial"/>
          <w:b/>
          <w:color w:val="1E3A8A"/>
          <w:sz w:val="20"/>
        </w:rPr>
        <w:t xml:space="preserve">• </w:t>
      </w:r>
      <w:r>
        <w:rPr>
          <w:rFonts w:ascii="Arial" w:hAnsi="Arial"/>
          <w:color w:val="111827"/>
          <w:sz w:val="20"/>
        </w:rPr>
        <w:t>Tab Ủy quyền số (Nhận về): Tự động đẩy các yêu cầu 'Chờ xác nhận' lên đầu danh sách; hiển thị tối giản Tên người ủy quyền + CCCD/MST; nhấp vào card để mở màn hình xác nhận toàn trang.</w:t>
      </w:r>
    </w:p>
    <w:p>
      <w:pPr>
        <w:spacing w:before="160" w:after="40"/>
        <w:jc w:val="center"/>
      </w:pPr>
      <w:r>
        <w:drawing>
          <wp:inline xmlns:a="http://schemas.openxmlformats.org/drawingml/2006/main" xmlns:pic="http://schemas.openxmlformats.org/drawingml/2006/picture">
            <wp:extent cx="2331720" cy="5048951"/>
            <wp:docPr id="2" name="Picture 2"/>
            <wp:cNvGraphicFramePr>
              <a:graphicFrameLocks noChangeAspect="1"/>
            </wp:cNvGraphicFramePr>
            <a:graphic>
              <a:graphicData uri="http://schemas.openxmlformats.org/drawingml/2006/picture">
                <pic:pic>
                  <pic:nvPicPr>
                    <pic:cNvPr id="0" name="brd_02_delegation_list_personal.png"/>
                    <pic:cNvPicPr/>
                  </pic:nvPicPr>
                  <pic:blipFill>
                    <a:blip r:embed="rId10"/>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Danh sách ủy quyền Cá nhân phát đi (Nguyễn Văn An)</w:t>
      </w:r>
    </w:p>
    <w:p>
      <w:pPr>
        <w:spacing w:before="160" w:after="40"/>
        <w:jc w:val="center"/>
      </w:pPr>
      <w:r>
        <w:drawing>
          <wp:inline xmlns:a="http://schemas.openxmlformats.org/drawingml/2006/main" xmlns:pic="http://schemas.openxmlformats.org/drawingml/2006/picture">
            <wp:extent cx="2331720" cy="5048951"/>
            <wp:docPr id="3" name="Picture 3"/>
            <wp:cNvGraphicFramePr>
              <a:graphicFrameLocks noChangeAspect="1"/>
            </wp:cNvGraphicFramePr>
            <a:graphic>
              <a:graphicData uri="http://schemas.openxmlformats.org/drawingml/2006/picture">
                <pic:pic>
                  <pic:nvPicPr>
                    <pic:cNvPr id="0" name="brd_03_delegation_list_corporate.png"/>
                    <pic:cNvPicPr/>
                  </pic:nvPicPr>
                  <pic:blipFill>
                    <a:blip r:embed="rId11"/>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Danh sách ủy quyền Doanh nghiệp phát đi (Công ty Casso)</w:t>
      </w:r>
    </w:p>
    <w:p>
      <w:pPr>
        <w:spacing w:before="160" w:after="40"/>
        <w:jc w:val="center"/>
      </w:pPr>
      <w:r>
        <w:drawing>
          <wp:inline xmlns:a="http://schemas.openxmlformats.org/drawingml/2006/main" xmlns:pic="http://schemas.openxmlformats.org/drawingml/2006/picture">
            <wp:extent cx="2331720" cy="5048951"/>
            <wp:docPr id="4" name="Picture 4"/>
            <wp:cNvGraphicFramePr>
              <a:graphicFrameLocks noChangeAspect="1"/>
            </wp:cNvGraphicFramePr>
            <a:graphic>
              <a:graphicData uri="http://schemas.openxmlformats.org/drawingml/2006/picture">
                <pic:pic>
                  <pic:nvPicPr>
                    <pic:cNvPr id="0" name="brd_04_delegation_list_received.png"/>
                    <pic:cNvPicPr/>
                  </pic:nvPicPr>
                  <pic:blipFill>
                    <a:blip r:embed="rId12"/>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Danh sách tab Ủy quyền số với các yêu cầu nhận về</w:t>
      </w:r>
    </w:p>
    <w:p>
      <w:pPr>
        <w:keepNext/>
        <w:spacing w:before="240" w:after="80"/>
      </w:pPr>
      <w:r>
        <w:rPr>
          <w:rFonts w:ascii="Arial" w:hAnsi="Arial"/>
          <w:b/>
          <w:color w:val="475569"/>
          <w:sz w:val="24"/>
        </w:rPr>
        <w:t>4.3. Quy Trình Khởi Tạo Ủy Quyền Mới</w:t>
      </w:r>
    </w:p>
    <w:p>
      <w:pPr>
        <w:spacing w:after="80" w:line="276" w:lineRule="auto"/>
      </w:pPr>
      <w:r>
        <w:rPr>
          <w:rFonts w:ascii="Arial" w:hAnsi="Arial"/>
          <w:color w:val="111827"/>
          <w:sz w:val="20"/>
        </w:rPr>
        <w:t>Người dùng bấm 'Tạo ủy quyền mới +' để mở giao diện nhập liệu:</w:t>
      </w:r>
    </w:p>
    <w:p>
      <w:pPr>
        <w:spacing w:after="60" w:line="276" w:lineRule="auto"/>
        <w:ind w:left="288"/>
      </w:pPr>
      <w:r>
        <w:rPr>
          <w:rFonts w:ascii="Arial" w:hAnsi="Arial"/>
          <w:b/>
          <w:color w:val="1E3A8A"/>
          <w:sz w:val="20"/>
        </w:rPr>
        <w:t xml:space="preserve">• </w:t>
      </w:r>
      <w:r>
        <w:rPr>
          <w:rFonts w:ascii="Arial" w:hAnsi="Arial"/>
          <w:color w:val="111827"/>
          <w:sz w:val="20"/>
        </w:rPr>
        <w:t>Nhập CCCD người nhận: Khi nhập đủ 12 số, hệ thống tự động xác thực danh tính và hiển thị thông tin thẻ hồ sơ CasID.</w:t>
      </w:r>
    </w:p>
    <w:p>
      <w:pPr>
        <w:spacing w:after="60" w:line="276" w:lineRule="auto"/>
        <w:ind w:left="288"/>
      </w:pPr>
      <w:r>
        <w:rPr>
          <w:rFonts w:ascii="Arial" w:hAnsi="Arial"/>
          <w:b/>
          <w:color w:val="1E3A8A"/>
          <w:sz w:val="20"/>
        </w:rPr>
        <w:t xml:space="preserve">• </w:t>
      </w:r>
      <w:r>
        <w:rPr>
          <w:rFonts w:ascii="Arial" w:hAnsi="Arial"/>
          <w:color w:val="111827"/>
          <w:sz w:val="20"/>
        </w:rPr>
        <w:t>Chọn Loại tài sản &amp; Đa tài sản con: Tick chọn một hoặc nhiều tài sản con cùng lúc (ví dụ: MB Bank + ACB).</w:t>
      </w:r>
    </w:p>
    <w:p>
      <w:pPr>
        <w:spacing w:after="60" w:line="276" w:lineRule="auto"/>
        <w:ind w:left="288"/>
      </w:pPr>
      <w:r>
        <w:rPr>
          <w:rFonts w:ascii="Arial" w:hAnsi="Arial"/>
          <w:b/>
          <w:color w:val="1E3A8A"/>
          <w:sz w:val="20"/>
        </w:rPr>
        <w:t xml:space="preserve">• </w:t>
      </w:r>
      <w:r>
        <w:rPr>
          <w:rFonts w:ascii="Arial" w:hAnsi="Arial"/>
          <w:color w:val="111827"/>
          <w:sz w:val="20"/>
        </w:rPr>
        <w:t>Thiết lập Thời hạn: Nhập Ngày/Giờ bắt đầu, Ngày/Giờ kết thúc hoặc chọn 'Vô thời hạn'.</w:t>
      </w:r>
    </w:p>
    <w:p>
      <w:pPr>
        <w:spacing w:after="60" w:line="276" w:lineRule="auto"/>
        <w:ind w:left="288"/>
      </w:pPr>
      <w:r>
        <w:rPr>
          <w:rFonts w:ascii="Arial" w:hAnsi="Arial"/>
          <w:b/>
          <w:color w:val="1E3A8A"/>
          <w:sz w:val="20"/>
        </w:rPr>
        <w:t xml:space="preserve">• </w:t>
      </w:r>
      <w:r>
        <w:rPr>
          <w:rFonts w:ascii="Arial" w:hAnsi="Arial"/>
          <w:color w:val="111827"/>
          <w:sz w:val="20"/>
        </w:rPr>
        <w:t>Bản ghi được tạo ở trạng thái ban đầu là 'Chờ xác nhận', tự động ghi log sự kiện 'Khởi tạo yêu cầu' và gửi thông báo tới người nhận.</w:t>
      </w:r>
    </w:p>
    <w:p>
      <w:pPr>
        <w:spacing w:before="160" w:after="40"/>
        <w:jc w:val="center"/>
      </w:pPr>
      <w:r>
        <w:drawing>
          <wp:inline xmlns:a="http://schemas.openxmlformats.org/drawingml/2006/main" xmlns:pic="http://schemas.openxmlformats.org/drawingml/2006/picture">
            <wp:extent cx="2331720" cy="5048951"/>
            <wp:docPr id="5" name="Picture 5"/>
            <wp:cNvGraphicFramePr>
              <a:graphicFrameLocks noChangeAspect="1"/>
            </wp:cNvGraphicFramePr>
            <a:graphic>
              <a:graphicData uri="http://schemas.openxmlformats.org/drawingml/2006/picture">
                <pic:pic>
                  <pic:nvPicPr>
                    <pic:cNvPr id="0" name="brd_05_create_delegation_form.png"/>
                    <pic:cNvPicPr/>
                  </pic:nvPicPr>
                  <pic:blipFill>
                    <a:blip r:embed="rId13"/>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Form Tạo ủy quyền mới với tính năng tra cứu CCCD và chọn đa tài sản</w:t>
      </w:r>
    </w:p>
    <w:p>
      <w:pPr>
        <w:keepNext/>
        <w:spacing w:before="240" w:after="80"/>
      </w:pPr>
      <w:r>
        <w:rPr>
          <w:rFonts w:ascii="Arial" w:hAnsi="Arial"/>
          <w:b/>
          <w:color w:val="475569"/>
          <w:sz w:val="24"/>
        </w:rPr>
        <w:t>4.4. Quy Trình Chỉnh Sửa &amp; Tạm Dừng / Khôi Phục</w:t>
      </w:r>
    </w:p>
    <w:p>
      <w:pPr>
        <w:spacing w:after="80" w:line="276" w:lineRule="auto"/>
      </w:pPr>
      <w:r>
        <w:rPr>
          <w:rFonts w:ascii="Arial" w:hAnsi="Arial"/>
          <w:color w:val="111827"/>
          <w:sz w:val="20"/>
        </w:rPr>
        <w:t>Khi bấm vào bản ghi do mình phát đi:</w:t>
      </w:r>
    </w:p>
    <w:p>
      <w:pPr>
        <w:spacing w:after="60" w:line="276" w:lineRule="auto"/>
        <w:ind w:left="288"/>
      </w:pPr>
      <w:r>
        <w:rPr>
          <w:rFonts w:ascii="Arial" w:hAnsi="Arial"/>
          <w:b/>
          <w:color w:val="1E3A8A"/>
          <w:sz w:val="20"/>
        </w:rPr>
        <w:t xml:space="preserve">• </w:t>
      </w:r>
      <w:r>
        <w:rPr>
          <w:rFonts w:ascii="Arial" w:hAnsi="Arial"/>
          <w:color w:val="111827"/>
          <w:sz w:val="20"/>
        </w:rPr>
        <w:t>Cho phép điều chỉnh tài sản cấp phép hoặc gia hạn thời gian hiệu lực.</w:t>
      </w:r>
    </w:p>
    <w:p>
      <w:pPr>
        <w:spacing w:after="60" w:line="276" w:lineRule="auto"/>
        <w:ind w:left="288"/>
      </w:pPr>
      <w:r>
        <w:rPr>
          <w:rFonts w:ascii="Arial" w:hAnsi="Arial"/>
          <w:b/>
          <w:color w:val="1E3A8A"/>
          <w:sz w:val="20"/>
        </w:rPr>
        <w:t xml:space="preserve">• </w:t>
      </w:r>
      <w:r>
        <w:rPr>
          <w:rFonts w:ascii="Arial" w:hAnsi="Arial"/>
          <w:color w:val="111827"/>
          <w:sz w:val="20"/>
        </w:rPr>
        <w:t>Nút Tạm dừng ủy quyền (màu vàng): Chuyển trạng thái sang Tạm dừng, tạm khóa quyền sử dụng của người nhận.</w:t>
      </w:r>
    </w:p>
    <w:p>
      <w:pPr>
        <w:spacing w:after="60" w:line="276" w:lineRule="auto"/>
        <w:ind w:left="288"/>
      </w:pPr>
      <w:r>
        <w:rPr>
          <w:rFonts w:ascii="Arial" w:hAnsi="Arial"/>
          <w:b/>
          <w:color w:val="1E3A8A"/>
          <w:sz w:val="20"/>
        </w:rPr>
        <w:t xml:space="preserve">• </w:t>
      </w:r>
      <w:r>
        <w:rPr>
          <w:rFonts w:ascii="Arial" w:hAnsi="Arial"/>
          <w:color w:val="111827"/>
          <w:sz w:val="20"/>
        </w:rPr>
        <w:t>Nút Tiếp tục ủy quyền (màu xanh): Khôi phục trạng thái Hiệu lực ngay lập tức.</w:t>
      </w:r>
    </w:p>
    <w:p>
      <w:pPr>
        <w:spacing w:before="160" w:after="40"/>
        <w:jc w:val="center"/>
      </w:pPr>
      <w:r>
        <w:drawing>
          <wp:inline xmlns:a="http://schemas.openxmlformats.org/drawingml/2006/main" xmlns:pic="http://schemas.openxmlformats.org/drawingml/2006/picture">
            <wp:extent cx="2331720" cy="5048951"/>
            <wp:docPr id="6" name="Picture 6"/>
            <wp:cNvGraphicFramePr>
              <a:graphicFrameLocks noChangeAspect="1"/>
            </wp:cNvGraphicFramePr>
            <a:graphic>
              <a:graphicData uri="http://schemas.openxmlformats.org/drawingml/2006/picture">
                <pic:pic>
                  <pic:nvPicPr>
                    <pic:cNvPr id="0" name="brd_06_edit_delegation_form.png"/>
                    <pic:cNvPicPr/>
                  </pic:nvPicPr>
                  <pic:blipFill>
                    <a:blip r:embed="rId14"/>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Form Chỉnh sửa và Tạm dừng ủy quyền</w:t>
      </w:r>
    </w:p>
    <w:p>
      <w:pPr>
        <w:keepNext/>
        <w:spacing w:before="240" w:after="80"/>
      </w:pPr>
      <w:r>
        <w:rPr>
          <w:rFonts w:ascii="Arial" w:hAnsi="Arial"/>
          <w:b/>
          <w:color w:val="475569"/>
          <w:sz w:val="24"/>
        </w:rPr>
        <w:t>4.5. Mục Lịch Sử Hoạt Động (Activity History / Audit Trail)</w:t>
      </w:r>
    </w:p>
    <w:p>
      <w:pPr>
        <w:spacing w:after="80" w:line="276" w:lineRule="auto"/>
      </w:pPr>
      <w:r>
        <w:rPr>
          <w:rFonts w:ascii="Arial" w:hAnsi="Arial"/>
          <w:color w:val="111827"/>
          <w:sz w:val="20"/>
        </w:rPr>
        <w:t>Ngay bên dưới các nút hành động của màn hình Chi tiết ủy quyền (cả phía bên phát đi và bên nhận về), hệ thống hiển thị thẻ Lịch sử hoạt động dạng danh sách bullet note tinh gọn:</w:t>
      </w:r>
    </w:p>
    <w:p>
      <w:pPr>
        <w:spacing w:after="60" w:line="276" w:lineRule="auto"/>
        <w:ind w:left="288"/>
      </w:pPr>
      <w:r>
        <w:rPr>
          <w:rFonts w:ascii="Arial" w:hAnsi="Arial"/>
          <w:b/>
          <w:color w:val="1E3A8A"/>
          <w:sz w:val="20"/>
        </w:rPr>
        <w:t xml:space="preserve">• </w:t>
      </w:r>
      <w:r>
        <w:rPr>
          <w:rFonts w:ascii="Arial" w:hAnsi="Arial"/>
          <w:color w:val="111827"/>
          <w:sz w:val="20"/>
        </w:rPr>
        <w:t>Hiển thị chuỗi sự kiện vòng đời: Khởi tạo yêu cầu, Chấp nhận yêu cầu, Chỉnh sửa yêu cầu, Tạm dừng yêu cầu, Tiếp tục yêu cầu, Từ chối yêu cầu.</w:t>
      </w:r>
    </w:p>
    <w:p>
      <w:pPr>
        <w:spacing w:after="60" w:line="276" w:lineRule="auto"/>
        <w:ind w:left="288"/>
      </w:pPr>
      <w:r>
        <w:rPr>
          <w:rFonts w:ascii="Arial" w:hAnsi="Arial"/>
          <w:b/>
          <w:color w:val="1E3A8A"/>
          <w:sz w:val="20"/>
        </w:rPr>
        <w:t xml:space="preserve">• </w:t>
      </w:r>
      <w:r>
        <w:rPr>
          <w:rFonts w:ascii="Arial" w:hAnsi="Arial"/>
          <w:color w:val="111827"/>
          <w:sz w:val="20"/>
        </w:rPr>
        <w:t>Định dạng tinh gọn: Tên sự kiện (bên trái) kèm mốc thời gian thực hiện (Giờ:Phút Ngày/Tháng/Năm) bên phải, không hiển thị icon rườm rà hay nội dung chi tiết dài dòng.</w:t>
      </w:r>
    </w:p>
    <w:p>
      <w:pPr>
        <w:spacing w:after="60" w:line="276" w:lineRule="auto"/>
        <w:ind w:left="288"/>
      </w:pPr>
      <w:r>
        <w:rPr>
          <w:rFonts w:ascii="Arial" w:hAnsi="Arial"/>
          <w:b/>
          <w:color w:val="1E3A8A"/>
          <w:sz w:val="20"/>
        </w:rPr>
        <w:t xml:space="preserve">• </w:t>
      </w:r>
      <w:r>
        <w:rPr>
          <w:rFonts w:ascii="Arial" w:hAnsi="Arial"/>
          <w:color w:val="111827"/>
          <w:sz w:val="20"/>
        </w:rPr>
        <w:t>Tự động đồng bộ và lưu trữ theo thời gian thực mỗi khi có hành động phát sinh từ người dùng.</w:t>
      </w:r>
    </w:p>
    <w:p>
      <w:pPr>
        <w:spacing w:before="160" w:after="40"/>
        <w:jc w:val="center"/>
      </w:pPr>
      <w:r>
        <w:drawing>
          <wp:inline xmlns:a="http://schemas.openxmlformats.org/drawingml/2006/main" xmlns:pic="http://schemas.openxmlformats.org/drawingml/2006/picture">
            <wp:extent cx="2331720" cy="5048951"/>
            <wp:docPr id="7" name="Picture 7"/>
            <wp:cNvGraphicFramePr>
              <a:graphicFrameLocks noChangeAspect="1"/>
            </wp:cNvGraphicFramePr>
            <a:graphic>
              <a:graphicData uri="http://schemas.openxmlformats.org/drawingml/2006/picture">
                <pic:pic>
                  <pic:nvPicPr>
                    <pic:cNvPr id="0" name="brd_06b_activity_history.png"/>
                    <pic:cNvPicPr/>
                  </pic:nvPicPr>
                  <pic:blipFill>
                    <a:blip r:embed="rId15"/>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Mục Lịch sử hoạt động hiển thị dạng danh sách bullet note tinh gọn</w:t>
      </w:r>
    </w:p>
    <w:p>
      <w:pPr>
        <w:keepNext/>
        <w:spacing w:before="240" w:after="80"/>
      </w:pPr>
      <w:r>
        <w:rPr>
          <w:rFonts w:ascii="Arial" w:hAnsi="Arial"/>
          <w:b/>
          <w:color w:val="475569"/>
          <w:sz w:val="24"/>
        </w:rPr>
        <w:t>4.6. Quy Trình Xóa / Thu Hồi Ủy Quyền</w:t>
      </w:r>
    </w:p>
    <w:p>
      <w:pPr>
        <w:spacing w:after="80" w:line="276" w:lineRule="auto"/>
      </w:pPr>
      <w:r>
        <w:rPr>
          <w:rFonts w:ascii="Arial" w:hAnsi="Arial"/>
          <w:color w:val="111827"/>
          <w:sz w:val="20"/>
        </w:rPr>
        <w:t>Nút màu đỏ 'Xóa ủy quyền' hiển thị ở cuối form chỉnh sửa. Khi người dùng bấm nút, hệ thống hiển thị Modal cảnh báo xác nhận xóa vĩnh viễn không thể hoàn tác.</w:t>
      </w:r>
    </w:p>
    <w:p>
      <w:pPr>
        <w:spacing w:before="160" w:after="40"/>
        <w:jc w:val="center"/>
      </w:pPr>
      <w:r>
        <w:drawing>
          <wp:inline xmlns:a="http://schemas.openxmlformats.org/drawingml/2006/main" xmlns:pic="http://schemas.openxmlformats.org/drawingml/2006/picture">
            <wp:extent cx="2331720" cy="5048951"/>
            <wp:docPr id="8" name="Picture 8"/>
            <wp:cNvGraphicFramePr>
              <a:graphicFrameLocks noChangeAspect="1"/>
            </wp:cNvGraphicFramePr>
            <a:graphic>
              <a:graphicData uri="http://schemas.openxmlformats.org/drawingml/2006/picture">
                <pic:pic>
                  <pic:nvPicPr>
                    <pic:cNvPr id="0" name="brd_07_delete_confirm_modal.png"/>
                    <pic:cNvPicPr/>
                  </pic:nvPicPr>
                  <pic:blipFill>
                    <a:blip r:embed="rId16"/>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Hộp thoại xác nhận Xóa ủy quyền vĩnh viễn</w:t>
      </w:r>
    </w:p>
    <w:p>
      <w:pPr>
        <w:keepNext/>
        <w:spacing w:before="240" w:after="80"/>
      </w:pPr>
      <w:r>
        <w:rPr>
          <w:rFonts w:ascii="Arial" w:hAnsi="Arial"/>
          <w:b/>
          <w:color w:val="475569"/>
          <w:sz w:val="24"/>
        </w:rPr>
        <w:t>4.7. Thông Báo Lời Mời Đến Người Được Ủy Quyền</w:t>
      </w:r>
    </w:p>
    <w:p>
      <w:pPr>
        <w:spacing w:after="80" w:line="276" w:lineRule="auto"/>
      </w:pPr>
      <w:r>
        <w:rPr>
          <w:rFonts w:ascii="Arial" w:hAnsi="Arial"/>
          <w:color w:val="111827"/>
          <w:sz w:val="20"/>
        </w:rPr>
        <w:t>Người nhận sẽ nhận được thông báo đẩy tại màn hình Thông báo (casID-sign-noti.html). Bấm vào thông báo sẽ dẫn trực tiếp tới Màn hình xác nhận toàn trang.</w:t>
      </w:r>
    </w:p>
    <w:p>
      <w:pPr>
        <w:spacing w:before="160" w:after="40"/>
        <w:jc w:val="center"/>
      </w:pPr>
      <w:r>
        <w:drawing>
          <wp:inline xmlns:a="http://schemas.openxmlformats.org/drawingml/2006/main" xmlns:pic="http://schemas.openxmlformats.org/drawingml/2006/picture">
            <wp:extent cx="2331720" cy="5048951"/>
            <wp:docPr id="9" name="Picture 9"/>
            <wp:cNvGraphicFramePr>
              <a:graphicFrameLocks noChangeAspect="1"/>
            </wp:cNvGraphicFramePr>
            <a:graphic>
              <a:graphicData uri="http://schemas.openxmlformats.org/drawingml/2006/picture">
                <pic:pic>
                  <pic:nvPicPr>
                    <pic:cNvPr id="0" name="brd_08_recipient_notification.png"/>
                    <pic:cNvPicPr/>
                  </pic:nvPicPr>
                  <pic:blipFill>
                    <a:blip r:embed="rId17"/>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Màn hình Trung tâm thông báo nhận lời mời ủy quyền</w:t>
      </w:r>
    </w:p>
    <w:p>
      <w:pPr>
        <w:keepNext/>
        <w:spacing w:before="240" w:after="80"/>
      </w:pPr>
      <w:r>
        <w:rPr>
          <w:rFonts w:ascii="Arial" w:hAnsi="Arial"/>
          <w:b/>
          <w:color w:val="475569"/>
          <w:sz w:val="24"/>
        </w:rPr>
        <w:t>4.8. Màn Hình Chấp Nhận / Từ Chối Lời Mời Ủy Quyền</w:t>
      </w:r>
    </w:p>
    <w:p>
      <w:pPr>
        <w:spacing w:after="80" w:line="276" w:lineRule="auto"/>
      </w:pPr>
      <w:r>
        <w:rPr>
          <w:rFonts w:ascii="Arial" w:hAnsi="Arial"/>
          <w:color w:val="111827"/>
          <w:sz w:val="20"/>
        </w:rPr>
        <w:t>Màn hình xác nhận toàn trang (Full-page Confirmation View) hiển thị đầy đủ thông tin:</w:t>
      </w:r>
    </w:p>
    <w:p>
      <w:pPr>
        <w:spacing w:after="60" w:line="276" w:lineRule="auto"/>
        <w:ind w:left="288"/>
      </w:pPr>
      <w:r>
        <w:rPr>
          <w:rFonts w:ascii="Arial" w:hAnsi="Arial"/>
          <w:b/>
          <w:color w:val="1E3A8A"/>
          <w:sz w:val="20"/>
        </w:rPr>
        <w:t xml:space="preserve">• </w:t>
      </w:r>
      <w:r>
        <w:rPr>
          <w:rFonts w:ascii="Arial" w:hAnsi="Arial"/>
          <w:color w:val="111827"/>
          <w:sz w:val="20"/>
        </w:rPr>
        <w:t>Người ủy quyền: Họ tên / Tên công ty ủy quyền.</w:t>
      </w:r>
    </w:p>
    <w:p>
      <w:pPr>
        <w:spacing w:after="60" w:line="276" w:lineRule="auto"/>
        <w:ind w:left="288"/>
      </w:pPr>
      <w:r>
        <w:rPr>
          <w:rFonts w:ascii="Arial" w:hAnsi="Arial"/>
          <w:b/>
          <w:color w:val="1E3A8A"/>
          <w:sz w:val="20"/>
        </w:rPr>
        <w:t xml:space="preserve">• </w:t>
      </w:r>
      <w:r>
        <w:rPr>
          <w:rFonts w:ascii="Arial" w:hAnsi="Arial"/>
          <w:color w:val="111827"/>
          <w:sz w:val="20"/>
        </w:rPr>
        <w:t>Danh sách tài sản được ủy quyền: Hiển thị logo thương hiệu tròn + Tên tài sản + Số tài khoản/Chứng thư.</w:t>
      </w:r>
    </w:p>
    <w:p>
      <w:pPr>
        <w:spacing w:after="60" w:line="276" w:lineRule="auto"/>
        <w:ind w:left="288"/>
      </w:pPr>
      <w:r>
        <w:rPr>
          <w:rFonts w:ascii="Arial" w:hAnsi="Arial"/>
          <w:b/>
          <w:color w:val="1E3A8A"/>
          <w:sz w:val="20"/>
        </w:rPr>
        <w:t xml:space="preserve">• </w:t>
      </w:r>
      <w:r>
        <w:rPr>
          <w:rFonts w:ascii="Arial" w:hAnsi="Arial"/>
          <w:color w:val="111827"/>
          <w:sz w:val="20"/>
        </w:rPr>
        <w:t>Thời hạn hiệu lực &amp; Số CCCD người nhận.</w:t>
      </w:r>
    </w:p>
    <w:p>
      <w:pPr>
        <w:spacing w:after="60" w:line="276" w:lineRule="auto"/>
        <w:ind w:left="288"/>
      </w:pPr>
      <w:r>
        <w:rPr>
          <w:rFonts w:ascii="Arial" w:hAnsi="Arial"/>
          <w:b/>
          <w:color w:val="1E3A8A"/>
          <w:sz w:val="20"/>
        </w:rPr>
        <w:t xml:space="preserve">• </w:t>
      </w:r>
      <w:r>
        <w:rPr>
          <w:rFonts w:ascii="Arial" w:hAnsi="Arial"/>
          <w:color w:val="111827"/>
          <w:sz w:val="20"/>
        </w:rPr>
        <w:t>2 nút hành động dưới đáy: [ Từ chối ủy quyền ] và [ Đồng ý xác nhận ].</w:t>
      </w:r>
    </w:p>
    <w:p>
      <w:pPr>
        <w:spacing w:before="160" w:after="40"/>
        <w:jc w:val="center"/>
      </w:pPr>
      <w:r>
        <w:drawing>
          <wp:inline xmlns:a="http://schemas.openxmlformats.org/drawingml/2006/main" xmlns:pic="http://schemas.openxmlformats.org/drawingml/2006/picture">
            <wp:extent cx="2331720" cy="5048951"/>
            <wp:docPr id="10" name="Picture 10"/>
            <wp:cNvGraphicFramePr>
              <a:graphicFrameLocks noChangeAspect="1"/>
            </wp:cNvGraphicFramePr>
            <a:graphic>
              <a:graphicData uri="http://schemas.openxmlformats.org/drawingml/2006/picture">
                <pic:pic>
                  <pic:nvPicPr>
                    <pic:cNvPr id="0" name="brd_09_accept_reject_screen.png"/>
                    <pic:cNvPicPr/>
                  </pic:nvPicPr>
                  <pic:blipFill>
                    <a:blip r:embed="rId18"/>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Màn hình toàn trang Chấp nhận hoặc Từ chối Lời mời ủy quyền</w:t>
      </w:r>
    </w:p>
    <w:p>
      <w:pPr>
        <w:keepNext/>
        <w:spacing w:before="240" w:after="80"/>
      </w:pPr>
      <w:r>
        <w:rPr>
          <w:rFonts w:ascii="Arial" w:hAnsi="Arial"/>
          <w:b/>
          <w:color w:val="475569"/>
          <w:sz w:val="24"/>
        </w:rPr>
        <w:t>4.9. Màn Hình Chi Tiết Ủy Quyền Đã Nhận &amp; Nút Xóa Ủy Quyền</w:t>
      </w:r>
    </w:p>
    <w:p>
      <w:pPr>
        <w:spacing w:after="80" w:line="276" w:lineRule="auto"/>
      </w:pPr>
      <w:r>
        <w:rPr>
          <w:rFonts w:ascii="Arial" w:hAnsi="Arial"/>
          <w:color w:val="111827"/>
          <w:sz w:val="20"/>
        </w:rPr>
        <w:t>Đối với các ủy quyền đã được chấp nhận (Trạng thái: Hiệu lực):</w:t>
      </w:r>
    </w:p>
    <w:p>
      <w:pPr>
        <w:spacing w:after="60" w:line="276" w:lineRule="auto"/>
        <w:ind w:left="288"/>
      </w:pPr>
      <w:r>
        <w:rPr>
          <w:rFonts w:ascii="Arial" w:hAnsi="Arial"/>
          <w:b/>
          <w:color w:val="1E3A8A"/>
          <w:sz w:val="20"/>
        </w:rPr>
        <w:t xml:space="preserve">• </w:t>
      </w:r>
      <w:r>
        <w:rPr>
          <w:rFonts w:ascii="Arial" w:hAnsi="Arial"/>
          <w:color w:val="111827"/>
          <w:sz w:val="20"/>
        </w:rPr>
        <w:t>Hiển thị chi tiết quyền hạn và tài sản đang được sử dụng.</w:t>
      </w:r>
    </w:p>
    <w:p>
      <w:pPr>
        <w:spacing w:after="60" w:line="276" w:lineRule="auto"/>
        <w:ind w:left="288"/>
      </w:pPr>
      <w:r>
        <w:rPr>
          <w:rFonts w:ascii="Arial" w:hAnsi="Arial"/>
          <w:b/>
          <w:color w:val="1E3A8A"/>
          <w:sz w:val="20"/>
        </w:rPr>
        <w:t xml:space="preserve">• </w:t>
      </w:r>
      <w:r>
        <w:rPr>
          <w:rFonts w:ascii="Arial" w:hAnsi="Arial"/>
          <w:color w:val="111827"/>
          <w:sz w:val="20"/>
        </w:rPr>
        <w:t>Dưới đáy màn hình chỉ hiển thị duy nhất 1 nút toàn màn hình: [ 🗑️ Xóa ủy quyền ] (màu đỏ nhạt viền đỏ) để người nhận chủ động từ bỏ quyền sử dụng khi không còn nhu cầu.</w:t>
      </w:r>
    </w:p>
    <w:p>
      <w:pPr>
        <w:spacing w:before="160" w:after="40"/>
        <w:jc w:val="center"/>
      </w:pPr>
      <w:r>
        <w:drawing>
          <wp:inline xmlns:a="http://schemas.openxmlformats.org/drawingml/2006/main" xmlns:pic="http://schemas.openxmlformats.org/drawingml/2006/picture">
            <wp:extent cx="2331720" cy="5048951"/>
            <wp:docPr id="11" name="Picture 11"/>
            <wp:cNvGraphicFramePr>
              <a:graphicFrameLocks noChangeAspect="1"/>
            </wp:cNvGraphicFramePr>
            <a:graphic>
              <a:graphicData uri="http://schemas.openxmlformats.org/drawingml/2006/picture">
                <pic:pic>
                  <pic:nvPicPr>
                    <pic:cNvPr id="0" name="brd_10_active_received_detail.png"/>
                    <pic:cNvPicPr/>
                  </pic:nvPicPr>
                  <pic:blipFill>
                    <a:blip r:embed="rId19"/>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Màn hình Chi tiết ủy quyền đã nhận với duy nhất 1 nút Xóa ủy quyền</w:t>
      </w:r>
    </w:p>
    <w:p>
      <w:pPr>
        <w:keepNext/>
        <w:spacing w:before="240" w:after="80"/>
      </w:pPr>
      <w:r>
        <w:rPr>
          <w:rFonts w:ascii="Arial" w:hAnsi="Arial"/>
          <w:b/>
          <w:color w:val="475569"/>
          <w:sz w:val="24"/>
        </w:rPr>
        <w:t>4.10. Hiển Thị Thông Tin Người Ký / Người Từ Chối &amp; Chọn Chứng Thư Số Trong Luồng Ký Số</w:t>
      </w:r>
    </w:p>
    <w:p>
      <w:pPr>
        <w:spacing w:after="80" w:line="276" w:lineRule="auto"/>
      </w:pPr>
      <w:r>
        <w:rPr>
          <w:rFonts w:ascii="Arial" w:hAnsi="Arial"/>
          <w:color w:val="111827"/>
          <w:sz w:val="20"/>
        </w:rPr>
        <w:t>Để đảm bảo tính minh bạch và giá trị pháp lý khi thực hiện ký số hoặc từ chối văn bản (đặc biệt trong các trường hợp ký thay / thao tác thay theo ủy quyền):</w:t>
      </w:r>
    </w:p>
    <w:p>
      <w:pPr>
        <w:spacing w:after="60" w:line="276" w:lineRule="auto"/>
        <w:ind w:left="288"/>
      </w:pPr>
      <w:r>
        <w:rPr>
          <w:rFonts w:ascii="Arial" w:hAnsi="Arial"/>
          <w:b/>
          <w:color w:val="1E3A8A"/>
          <w:sz w:val="20"/>
        </w:rPr>
        <w:t xml:space="preserve">• </w:t>
      </w:r>
      <w:r>
        <w:rPr>
          <w:rFonts w:ascii="Arial" w:hAnsi="Arial"/>
          <w:color w:val="111827"/>
          <w:sz w:val="20"/>
        </w:rPr>
        <w:t>Lựa chọn Chứng thư số theo bên ủy quyền: Khi thực hiện ký ủy quyền, hệ thống chỉ hiển thị đúng loại Chứng thư số của bên ủy quyền (Cá nhân hoặc Doanh nghiệp), ẩn hoàn toàn thanh chuyển đổi tab thừa thãi.</w:t>
      </w:r>
    </w:p>
    <w:p>
      <w:pPr>
        <w:spacing w:after="60" w:line="276" w:lineRule="auto"/>
        <w:ind w:left="288"/>
      </w:pPr>
      <w:r>
        <w:rPr>
          <w:rFonts w:ascii="Arial" w:hAnsi="Arial"/>
          <w:b/>
          <w:color w:val="1E3A8A"/>
          <w:sz w:val="20"/>
        </w:rPr>
        <w:t xml:space="preserve">• </w:t>
      </w:r>
      <w:r>
        <w:rPr>
          <w:rFonts w:ascii="Arial" w:hAnsi="Arial"/>
          <w:color w:val="111827"/>
          <w:sz w:val="20"/>
        </w:rPr>
        <w:t>Trường hợp Ký hoàn tất: Hiển thị thẻ trạng thái tinh gọn 'Văn bản đã được ký hoàn tất' kèm thông tin cơ bản: Người ký: [Tên người ký] (ví dụ: Nguyễn Văn Hùng).</w:t>
      </w:r>
    </w:p>
    <w:p>
      <w:pPr>
        <w:spacing w:after="60" w:line="276" w:lineRule="auto"/>
        <w:ind w:left="288"/>
      </w:pPr>
      <w:r>
        <w:rPr>
          <w:rFonts w:ascii="Arial" w:hAnsi="Arial"/>
          <w:b/>
          <w:color w:val="1E3A8A"/>
          <w:sz w:val="20"/>
        </w:rPr>
        <w:t xml:space="preserve">• </w:t>
      </w:r>
      <w:r>
        <w:rPr>
          <w:rFonts w:ascii="Arial" w:hAnsi="Arial"/>
          <w:color w:val="111827"/>
          <w:sz w:val="20"/>
        </w:rPr>
        <w:t>Trường hợp Từ chối ký: Hiển thị thẻ cảnh báo 'Yêu cầu đã bị từ chối' kèm thông tin cơ bản: Người từ chối: [Tên người từ chối] (ví dụ: Nguyễn Văn Hùng) và Lý do từ chối rõ ràng.</w:t>
      </w:r>
    </w:p>
    <w:p>
      <w:pPr>
        <w:spacing w:after="60" w:line="276" w:lineRule="auto"/>
        <w:ind w:left="288"/>
      </w:pPr>
      <w:r>
        <w:rPr>
          <w:rFonts w:ascii="Arial" w:hAnsi="Arial"/>
          <w:b/>
          <w:color w:val="1E3A8A"/>
          <w:sz w:val="20"/>
        </w:rPr>
        <w:t xml:space="preserve">• </w:t>
      </w:r>
      <w:r>
        <w:rPr>
          <w:rFonts w:ascii="Arial" w:hAnsi="Arial"/>
          <w:color w:val="111827"/>
          <w:sz w:val="20"/>
        </w:rPr>
        <w:t>Màn hình danh sách: Giữ giao diện danh sách tối giản, không hiển thị thêm thông tin người ký/người từ chối bên ngoài thẻ.</w:t>
      </w:r>
    </w:p>
    <w:p>
      <w:pPr>
        <w:spacing w:before="160" w:after="40"/>
        <w:jc w:val="center"/>
      </w:pPr>
      <w:r>
        <w:drawing>
          <wp:inline xmlns:a="http://schemas.openxmlformats.org/drawingml/2006/main" xmlns:pic="http://schemas.openxmlformats.org/drawingml/2006/picture">
            <wp:extent cx="2331720" cy="5048951"/>
            <wp:docPr id="12" name="Picture 12"/>
            <wp:cNvGraphicFramePr>
              <a:graphicFrameLocks noChangeAspect="1"/>
            </wp:cNvGraphicFramePr>
            <a:graphic>
              <a:graphicData uri="http://schemas.openxmlformats.org/drawingml/2006/picture">
                <pic:pic>
                  <pic:nvPicPr>
                    <pic:cNvPr id="0" name="test_cert_personal_delegated.png"/>
                    <pic:cNvPicPr/>
                  </pic:nvPicPr>
                  <pic:blipFill>
                    <a:blip r:embed="rId20"/>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Màn hình Chọn CTS Cá nhân được ủy quyền (ẩn tab, chỉ hiện CTS của người ủy quyền)</w:t>
      </w:r>
    </w:p>
    <w:p>
      <w:pPr>
        <w:spacing w:before="160" w:after="40"/>
        <w:jc w:val="center"/>
      </w:pPr>
      <w:r>
        <w:drawing>
          <wp:inline xmlns:a="http://schemas.openxmlformats.org/drawingml/2006/main" xmlns:pic="http://schemas.openxmlformats.org/drawingml/2006/picture">
            <wp:extent cx="2331720" cy="5048951"/>
            <wp:docPr id="13" name="Picture 13"/>
            <wp:cNvGraphicFramePr>
              <a:graphicFrameLocks noChangeAspect="1"/>
            </wp:cNvGraphicFramePr>
            <a:graphic>
              <a:graphicData uri="http://schemas.openxmlformats.org/drawingml/2006/picture">
                <pic:pic>
                  <pic:nvPicPr>
                    <pic:cNvPr id="0" name="test_cert_corporate_delegated.png"/>
                    <pic:cNvPicPr/>
                  </pic:nvPicPr>
                  <pic:blipFill>
                    <a:blip r:embed="rId21"/>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Màn hình Chọn CTS Doanh nghiệp được ủy quyền (ẩn tab, chỉ hiện CTS của công ty ủy quyền)</w:t>
      </w:r>
    </w:p>
    <w:p>
      <w:pPr>
        <w:spacing w:before="160" w:after="40"/>
        <w:jc w:val="center"/>
      </w:pPr>
      <w:r>
        <w:drawing>
          <wp:inline xmlns:a="http://schemas.openxmlformats.org/drawingml/2006/main" xmlns:pic="http://schemas.openxmlformats.org/drawingml/2006/picture">
            <wp:extent cx="2331720" cy="5048951"/>
            <wp:docPr id="14" name="Picture 14"/>
            <wp:cNvGraphicFramePr>
              <a:graphicFrameLocks noChangeAspect="1"/>
            </wp:cNvGraphicFramePr>
            <a:graphic>
              <a:graphicData uri="http://schemas.openxmlformats.org/drawingml/2006/picture">
                <pic:pic>
                  <pic:nvPicPr>
                    <pic:cNvPr id="0" name="test_sign_completed_delegated.png"/>
                    <pic:cNvPicPr/>
                  </pic:nvPicPr>
                  <pic:blipFill>
                    <a:blip r:embed="rId22"/>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Màn hình Ký số hoàn tất hiển thị tinh gọn Người ký</w:t>
      </w:r>
    </w:p>
    <w:p>
      <w:pPr>
        <w:spacing w:before="160" w:after="40"/>
        <w:jc w:val="center"/>
      </w:pPr>
      <w:r>
        <w:drawing>
          <wp:inline xmlns:a="http://schemas.openxmlformats.org/drawingml/2006/main" xmlns:pic="http://schemas.openxmlformats.org/drawingml/2006/picture">
            <wp:extent cx="2331720" cy="5048951"/>
            <wp:docPr id="15" name="Picture 15"/>
            <wp:cNvGraphicFramePr>
              <a:graphicFrameLocks noChangeAspect="1"/>
            </wp:cNvGraphicFramePr>
            <a:graphic>
              <a:graphicData uri="http://schemas.openxmlformats.org/drawingml/2006/picture">
                <pic:pic>
                  <pic:nvPicPr>
                    <pic:cNvPr id="0" name="test_sign_rejected_delegated.png"/>
                    <pic:cNvPicPr/>
                  </pic:nvPicPr>
                  <pic:blipFill>
                    <a:blip r:embed="rId23"/>
                    <a:stretch>
                      <a:fillRect/>
                    </a:stretch>
                  </pic:blipFill>
                  <pic:spPr>
                    <a:xfrm>
                      <a:off x="0" y="0"/>
                      <a:ext cx="2331720" cy="5048951"/>
                    </a:xfrm>
                    <a:prstGeom prst="rect"/>
                  </pic:spPr>
                </pic:pic>
              </a:graphicData>
            </a:graphic>
          </wp:inline>
        </w:drawing>
      </w:r>
    </w:p>
    <w:p>
      <w:pPr>
        <w:spacing w:after="240"/>
        <w:jc w:val="center"/>
      </w:pPr>
      <w:r>
        <w:rPr>
          <w:rFonts w:ascii="Arial" w:hAnsi="Arial"/>
          <w:i/>
          <w:color w:val="6B7280"/>
          <w:sz w:val="17"/>
        </w:rPr>
        <w:t>Hình: Màn hình Từ chối ký hiển thị tinh gọn Người từ chối và Lý do</w:t>
      </w:r>
    </w:p>
    <w:p>
      <w:pPr>
        <w:keepNext/>
        <w:spacing w:before="320" w:after="120"/>
      </w:pPr>
      <w:r>
        <w:rPr>
          <w:rFonts w:ascii="Arial" w:hAnsi="Arial"/>
          <w:b/>
          <w:color w:val="1E3A8A"/>
          <w:sz w:val="28"/>
        </w:rPr>
        <w:t>5. Quy Tắc Nghiệp Vụ &amp; Ràng Buộc Hệ Thống</w:t>
      </w:r>
    </w:p>
    <w:p>
      <w:pPr>
        <w:spacing w:after="60" w:line="276" w:lineRule="auto"/>
        <w:ind w:left="288"/>
      </w:pPr>
      <w:r>
        <w:rPr>
          <w:rFonts w:ascii="Arial" w:hAnsi="Arial"/>
          <w:b/>
          <w:color w:val="1E3A8A"/>
          <w:sz w:val="20"/>
        </w:rPr>
        <w:t xml:space="preserve">1. </w:t>
      </w:r>
      <w:r>
        <w:rPr>
          <w:rFonts w:ascii="Arial" w:hAnsi="Arial"/>
          <w:color w:val="111827"/>
          <w:sz w:val="20"/>
        </w:rPr>
        <w:t>Ràng buộc Định danh: Người nhận bắt buộc phải có số CCCD 12 chữ số đã đăng ký định danh trên CasID.</w:t>
      </w:r>
    </w:p>
    <w:p>
      <w:pPr>
        <w:spacing w:after="60" w:line="276" w:lineRule="auto"/>
        <w:ind w:left="288"/>
      </w:pPr>
      <w:r>
        <w:rPr>
          <w:rFonts w:ascii="Arial" w:hAnsi="Arial"/>
          <w:b/>
          <w:color w:val="1E3A8A"/>
          <w:sz w:val="20"/>
        </w:rPr>
        <w:t xml:space="preserve">2. </w:t>
      </w:r>
      <w:r>
        <w:rPr>
          <w:rFonts w:ascii="Arial" w:hAnsi="Arial"/>
          <w:color w:val="111827"/>
          <w:sz w:val="20"/>
        </w:rPr>
        <w:t>Bảo mật 2 lớp: Thao tác ký số hoặc duyệt chi bằng tài sản ủy quyền vẫn yêu cầu xác thực FaceID / PIN của người nhận.</w:t>
      </w:r>
    </w:p>
    <w:p>
      <w:pPr>
        <w:spacing w:after="60" w:line="276" w:lineRule="auto"/>
        <w:ind w:left="288"/>
      </w:pPr>
      <w:r>
        <w:rPr>
          <w:rFonts w:ascii="Arial" w:hAnsi="Arial"/>
          <w:b/>
          <w:color w:val="1E3A8A"/>
          <w:sz w:val="20"/>
        </w:rPr>
        <w:t xml:space="preserve">3. </w:t>
      </w:r>
      <w:r>
        <w:rPr>
          <w:rFonts w:ascii="Arial" w:hAnsi="Arial"/>
          <w:color w:val="111827"/>
          <w:sz w:val="20"/>
        </w:rPr>
        <w:t>Ràng buộc Thời gian: Thời gian kết thúc bắt buộc phải sau thời gian bắt đầu. Khi quá hạn, hệ thống tự động chuyển trạng thái sang 'Hết hạn' và khóa quyền.</w:t>
      </w:r>
    </w:p>
    <w:p>
      <w:pPr>
        <w:spacing w:after="60" w:line="276" w:lineRule="auto"/>
        <w:ind w:left="288"/>
      </w:pPr>
      <w:r>
        <w:rPr>
          <w:rFonts w:ascii="Arial" w:hAnsi="Arial"/>
          <w:b/>
          <w:color w:val="1E3A8A"/>
          <w:sz w:val="20"/>
        </w:rPr>
        <w:t xml:space="preserve">4. </w:t>
      </w:r>
      <w:r>
        <w:rPr>
          <w:rFonts w:ascii="Arial" w:hAnsi="Arial"/>
          <w:color w:val="111827"/>
          <w:sz w:val="20"/>
        </w:rPr>
        <w:t>Quyền Thu Hồi / Hủy Ngang: Bên ủy quyền có quyền thu hồi/tạm dừng bất cứ lúc nào; Bên nhận có quyền từ chối hoặc xóa ủy quyền bất cứ lúc nào.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