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Cập nhật các phần tử trong mảng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Nắm được các tính năng mới của ES6 trong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vận dụng các tính năng đó vào các bài toán cụ thể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Biết cách tối ưu code khi sử dụng các tính năng mới của ES6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360" w:lineRule="auto"/>
        <w:ind w:left="0"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Viết một hàm `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squareNumbers</w:t>
      </w: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()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highlight w:val="white"/>
              <w:rtl w:val="0"/>
            </w:rPr>
            <w:t xml:space="preserve">` nhận vào một mảng các số và trả về một mảng mới chứa các số bình phương tương ứng bằng cách sử dụng phương thức `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map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`.</w:t>
      </w:r>
    </w:p>
    <w:p w:rsidR="00000000" w:rsidDel="00000000" w:rsidP="00000000" w:rsidRDefault="00000000" w:rsidRPr="00000000" w14:paraId="00000009">
      <w:pPr>
        <w:shd w:fill="ffffff" w:val="clear"/>
        <w:spacing w:after="0" w:line="360" w:lineRule="auto"/>
        <w:ind w:firstLine="72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0B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/P081SSJpDaGR5G+hg3N+cGemg==">CgMxLjAaGwoBMBIWChQIB0IQCgZSb2JvdG8SBkFuZGlrYTgAciExbm5FcnNEdmhoVGctOTFfTWdXYm0yYmttV1pIYmI1TVU=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