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[Bài tập]1. Hợp nhất các kiểu dữ liệu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Nắm rõ các kiểu dữ liệu nâng cao trong Typescript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Biết cách kết quả các kiểu dữ liệu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Vận dụng các kiểu dữ liệu vào các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Hợp nhất các kiểu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Tạo một file đặt tên là: intersection-exercise.ts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Định nghĩa hai kiểu dữ liệu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Person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và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mô tả thông tin về người và địa chỉ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Tạo một kiểu hợp nhất (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intersection type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 mới là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PersonWithAddress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kết hợp cả kiểu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Person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và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Address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Tạo một biến person kiểu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PersonWithAddress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và gán nó cho một đối tượng chứa thông tin cá nhân và địa chỉ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 ra thông tin của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wH8m7H/KB2YBtXPzjzoBTJazHw==">CgMxLjA4AHIhMVNzcVZNX2k4bGctZUJhXzJfNzZNVnNBYkQ1TmxSeHln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