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[Bài tập]1. Quản lý tài khoản ngân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vững các tính chất của lập trình hướng đối tượng (OOP)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vận dụng lập trình hướng đối tượng để xây dựng các bài toán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Ngân hàng ABC muốn lưu trữ thông tin của mỗi tài khoản như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*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Mỗi tài khoản chứa các thông tin: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Số tài khoản ( Kiểu string),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Tên tài khoản (kiểu string),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Số tiền trong tài khoản (kiểu string)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-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Hằng số lãi suất có giá trị khởi tạo 0.035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* Thiết kế lớp Account để lưu trữ các thông tin, lớp bao gồm các phương thức sau: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rFonts w:ascii="Montserrat Medium" w:cs="Montserrat Medium" w:eastAsia="Montserrat Medium" w:hAnsi="Montserrat Medium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Constructor: Chấp nhận hai đối số - số tài khoản và tên tài khoản. Constructor này khởi tạo số tiền trong tài khoản là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Montserrat Medium" w:cs="Montserrat Medium" w:eastAsia="Montserrat Medium" w:hAnsi="Montserrat Medium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deposit(amount: number)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Thêm số tiền vào tài khoản. Tiền không được nhận giá trị âm. Hãy kiểm tra điều này và xử lý nếu cần.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withdraw(amount: number)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Rút số tiền khỏi tài khoản. Hãy kiểm tra xem tài khoản có đủ tiền để rút không, và xử lý nếu cần.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20" w:before="0" w:beforeAutospacing="0" w:line="360" w:lineRule="auto"/>
        <w:ind w:left="720" w:hanging="360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mature()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Đáo hạn tài khoản bằng cách cộng thêm một số tiền vào tài khoản dựa trên một lãi suất cố định.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Chú ý: Mỗi thao tác phải kiểm tra số tiền nạp, rút, chuyển có hợp lệ hay không? 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(VD: tiền nhập vào &lt;0, tiền rút nhiều hơn tiền trong tài khoản thì thông báo không hợp lệ và yêu cầu nhập lại)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Việc lấy dữ liệu, hiển thị kết quả được thực hiện ngoài trình duyệt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7mzmaa9Na4m2WgHf2cVfRMYQ==">CgMxLjA4AHIhMXRkcnNsa21HcWtWZHF0QnZoS1B4ckdYcENlRjVwZlFY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