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tập]2.  Kiểu dữ liệu Generics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Hiểu và nắm được khái niệm về kiểu dữ liệu Generic trong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Biết cách ứng dụng kiểu dữ liệu Generic vào bài toán cụ thể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Áp dụng kiểu dữ liệu Generics, hãy xây dựng một hàm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myMap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() có logic giống như hàm map() làm việc với mảng trong ES6,  hàm có 2 tham số truyền vào: tham số 1 là một mảng, tham số thứ 2 là một mảng kết quả  được ánh xạ. Sau khi đã xây dựng xong hàm, hãy sử dụng hàm để làm bài toán sau: “ Nhập vào một mảng các số nguyên, in ra kết quả là một mảng mới với kết quả là mảng cũ nhân với 2”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Đưa mã nguồn lên GitHub.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CY/Uu0JEWpGHLao7oM/+xhhAA==">CgMxLjA4AHIhMXUxOWVGZkdiTG8wUHNhVWJ6VDJOa0s5R0YyVGNtdHZJ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