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tập]4. Ứng dụng kiểu dữ liệu Generics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Hiểu và nắm được khái niệm về kiểu dữ liệu Generic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Biết cách ứng dụng kiểu dữ liệu Generic vào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Ứng dụng kiểu dữ liệu Generic, hãy viết một hàm đặt tên là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search()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cho phép người dùng tìm dùng tìm kiếm một phần tử trong mảng và trả về chỉ mục của nó trong 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Đưa mã nguồn lên GitHub.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qBsYEtUy1DRxATIzcFqKJFmOFg==">CgMxLjA4AHIhMURfeTROSWloMzZGVDRfMzcwZDBLT3VGb2RaSE9VbUJ1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