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4. Bài tập tổng hợp OOP và Generics</w:t>
      </w:r>
    </w:p>
    <w:p w:rsidR="00000000" w:rsidDel="00000000" w:rsidP="00000000" w:rsidRDefault="00000000" w:rsidRPr="00000000" w14:paraId="00000002">
      <w:pPr>
        <w:pStyle w:val="Heading2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Nắm được các kiến thức và tính chất về OOP và kiểu dữ liệu Generic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kết hợp kiểu dữ liệu Generics vào trong lập trình hướng đối tượng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ứng dụng kiểu dữ liệu Generic để thực hiện các phép toán tùy ý trên các kiểu dữ liệu cụ thể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Order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Order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đại diện cho một đơn đặt hàng.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này có các thuộc tính như: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orderId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(mã đơn đặt hàng): number,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customerName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(tên khách hàng): string,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totalAmount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(tổng số tiền đơn đặt hàng): number.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hàm khởi tạo (constructor) cho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Order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khởi tạo các thuộc tính.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OrderManager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OrderManager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quản lý danh sách đơn đặt hàng.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này có một mảng để lưu trữ danh sách đơn đặt hàng.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OrderManager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có các phương thức generic để add (thêm), update(sửa) và search(tìm kiếm đơn đặt hàng trong danh sách).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OrderManager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quản lý danh sách đơn đặt hàng.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Thêm, sửa đổi và tìm kiếm đơn đặt hàng trong danh sách.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Phương thức add (thêm): Phương thức này cho phép bạn thêm một đơn đặt hàng mới vào danh sách. Sử dụng kiểu dữ liệu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generic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cho phép phương thức này hoạt động với bất kỳ kiểu dữ liệu nào (ví dụ: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number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string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object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v.v.) cho thuộc tính đơn đặt hàng như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orderId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customerName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totalAmount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Phương thức update (sửa đổi): Phương thức này cho phép bạn sửa đổi thông tin của một đơn đặt hàng hiện có trong danh sách. Sử dụng kiểu dữ liệu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generic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cho phép phương thức này hoạt động với các kiểu dữ liệu khác nhau cho việc sửa đổi các thuộc tính đơn đặt hàng.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Phương thức search (tìm kiếm): Phương thức này cho phép bạn tìm kiếm một đơn đặt hàng trong danh sách dựa vào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orderId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 Sử dụng kiểu dữ liệu generic cho tiêu chí tìm kiếm, phương thức này có thể hoạt động với bất kỳ kiểu dữ liệu nào.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 ra danh sách đơn đặt hàng hoặc kết quả tìm kiếm.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ind w:left="1440" w:firstLine="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8gHrLzVjeosMl1N9Yc3qrP0uw==">CgMxLjA4AHIhMWFxS2k4ZVRPaUhYN3NSYmZXUFEzOFdLbFEzRmRESlZh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