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479C" w14:textId="77777777" w:rsidR="000F5A88" w:rsidRPr="002A247D" w:rsidRDefault="00000000">
      <w:pPr>
        <w:spacing w:after="240" w:line="480" w:lineRule="auto"/>
        <w:jc w:val="center"/>
        <w:rPr>
          <w:sz w:val="32"/>
          <w:szCs w:val="32"/>
        </w:rPr>
      </w:pPr>
      <w:r w:rsidRPr="002A247D">
        <w:rPr>
          <w:b/>
          <w:bCs/>
          <w:sz w:val="32"/>
          <w:szCs w:val="32"/>
        </w:rPr>
        <w:t>AI Integration Pressure, Pedagogical Autonomy, and Faculty Sustainable Performance: The Role of Digital Resilience in Vietnamese Higher Education</w:t>
      </w:r>
    </w:p>
    <w:p w14:paraId="57E3E8F6" w14:textId="77777777" w:rsidR="000F5A88" w:rsidRPr="002A247D" w:rsidRDefault="000F5A88">
      <w:pPr>
        <w:spacing w:line="480" w:lineRule="auto"/>
      </w:pPr>
    </w:p>
    <w:p w14:paraId="5D6D1589" w14:textId="77777777" w:rsidR="000F5A88" w:rsidRPr="002A247D" w:rsidRDefault="00000000" w:rsidP="005F6C6D">
      <w:pPr>
        <w:spacing w:line="480" w:lineRule="auto"/>
        <w:outlineLvl w:val="0"/>
        <w:rPr>
          <w:sz w:val="28"/>
          <w:szCs w:val="28"/>
        </w:rPr>
      </w:pPr>
      <w:r w:rsidRPr="002A247D">
        <w:rPr>
          <w:b/>
          <w:bCs/>
          <w:sz w:val="28"/>
          <w:szCs w:val="28"/>
        </w:rPr>
        <w:t>Abstract</w:t>
      </w:r>
    </w:p>
    <w:p w14:paraId="3CDFFF63" w14:textId="37D53EEE" w:rsidR="000F5A88" w:rsidRPr="002A247D" w:rsidRDefault="008633C3">
      <w:pPr>
        <w:spacing w:line="480" w:lineRule="auto"/>
      </w:pPr>
      <w:r w:rsidRPr="008633C3">
        <w:rPr>
          <w:color w:val="002060"/>
        </w:rPr>
        <w:t>The rapid integration of artificial intelligence in higher education has introduced technostress among faculty, yet the demand–performance dynamics of this process remain poorly understood. Drawing on the Job Demands–Resources model, Yerkes–Dodson Law, and Conservation of Resources theory, this study examined whether AI integration pressure (AIP) and pedagogical autonomy (PA) exhibit quadratic effects on faculty sustainable performance (FSP). It also tested whether digital resilience (DR) moderates these relationships as a continuous boundary condition. Data from 522 full-time faculty across five Vietnamese universities were analyzed via two-stage factor score regression within the Moderated Nonlinear Factor Analysis (MNLFA) framework. Quadratic main effects were nonsignificant (H1 and H2 not supported), with negligible effect sizes indicating genuine absence of unconditional curvilinearity. DR significantly moderated the quadratic AIP–FSP relationship (</w:t>
      </w:r>
      <w:r w:rsidRPr="008633C3">
        <w:rPr>
          <w:i/>
          <w:iCs/>
          <w:color w:val="002060"/>
        </w:rPr>
        <w:t>b</w:t>
      </w:r>
      <w:r w:rsidRPr="008633C3">
        <w:rPr>
          <w:color w:val="002060"/>
        </w:rPr>
        <w:t xml:space="preserve"> = −0.060, </w:t>
      </w:r>
      <w:r w:rsidRPr="008633C3">
        <w:rPr>
          <w:i/>
          <w:iCs/>
          <w:color w:val="002060"/>
        </w:rPr>
        <w:t>p</w:t>
      </w:r>
      <w:r w:rsidRPr="008633C3">
        <w:rPr>
          <w:color w:val="002060"/>
        </w:rPr>
        <w:t xml:space="preserve"> &lt; .001), producing an inverted-U pattern at high DR levels (H3 supported). DR also moderated the quadratic PA–FSP relationship (</w:t>
      </w:r>
      <w:r w:rsidRPr="008633C3">
        <w:rPr>
          <w:i/>
          <w:iCs/>
          <w:color w:val="002060"/>
        </w:rPr>
        <w:t>b</w:t>
      </w:r>
      <w:r w:rsidRPr="008633C3">
        <w:rPr>
          <w:color w:val="002060"/>
        </w:rPr>
        <w:t xml:space="preserve"> = −0.045, </w:t>
      </w:r>
      <w:r w:rsidRPr="008633C3">
        <w:rPr>
          <w:i/>
          <w:iCs/>
          <w:color w:val="002060"/>
        </w:rPr>
        <w:t>p</w:t>
      </w:r>
      <w:r w:rsidRPr="008633C3">
        <w:rPr>
          <w:color w:val="002060"/>
        </w:rPr>
        <w:t xml:space="preserve"> &lt; .001), shifting the curve from convex to concave at high DR (H4 supported). Additionally, DR exerted the strongest direct positive effect on FSP (</w:t>
      </w:r>
      <w:r w:rsidRPr="008633C3">
        <w:rPr>
          <w:i/>
          <w:iCs/>
          <w:color w:val="002060"/>
        </w:rPr>
        <w:t>b</w:t>
      </w:r>
      <w:r w:rsidRPr="008633C3">
        <w:rPr>
          <w:color w:val="002060"/>
        </w:rPr>
        <w:t xml:space="preserve"> = +0.521, </w:t>
      </w:r>
      <w:r w:rsidRPr="008633C3">
        <w:rPr>
          <w:i/>
          <w:iCs/>
          <w:color w:val="002060"/>
        </w:rPr>
        <w:t>p</w:t>
      </w:r>
      <w:r w:rsidRPr="008633C3">
        <w:rPr>
          <w:color w:val="002060"/>
        </w:rPr>
        <w:t xml:space="preserve"> &lt; .001), emerging as the dominant performance resource (H5 supported). These findings indicate that demand–resource dynamics in AI-intensive contexts are conditionally nonlinear, with digital resilience reorganizing rather than merely attenuating performance consequences. Universities </w:t>
      </w:r>
      <w:r w:rsidRPr="008633C3">
        <w:rPr>
          <w:color w:val="002060"/>
        </w:rPr>
        <w:lastRenderedPageBreak/>
        <w:t>should prioritize resilience-building programs and differentiated, autonomy-preserving AI adoption strategies over uniform high-pressure mandates.</w:t>
      </w:r>
    </w:p>
    <w:p w14:paraId="7C33FC0E" w14:textId="77777777" w:rsidR="000F5A88" w:rsidRPr="002A247D" w:rsidRDefault="00000000">
      <w:pPr>
        <w:spacing w:line="480" w:lineRule="auto"/>
      </w:pPr>
      <w:r w:rsidRPr="002A247D">
        <w:rPr>
          <w:b/>
          <w:bCs/>
        </w:rPr>
        <w:t xml:space="preserve">Keywords: </w:t>
      </w:r>
      <w:r w:rsidRPr="002A247D">
        <w:t>AI integration pressure; digital resilience; faculty sustainable performance; nonlinear moderation; Job Demands-Resources model</w:t>
      </w:r>
    </w:p>
    <w:p w14:paraId="5013662D" w14:textId="64EB3F9B" w:rsidR="000F5A88" w:rsidRPr="002A247D" w:rsidRDefault="00CE441D" w:rsidP="00D53BCE">
      <w:pPr>
        <w:pStyle w:val="Heading1"/>
        <w:spacing w:before="240" w:after="120"/>
        <w:rPr>
          <w:sz w:val="28"/>
          <w:szCs w:val="28"/>
        </w:rPr>
      </w:pPr>
      <w:r w:rsidRPr="002A247D">
        <w:rPr>
          <w:caps w:val="0"/>
          <w:sz w:val="28"/>
          <w:szCs w:val="28"/>
        </w:rPr>
        <w:t>1. Introduction</w:t>
      </w:r>
    </w:p>
    <w:p w14:paraId="44629CDF" w14:textId="77777777" w:rsidR="008633C3" w:rsidRPr="008633C3" w:rsidRDefault="008633C3" w:rsidP="008633C3">
      <w:pPr>
        <w:spacing w:line="480" w:lineRule="auto"/>
        <w:rPr>
          <w:color w:val="002060"/>
        </w:rPr>
      </w:pPr>
      <w:r w:rsidRPr="008633C3">
        <w:rPr>
          <w:color w:val="002060"/>
        </w:rPr>
        <w:t>Since large language models became publicly available in late 2022, universities globally have confronted fundamental questions about the pace and form of AI integration in teaching and learning. In Vietnam — where higher education enrollment has grown by more than 30% since 2015 and institutional digitalization has accelerated sharply since 2023 — faculty face mounting expectations to incorporate AI tools into course design, delivery, and assessment (Ministry of Education and Training, Vietnam, 2023). These expectations arrive alongside rapid tool obsolescence, limited pedagogical training, and ambiguous guidelines, creating fertile conditions for occupational stress. Faculty are consequently exposed to a distinct form of technostress — here termed AI integration pressure (AIP) — whose performance consequences remain poorly understood, particularly in emerging-economy settings.</w:t>
      </w:r>
    </w:p>
    <w:p w14:paraId="1628EA7C" w14:textId="77777777" w:rsidR="008633C3" w:rsidRPr="008633C3" w:rsidRDefault="008633C3" w:rsidP="008633C3">
      <w:pPr>
        <w:spacing w:line="480" w:lineRule="auto"/>
        <w:rPr>
          <w:color w:val="002060"/>
        </w:rPr>
      </w:pPr>
      <w:r w:rsidRPr="008633C3">
        <w:rPr>
          <w:color w:val="002060"/>
        </w:rPr>
        <w:t>The Job Demands–Resources (JD-R) model (Bakker &amp; Demerouti, 2007), the dominant framework in organizational behavior research on occupational stress and performance, proposes that job demands erode performance while resources buffer against burnout. In educational contexts, pedagogical autonomy (PA) — faculty control over instructional methods, content, and assessment — represents a critical resource shaping responses to escalating demands. Yet most empirical studies operationalize demands and resources as linear predictors of performance, conflicting with Yerkes–Dodson Law and Conservation of Resources theory, both of which anticipate curvilinear and context-dependent relationships.</w:t>
      </w:r>
    </w:p>
    <w:p w14:paraId="3AB857DC" w14:textId="77777777" w:rsidR="008633C3" w:rsidRPr="008633C3" w:rsidRDefault="008633C3" w:rsidP="008633C3">
      <w:pPr>
        <w:spacing w:line="480" w:lineRule="auto"/>
        <w:rPr>
          <w:color w:val="002060"/>
        </w:rPr>
      </w:pPr>
      <w:r w:rsidRPr="008633C3">
        <w:rPr>
          <w:color w:val="002060"/>
        </w:rPr>
        <w:lastRenderedPageBreak/>
        <w:t>This study addresses two gaps: whether AIP and PA exhibit quadratic effects on faculty sustainable performance (FSP), and whether digital resilience (DR) — the capacity to recover and adapt in the face of technological adversity — moderates these relationships as a continuous boundary condition. Survey data were collected from 637 full-time faculty across five Vietnamese universities; 522 complete cases were analyzed using a two-stage factor score regression approach within the Moderated Nonlinear Factor Analysis (MNLFA) framework.</w:t>
      </w:r>
    </w:p>
    <w:p w14:paraId="4D0F7155" w14:textId="77777777" w:rsidR="008633C3" w:rsidRPr="008633C3" w:rsidRDefault="008633C3" w:rsidP="008633C3">
      <w:pPr>
        <w:spacing w:line="480" w:lineRule="auto"/>
        <w:rPr>
          <w:color w:val="002060"/>
        </w:rPr>
      </w:pPr>
      <w:r w:rsidRPr="008633C3">
        <w:rPr>
          <w:color w:val="002060"/>
        </w:rPr>
        <w:t>AIP exerted a significant negative linear effect and PA a significant positive linear effect on FSP; quadratic main effects were non-significant. DR significantly moderated the quadratic AIP–FSP relationship, producing conditional nonlinearity where the demand–performance curve shifted from U-shaped at low DR to inverted-U at high DR (H3 supported). DR also moderated the quadratic PA–FSP relationship, shifting the curve from convex to concave at high DR (H4 supported), and emerged as the strongest direct predictor of FSP across all model specifications (H5 supported).</w:t>
      </w:r>
    </w:p>
    <w:p w14:paraId="647B9E9F" w14:textId="77777777" w:rsidR="008633C3" w:rsidRPr="008633C3" w:rsidRDefault="008633C3" w:rsidP="008633C3">
      <w:pPr>
        <w:spacing w:line="480" w:lineRule="auto"/>
      </w:pPr>
      <w:r w:rsidRPr="008633C3">
        <w:rPr>
          <w:color w:val="002060"/>
        </w:rPr>
        <w:t>Three contributions follow. Theoretically, the study subjects the JD-R linearity assumption to empirical test in an AI-intensive educational context and establishes DR as an individual-difference variable with direct and moderating relevance to performance. Methodologically, it demonstrates a replicable MNLFA pipeline for testing nonlinear moderation hypotheses at the latent level. Empirically, it provides novel evidence on AI adoption consequences in Vietnamese higher education, an important yet underrepresented setting in the international literature. The paper proceeds as follows: Section 2 develops the theoretical framework and hypotheses; Section 3 describes the methodology; Section 4 presents the results; Section 5 discusses findings and implications; and Section 6 concludes.</w:t>
      </w:r>
    </w:p>
    <w:p w14:paraId="39809078" w14:textId="2BAFF410" w:rsidR="000F5A88" w:rsidRPr="002A247D" w:rsidRDefault="00CE441D" w:rsidP="00D53BCE">
      <w:pPr>
        <w:pStyle w:val="Heading1"/>
        <w:spacing w:before="240" w:after="120"/>
        <w:rPr>
          <w:sz w:val="28"/>
          <w:szCs w:val="28"/>
        </w:rPr>
      </w:pPr>
      <w:r w:rsidRPr="002A247D">
        <w:rPr>
          <w:caps w:val="0"/>
          <w:sz w:val="28"/>
          <w:szCs w:val="28"/>
        </w:rPr>
        <w:t>2. Literature review and theoretical background</w:t>
      </w:r>
    </w:p>
    <w:p w14:paraId="08D9A8E1" w14:textId="77777777" w:rsidR="000F5A88" w:rsidRPr="002A247D" w:rsidRDefault="00000000" w:rsidP="00A12898">
      <w:pPr>
        <w:pStyle w:val="Heading2"/>
        <w:spacing w:before="120" w:after="120"/>
        <w:rPr>
          <w:sz w:val="26"/>
          <w:szCs w:val="26"/>
        </w:rPr>
      </w:pPr>
      <w:r w:rsidRPr="002A247D">
        <w:rPr>
          <w:sz w:val="26"/>
          <w:szCs w:val="26"/>
        </w:rPr>
        <w:lastRenderedPageBreak/>
        <w:t>2.1 Job Demands-Resources Model: Foundation and the Linearity Problem</w:t>
      </w:r>
    </w:p>
    <w:p w14:paraId="0F56DF64" w14:textId="77777777" w:rsidR="00EE4717" w:rsidRPr="00EE4717" w:rsidRDefault="00EE4717" w:rsidP="00EE4717">
      <w:pPr>
        <w:spacing w:line="480" w:lineRule="auto"/>
        <w:rPr>
          <w:color w:val="002060"/>
        </w:rPr>
      </w:pPr>
      <w:r w:rsidRPr="00EE4717">
        <w:rPr>
          <w:color w:val="002060"/>
        </w:rPr>
        <w:t xml:space="preserve">The Job Demands-Resources (JD-R) model (Bakker &amp; Demerouti, 2007) is the dominant framework linking work characteristics to employee well-being and performance. The model distinguishes job demands — physical, psychological, or social aspects incurring sustained costs — from job resources that motivate, support goal achievement, and buffer demand effects. In higher education, it has been applied to burnout, engagement, and performance (Schaufeli </w:t>
      </w:r>
      <w:r w:rsidRPr="00EE4717">
        <w:rPr>
          <w:i/>
          <w:iCs/>
          <w:color w:val="002060"/>
        </w:rPr>
        <w:t>et al.</w:t>
      </w:r>
      <w:r w:rsidRPr="00EE4717">
        <w:rPr>
          <w:color w:val="002060"/>
        </w:rPr>
        <w:t>, 2006).</w:t>
      </w:r>
    </w:p>
    <w:p w14:paraId="12C4B43B" w14:textId="77777777" w:rsidR="00EE4717" w:rsidRPr="00EE4717" w:rsidRDefault="00EE4717" w:rsidP="00EE4717">
      <w:pPr>
        <w:spacing w:line="480" w:lineRule="auto"/>
      </w:pPr>
      <w:r w:rsidRPr="00EE4717">
        <w:rPr>
          <w:color w:val="002060"/>
        </w:rPr>
        <w:t xml:space="preserve">Despite its influence, the JD-R model's linearity assumption remains largely unexamined. Lesener </w:t>
      </w:r>
      <w:r w:rsidRPr="00EE4717">
        <w:rPr>
          <w:i/>
          <w:iCs/>
          <w:color w:val="002060"/>
        </w:rPr>
        <w:t>et al.</w:t>
      </w:r>
      <w:r w:rsidRPr="00EE4717">
        <w:rPr>
          <w:color w:val="002060"/>
        </w:rPr>
        <w:t>'s (2019) meta-analysis of 91 JD-R studies found that fewer than 8% tested for nonlinear effects; among those, most found evidence of curvilinearity. This matters especially in AI-intensive contexts, where demand characteristics and resource returns shift with adoption pressure. This study tests quadratic specifications for demands and resources within the JD-R framework.</w:t>
      </w:r>
    </w:p>
    <w:p w14:paraId="7D593CD1" w14:textId="77777777" w:rsidR="000F5A88" w:rsidRPr="002A247D" w:rsidRDefault="00000000" w:rsidP="00A12898">
      <w:pPr>
        <w:pStyle w:val="Heading2"/>
        <w:spacing w:before="120" w:after="120"/>
      </w:pPr>
      <w:r w:rsidRPr="002A247D">
        <w:rPr>
          <w:sz w:val="26"/>
          <w:szCs w:val="26"/>
        </w:rPr>
        <w:t>2.2 AI Integration Pressure: When Demands Become Nonlinear</w:t>
      </w:r>
    </w:p>
    <w:p w14:paraId="0F79507A" w14:textId="77777777" w:rsidR="00EE4717" w:rsidRPr="00EE4717" w:rsidRDefault="00EE4717" w:rsidP="00EE4717">
      <w:pPr>
        <w:spacing w:line="480" w:lineRule="auto"/>
        <w:rPr>
          <w:color w:val="002060"/>
        </w:rPr>
      </w:pPr>
      <w:r w:rsidRPr="00EE4717">
        <w:rPr>
          <w:color w:val="002060"/>
        </w:rPr>
        <w:t xml:space="preserve">Technostress — the negative psychological state arising from an inability to cope with information and communication technologies — was first systematically conceptualized by Tarafdar </w:t>
      </w:r>
      <w:r w:rsidRPr="00EE4717">
        <w:rPr>
          <w:i/>
          <w:iCs/>
          <w:color w:val="002060"/>
        </w:rPr>
        <w:t>et al.</w:t>
      </w:r>
      <w:r w:rsidRPr="00EE4717">
        <w:rPr>
          <w:color w:val="002060"/>
        </w:rPr>
        <w:t xml:space="preserve"> (2007), who identified five creators: techno-overload, techno-invasion, techno-complexity, techno-insecurity, and techno-uncertainty. With the emergence of generative AI in educational settings, faculty now face all five creators simultaneously and at elevated intensity. We term this compound experience AI integration pressure (AIP).</w:t>
      </w:r>
    </w:p>
    <w:p w14:paraId="3C112233" w14:textId="77777777" w:rsidR="00EE4717" w:rsidRPr="00EE4717" w:rsidRDefault="00EE4717" w:rsidP="00EE4717">
      <w:pPr>
        <w:spacing w:line="480" w:lineRule="auto"/>
        <w:rPr>
          <w:color w:val="002060"/>
        </w:rPr>
      </w:pPr>
      <w:r w:rsidRPr="00EE4717">
        <w:rPr>
          <w:color w:val="002060"/>
        </w:rPr>
        <w:t xml:space="preserve">The psychological mechanisms underlying the AIP–performance relationship suggest a nonlinear pattern. At low AIP, insufficient motivation to invest in AI tool learning may yield suboptimal performance. At moderate levels, pressure may catalyze performance by stimulating engagement </w:t>
      </w:r>
      <w:r w:rsidRPr="00EE4717">
        <w:rPr>
          <w:color w:val="002060"/>
        </w:rPr>
        <w:lastRenderedPageBreak/>
        <w:t xml:space="preserve">and skill development. At high levels, however, sustained tool learning demands, role ambiguity, and chronic anxiety may deplete cognitive and emotional resources, producing burnout — consistent with Yerkes-Dodson Law (1908). This pattern has been documented across multiple work demand contexts (Muse </w:t>
      </w:r>
      <w:r w:rsidRPr="00EE4717">
        <w:rPr>
          <w:i/>
          <w:iCs/>
          <w:color w:val="002060"/>
        </w:rPr>
        <w:t>et al.</w:t>
      </w:r>
      <w:r w:rsidRPr="00EE4717">
        <w:rPr>
          <w:color w:val="002060"/>
        </w:rPr>
        <w:t>, 2003).</w:t>
      </w:r>
    </w:p>
    <w:p w14:paraId="7859DC1C" w14:textId="77777777" w:rsidR="00EE4717" w:rsidRPr="00EE4717" w:rsidRDefault="00EE4717" w:rsidP="00EE4717">
      <w:pPr>
        <w:spacing w:line="480" w:lineRule="auto"/>
      </w:pPr>
      <w:r w:rsidRPr="00EE4717">
        <w:rPr>
          <w:color w:val="002060"/>
        </w:rPr>
        <w:t>H1: AI integration pressure has a significant inverted-U (quadratic) relationship with faculty sustainable performance, with moderate levels associated with peak performance and extreme levels associated with lower performance.</w:t>
      </w:r>
    </w:p>
    <w:p w14:paraId="0F38CCA6" w14:textId="77777777" w:rsidR="000F5A88" w:rsidRPr="002A247D" w:rsidRDefault="00000000" w:rsidP="00A12898">
      <w:pPr>
        <w:pStyle w:val="Heading2"/>
        <w:spacing w:before="120" w:after="120"/>
      </w:pPr>
      <w:r w:rsidRPr="002A247D">
        <w:rPr>
          <w:sz w:val="26"/>
          <w:szCs w:val="26"/>
        </w:rPr>
        <w:t>2.3 Pedagogical Autonomy: Resources and Diminishing Returns</w:t>
      </w:r>
    </w:p>
    <w:p w14:paraId="62BFE7C5" w14:textId="77777777" w:rsidR="00EE4717" w:rsidRPr="00EE4717" w:rsidRDefault="00EE4717" w:rsidP="00EE4717">
      <w:pPr>
        <w:spacing w:line="480" w:lineRule="auto"/>
        <w:rPr>
          <w:color w:val="002060"/>
        </w:rPr>
      </w:pPr>
      <w:r w:rsidRPr="00EE4717">
        <w:rPr>
          <w:color w:val="002060"/>
        </w:rPr>
        <w:t>Pedagogical autonomy (PA) — faculty self-determination over instructional methods, content sequencing, and assessment design — is grounded in Self-Determination Theory (SDT; Deci &amp; Ryan, 2000). SDT posits autonomy as a fundamental psychological need whose satisfaction promotes intrinsic motivation and sustained performance. PA accordingly functions as a core JD-R resource. However, both SDT and Conservation of Resources (COR) theory (Hobfoll, 1989) predict diminishing motivational returns when resource acquisition demands exceed gains. At high PA levels, decision-making burdens — particularly AI integration choices without institutional guidance — may offset motivational advantages, producing a concave PA–FSP relationship.</w:t>
      </w:r>
    </w:p>
    <w:p w14:paraId="772B5B56" w14:textId="77777777" w:rsidR="00EE4717" w:rsidRPr="00EE4717" w:rsidRDefault="00EE4717" w:rsidP="00EE4717">
      <w:pPr>
        <w:spacing w:line="480" w:lineRule="auto"/>
      </w:pPr>
      <w:r w:rsidRPr="00EE4717">
        <w:rPr>
          <w:color w:val="002060"/>
        </w:rPr>
        <w:t>H2: Pedagogical autonomy has a significant concave (quadratic) relationship with faculty sustainable performance, with its positive effect diminishing at high levels.</w:t>
      </w:r>
    </w:p>
    <w:p w14:paraId="6AB46581" w14:textId="77777777" w:rsidR="000F5A88" w:rsidRPr="002A247D" w:rsidRDefault="00000000" w:rsidP="00A12898">
      <w:pPr>
        <w:pStyle w:val="Heading2"/>
        <w:spacing w:before="120" w:after="120"/>
      </w:pPr>
      <w:r w:rsidRPr="002A247D">
        <w:rPr>
          <w:sz w:val="26"/>
          <w:szCs w:val="26"/>
        </w:rPr>
        <w:t>2.4 Faculty Sustainable Performance: Construct Definition</w:t>
      </w:r>
    </w:p>
    <w:p w14:paraId="10E60B47" w14:textId="77777777" w:rsidR="000F5A88" w:rsidRPr="002A247D" w:rsidRDefault="00000000">
      <w:pPr>
        <w:spacing w:line="480" w:lineRule="auto"/>
      </w:pPr>
      <w:r w:rsidRPr="002A247D">
        <w:t xml:space="preserve">Faculty sustainable performance (FSP) is defined as the capacity to maintain effective teaching, scholarship, and service functioning over time without depleting personal or professional </w:t>
      </w:r>
      <w:r w:rsidRPr="002A247D">
        <w:lastRenderedPageBreak/>
        <w:t>resources. Conceptually, sustainable performance extends traditional performance constructs by integrating three co-equal dimensions: task quality, innovative contribution, and psychological well-being (Longo et al., 2021). This three-dimensional structure reflects a growing recognition in organizational research that performance measured solely by output quality or quantity fails to capture whether that performance is maintainable under prolonged or intensifying demands. In the context of AI-driven higher education, where faculty face continuous tool obsolescence and evolving role expectations, sustainability becomes a particularly critical criterion: a faculty member who achieves high short-term output at the cost of well-being depletion does not represent a successful adaptation to technological change.</w:t>
      </w:r>
    </w:p>
    <w:p w14:paraId="39C080A9" w14:textId="77777777" w:rsidR="000F5A88" w:rsidRPr="002A247D" w:rsidRDefault="00000000" w:rsidP="00A12898">
      <w:pPr>
        <w:pStyle w:val="Heading2"/>
        <w:spacing w:before="120" w:after="120"/>
      </w:pPr>
      <w:r w:rsidRPr="002A247D">
        <w:rPr>
          <w:sz w:val="26"/>
          <w:szCs w:val="26"/>
        </w:rPr>
        <w:t>2.5 Digital Resilience as a Continuous Moderator</w:t>
      </w:r>
    </w:p>
    <w:p w14:paraId="18ED8C7B" w14:textId="77777777" w:rsidR="000F5A88" w:rsidRPr="002A247D" w:rsidRDefault="00000000">
      <w:pPr>
        <w:pStyle w:val="Heading3"/>
      </w:pPr>
      <w:r w:rsidRPr="002A247D">
        <w:t>2.5.1 Construct Definition</w:t>
      </w:r>
    </w:p>
    <w:p w14:paraId="7D21C77C" w14:textId="77777777" w:rsidR="000F5A88" w:rsidRPr="002A247D" w:rsidRDefault="00000000">
      <w:pPr>
        <w:spacing w:line="480" w:lineRule="auto"/>
      </w:pPr>
      <w:r w:rsidRPr="002A247D">
        <w:t>Digital resilience (DR) is defined as the capacity to recover, adapt, and maintain effective functioning in the face of digital setbacks, technological failures, and rapidly changing digital environments (Sun et al., 2022). DR is conceptually distinct from technology self-efficacy — the belief in one’s capability to use specific technologies — in that resilience emphasizes recovery and reorientation after adversity rather than pre-adversity confidence. This distinction is theoretically critical: self-efficacy predicts performance in stable technological environments, whereas DR predicts performance recovery in volatile ones. Given that AI tools are characterized by volatility, rapid obsolescence, and unpredictable failure modes, DR is the more theoretically appropriate boundary condition in this context.</w:t>
      </w:r>
    </w:p>
    <w:p w14:paraId="4B212B66" w14:textId="77777777" w:rsidR="000F5A88" w:rsidRPr="002A247D" w:rsidRDefault="00000000">
      <w:pPr>
        <w:pStyle w:val="Heading3"/>
      </w:pPr>
      <w:r w:rsidRPr="002A247D">
        <w:t>2.5.2 Why Continuous Moderation?</w:t>
      </w:r>
    </w:p>
    <w:p w14:paraId="2EC4B0CE" w14:textId="77777777" w:rsidR="000F5A88" w:rsidRPr="002A247D" w:rsidRDefault="00000000">
      <w:pPr>
        <w:spacing w:line="480" w:lineRule="auto"/>
      </w:pPr>
      <w:r w:rsidRPr="002A247D">
        <w:lastRenderedPageBreak/>
        <w:t>The conventional approach to moderation in JD-R research involves dividing samples into categorical subgroups — typically via median splits or theoretical thresholds — then estimating separate models per group (multigroup SEM). This approach has well-documented limitations: it discards within-group between-person variation, produces results contingent on the arbitrary cutpoint, and requires substantially larger per-subgroup samples to maintain statistical power (Bauer &amp; Curran, 2005). By treating DR as a continuous latent moderator within MNLFA, this study preserves all between-person variation and estimates how the quadratic AIP–FSP and PA–FSP curves shift continuously as a function of DR.</w:t>
      </w:r>
    </w:p>
    <w:p w14:paraId="360FE283" w14:textId="77777777" w:rsidR="000F5A88" w:rsidRPr="002A247D" w:rsidRDefault="00000000">
      <w:pPr>
        <w:pStyle w:val="Heading3"/>
      </w:pPr>
      <w:r w:rsidRPr="002A247D">
        <w:t>2.5.3 Moderation of AIP Nonlinearity</w:t>
      </w:r>
    </w:p>
    <w:p w14:paraId="10876545" w14:textId="77777777" w:rsidR="000F5A88" w:rsidRPr="002A247D" w:rsidRDefault="00000000">
      <w:pPr>
        <w:spacing w:line="480" w:lineRule="auto"/>
      </w:pPr>
      <w:r w:rsidRPr="002A247D">
        <w:t>From a Conservation of Resources perspective (Hobfoll, 1989), DR functions not merely as a buffer that delays performance deterioration, but as a resource that fundamentally restructures how faculty respond to increasing AIP. Faculty with low DR lack the adaptive capacity to convert moderate pressure into productive engagement; their demand–performance curve therefore approximates a U-shape, with performance remaining depressed across most of the AIP range. Faculty with high DR, by contrast, possess sufficient cognitive and emotional flexibility to harness moderate AIP as a performance catalyst — yielding the classic inverted-U form predicted by Yerkes-Dodson Law. In this view, DR does not simply shift the inflection point of a stable curve; it changes the functional form of the curve itself.</w:t>
      </w:r>
    </w:p>
    <w:p w14:paraId="27A24344" w14:textId="77777777" w:rsidR="000F5A88" w:rsidRPr="002A247D" w:rsidRDefault="00000000">
      <w:pPr>
        <w:spacing w:line="480" w:lineRule="auto"/>
      </w:pPr>
      <w:r w:rsidRPr="002A247D">
        <w:rPr>
          <w:b/>
          <w:bCs/>
        </w:rPr>
        <w:t>H3</w:t>
      </w:r>
      <w:r w:rsidRPr="002A247D">
        <w:t>: Digital resilience moderates the nonlinear AIP–FSP relationship, such that the inflection point shifts leftward and the curve changes from U-shaped to inverted-U at higher DR levels.</w:t>
      </w:r>
    </w:p>
    <w:p w14:paraId="431C5737" w14:textId="77777777" w:rsidR="000F5A88" w:rsidRPr="002A247D" w:rsidRDefault="00000000">
      <w:pPr>
        <w:pStyle w:val="Heading3"/>
      </w:pPr>
      <w:r w:rsidRPr="002A247D">
        <w:t>2.5.4 Moderation of PA Nonlinearity</w:t>
      </w:r>
    </w:p>
    <w:p w14:paraId="17A72BE4" w14:textId="77777777" w:rsidR="000F5A88" w:rsidRPr="002A247D" w:rsidRDefault="00000000">
      <w:pPr>
        <w:spacing w:line="480" w:lineRule="auto"/>
      </w:pPr>
      <w:r w:rsidRPr="002A247D">
        <w:t xml:space="preserve">A parallel logic applies to PA’s diminishing returns effect. High-DR faculty are better equipped to navigate the decision complexity and accountability burdens that accompany very high levels </w:t>
      </w:r>
      <w:r w:rsidRPr="002A247D">
        <w:lastRenderedPageBreak/>
        <w:t>of autonomy. By reframing ambiguous instructional choices as opportunities for adaptive experimentation rather than sources of uncertainty, high-DR faculty can sustain the performance benefits of autonomy at levels where low-DR colleagues begin to experience cognitive overload. This suggests that DR shifts the inflection point of the concave PA–FSP curve rightward.</w:t>
      </w:r>
    </w:p>
    <w:p w14:paraId="0146D432" w14:textId="77777777" w:rsidR="000F5A88" w:rsidRPr="002A247D" w:rsidRDefault="00000000">
      <w:pPr>
        <w:spacing w:line="480" w:lineRule="auto"/>
      </w:pPr>
      <w:r w:rsidRPr="002A247D">
        <w:rPr>
          <w:b/>
          <w:bCs/>
        </w:rPr>
        <w:t>H4</w:t>
      </w:r>
      <w:r w:rsidRPr="002A247D">
        <w:t>: Digital resilience moderates the nonlinear PA–FSP relationship, such that the inflection point shifts rightward at higher DR levels.</w:t>
      </w:r>
    </w:p>
    <w:p w14:paraId="65AB76B9" w14:textId="77777777" w:rsidR="000F5A88" w:rsidRPr="002A247D" w:rsidRDefault="00000000">
      <w:pPr>
        <w:pStyle w:val="Heading3"/>
      </w:pPr>
      <w:r w:rsidRPr="002A247D">
        <w:t>2.5.5 Direct Effect of Digital Resilience</w:t>
      </w:r>
    </w:p>
    <w:p w14:paraId="74BF3788" w14:textId="77777777" w:rsidR="000F5A88" w:rsidRPr="002A247D" w:rsidRDefault="00000000">
      <w:pPr>
        <w:spacing w:line="480" w:lineRule="auto"/>
      </w:pPr>
      <w:r w:rsidRPr="002A247D">
        <w:t>Beyond its moderating role, DR is expected to exert a positive direct effect on FSP. Faculty who recover quickly from technological setbacks and reframe adversity as opportunity maintain higher baseline performance independently of their specific AIP or PA levels. This direct effect is theoretically grounded in COR theory’s principle that resource-rich individuals are better positioned to invest resources productively and protect against further loss (Hobfoll, 1989).</w:t>
      </w:r>
    </w:p>
    <w:p w14:paraId="4A701285" w14:textId="77777777" w:rsidR="000F5A88" w:rsidRPr="002A247D" w:rsidRDefault="00000000">
      <w:pPr>
        <w:spacing w:line="480" w:lineRule="auto"/>
      </w:pPr>
      <w:r w:rsidRPr="002A247D">
        <w:rPr>
          <w:b/>
          <w:bCs/>
        </w:rPr>
        <w:t>H5</w:t>
      </w:r>
      <w:r w:rsidRPr="002A247D">
        <w:t>: Digital resilience has a significant positive direct effect on faculty sustainable performance, controlling for AIP and PA.</w:t>
      </w:r>
    </w:p>
    <w:p w14:paraId="729A2730" w14:textId="77777777" w:rsidR="000F5A88" w:rsidRPr="002A247D" w:rsidRDefault="00000000" w:rsidP="00A12898">
      <w:pPr>
        <w:pStyle w:val="Heading2"/>
        <w:spacing w:before="120" w:after="120"/>
      </w:pPr>
      <w:r w:rsidRPr="002A247D">
        <w:rPr>
          <w:sz w:val="26"/>
          <w:szCs w:val="26"/>
        </w:rPr>
        <w:t>2.6 Theoretical Model Summary</w:t>
      </w:r>
    </w:p>
    <w:p w14:paraId="54B72430" w14:textId="77777777" w:rsidR="000F5A88" w:rsidRPr="002A247D" w:rsidRDefault="00000000">
      <w:pPr>
        <w:spacing w:line="480" w:lineRule="auto"/>
      </w:pPr>
      <w:r w:rsidRPr="002A247D">
        <w:t>The complete theoretical model integrates the above arguments into an extended JD-R framework. The structural equation under test is:</w:t>
      </w:r>
    </w:p>
    <w:p w14:paraId="012CCF49" w14:textId="77777777" w:rsidR="000F5A88" w:rsidRPr="002A247D" w:rsidRDefault="00000000">
      <w:pPr>
        <w:spacing w:line="480" w:lineRule="auto"/>
        <w:jc w:val="center"/>
      </w:pPr>
      <w:r w:rsidRPr="002A247D">
        <w:t>FSP = β₁(AIP) + β₂(AIP²) + β₃(PA) + β₄(PA²) + β₅(DR) + β₆(AIP × DR) + β₇(AIP² × DR) + β₈(PA × DR) + β₉(PA² × DR) + ε</w:t>
      </w:r>
    </w:p>
    <w:p w14:paraId="69108E62" w14:textId="77777777" w:rsidR="000F5A88" w:rsidRPr="002A247D" w:rsidRDefault="00000000">
      <w:pPr>
        <w:spacing w:line="480" w:lineRule="auto"/>
      </w:pPr>
      <w:r w:rsidRPr="002A247D">
        <w:t xml:space="preserve">Note that β₆ and β₈ represent linear interaction terms included for proper model specification; no directional hypotheses were formulated for them. The expected signs are: β₁ &gt; 0 and β₂ &lt; 0 (H1: inverted-U for AIP); β₃ &gt; 0 and β₄ &lt; 0 (H2: concave for PA); β₅ &gt; 0 (H5: direct effect of DR); β₇ </w:t>
      </w:r>
      <w:r w:rsidRPr="002A247D">
        <w:lastRenderedPageBreak/>
        <w:t>&lt; 0 (H3: DR shifts the AIP inflection point leftward and changes the curve shape); and β₉ &lt; 0 (H4: DR shifts the PA inflection point rightward).</w:t>
      </w:r>
    </w:p>
    <w:p w14:paraId="35ACD834" w14:textId="649E1F7D" w:rsidR="000F5A88" w:rsidRPr="002A247D" w:rsidRDefault="00CE441D" w:rsidP="00D53BCE">
      <w:pPr>
        <w:pStyle w:val="Heading1"/>
        <w:spacing w:before="240" w:after="120"/>
      </w:pPr>
      <w:r w:rsidRPr="002A247D">
        <w:rPr>
          <w:caps w:val="0"/>
          <w:sz w:val="28"/>
          <w:szCs w:val="28"/>
        </w:rPr>
        <w:t>3. Methodology</w:t>
      </w:r>
    </w:p>
    <w:p w14:paraId="6A957EF3" w14:textId="77777777" w:rsidR="000F5A88" w:rsidRPr="002A247D" w:rsidRDefault="00000000" w:rsidP="00A12898">
      <w:pPr>
        <w:pStyle w:val="Heading2"/>
        <w:spacing w:before="120" w:after="120"/>
      </w:pPr>
      <w:r w:rsidRPr="002A247D">
        <w:rPr>
          <w:sz w:val="26"/>
          <w:szCs w:val="26"/>
        </w:rPr>
        <w:t>3.1 Research Design and Context</w:t>
      </w:r>
    </w:p>
    <w:p w14:paraId="5C272A8D" w14:textId="77777777" w:rsidR="000F5A88" w:rsidRPr="002A247D" w:rsidRDefault="00000000">
      <w:pPr>
        <w:spacing w:line="480" w:lineRule="auto"/>
      </w:pPr>
      <w:r w:rsidRPr="002A247D">
        <w:t>This study employed a cross-sectional, quantitative survey design grounded in a positivist epistemological stance. Although a longitudinal design would have been ideal for capturing temporal dynamics of AI integration pressure, the cross-sectional approach was appropriate for the primary objectives: testing structural relationships among latent constructs and establishing whether nonlinear demand–resource–performance dynamics are detectable in this context. Data were collected from full-time faculty in Vietnam during March–June 2025, a period of sharp AI adoption acceleration following national digitalization directives issued by the Ministry of Education and Training (2023).</w:t>
      </w:r>
    </w:p>
    <w:p w14:paraId="1E4E4AC3" w14:textId="77777777" w:rsidR="000F5A88" w:rsidRPr="002A247D" w:rsidRDefault="00000000">
      <w:pPr>
        <w:spacing w:line="480" w:lineRule="auto"/>
      </w:pPr>
      <w:r w:rsidRPr="002A247D">
        <w:t>Vietnam represents an empirically underrepresented yet substantively important setting for this research. Higher education enrolment has grown by more than 30% since 2015, and institutional digitalization has accelerated sharply since 2023. Faculty now face mounting expectations to incorporate AI tools into course design, delivery, and assessment under conditions of rapid tool obsolescence, limited pedagogical training, and ambiguous institutional guidelines. This combination of high external pressure and genuine technological uncertainty makes Vietnamese higher education a productive empirical setting for examining AI-driven technostress dynamics.</w:t>
      </w:r>
    </w:p>
    <w:p w14:paraId="001F8EFB" w14:textId="77777777" w:rsidR="000F5A88" w:rsidRPr="002A247D" w:rsidRDefault="00000000" w:rsidP="00A12898">
      <w:pPr>
        <w:pStyle w:val="Heading2"/>
        <w:spacing w:before="120" w:after="120"/>
      </w:pPr>
      <w:r w:rsidRPr="002A247D">
        <w:rPr>
          <w:sz w:val="26"/>
          <w:szCs w:val="26"/>
        </w:rPr>
        <w:t>3.2 Sample and Data Collection</w:t>
      </w:r>
    </w:p>
    <w:p w14:paraId="7792C1E2" w14:textId="77777777" w:rsidR="00DE2900" w:rsidRPr="00DE2900" w:rsidRDefault="00DE2900" w:rsidP="00DE2900">
      <w:pPr>
        <w:spacing w:line="480" w:lineRule="auto"/>
      </w:pPr>
      <w:r w:rsidRPr="00DE2900">
        <w:t xml:space="preserve">The target population comprised full-time faculty at accredited public and private universities in Vietnam. Participants were recruited from five universities selected to ensure geographic </w:t>
      </w:r>
      <w:r w:rsidRPr="00DE2900">
        <w:lastRenderedPageBreak/>
        <w:t>diversity (Hanoi, Ho Chi Minh City, and central Vietnam) and institutional diversity (research-intensive, teaching-focused, and applied/professional programs). A convenience sampling approach was employed, combining institutional email distribution through faculty administrative offices with snowball sampling via Zalo and Facebook professional networks. All participants provided informed consent prior to completing the survey, and the study was conducted in accordance with the ethical guidelines of the authors' institution.</w:t>
      </w:r>
    </w:p>
    <w:p w14:paraId="54250019" w14:textId="77777777" w:rsidR="00DE2900" w:rsidRPr="00DE2900" w:rsidRDefault="00DE2900" w:rsidP="00DE2900">
      <w:pPr>
        <w:spacing w:line="480" w:lineRule="auto"/>
      </w:pPr>
      <w:r w:rsidRPr="00DE2900">
        <w:t xml:space="preserve">Responses were excluded if the respondent: (1) had fewer than one full semester of teaching experience at the current institution, (2) left more than 20% of survey items blank, or (3) exhibited straight-lining across all items within any single construct block. Of 637 responses initially received, 96 were removed under these criteria, yielding a retained sample of 541 (retention rate = 84.9%). A further 19 cases were excluded due to identical response patterns across all 20 items — that is, selecting the same response option for every item regardless of construct — as these responses are unlikely to reflect genuine attitudes. The final analytic sample comprised </w:t>
      </w:r>
      <w:r w:rsidRPr="00DE2900">
        <w:rPr>
          <w:i/>
          <w:iCs/>
        </w:rPr>
        <w:t>N</w:t>
      </w:r>
      <w:r w:rsidRPr="00DE2900">
        <w:t xml:space="preserve"> = 522 complete cases with no missing data. This sample size satisfies established power benchmarks for latent variable modeling with quadratic interaction terms (Wolf et al., 2013), as confirmed by the post-hoc power analysis reported in Section 3.5.</w:t>
      </w:r>
    </w:p>
    <w:p w14:paraId="2ADFFC4A" w14:textId="77777777" w:rsidR="000F5A88" w:rsidRPr="002A247D" w:rsidRDefault="00000000" w:rsidP="00A12898">
      <w:pPr>
        <w:pStyle w:val="Heading2"/>
        <w:spacing w:before="120" w:after="120"/>
      </w:pPr>
      <w:r w:rsidRPr="002A247D">
        <w:rPr>
          <w:sz w:val="26"/>
          <w:szCs w:val="26"/>
        </w:rPr>
        <w:t>3.3 Measures</w:t>
      </w:r>
    </w:p>
    <w:p w14:paraId="0A6C6201" w14:textId="77777777" w:rsidR="000F5A88" w:rsidRPr="002A247D" w:rsidRDefault="00000000">
      <w:pPr>
        <w:spacing w:line="480" w:lineRule="auto"/>
      </w:pPr>
      <w:r w:rsidRPr="002A247D">
        <w:t xml:space="preserve">All constructs were measured using five-point Likert scales (1 = </w:t>
      </w:r>
      <w:r w:rsidRPr="002A247D">
        <w:rPr>
          <w:i/>
          <w:iCs/>
        </w:rPr>
        <w:t>Strongly Disagree</w:t>
      </w:r>
      <w:r w:rsidRPr="002A247D">
        <w:t xml:space="preserve">, 5 = </w:t>
      </w:r>
      <w:r w:rsidRPr="002A247D">
        <w:rPr>
          <w:i/>
          <w:iCs/>
        </w:rPr>
        <w:t>Strongly Agree</w:t>
      </w:r>
      <w:r w:rsidRPr="002A247D">
        <w:t>). Items were translated from English into Vietnamese using a systematic back-translation procedure (Brislin, 1980) and pilot-tested with 30 faculty members prior to full deployment.</w:t>
      </w:r>
    </w:p>
    <w:p w14:paraId="29CE41C7" w14:textId="77777777" w:rsidR="000F5A88" w:rsidRPr="002A247D" w:rsidRDefault="00000000">
      <w:pPr>
        <w:spacing w:line="480" w:lineRule="auto"/>
      </w:pPr>
      <w:r w:rsidRPr="002A247D">
        <w:t xml:space="preserve">AI integration pressure (AIP) was assessed with five items adapted from the Technostress Creators Scale (Tarafdar et al., 2007), supplemented with AI-specific items developed for the Vietnamese higher education context. Pedagogical autonomy (PA) was measured with five items </w:t>
      </w:r>
      <w:r w:rsidRPr="002A247D">
        <w:lastRenderedPageBreak/>
        <w:t>adapted from the Work Autonomy Scale (Hackman &amp; Oldham, 1975). Digital resilience (DR) was assessed using five items adapted from the Teachers’ Resilience Scale for Sustainability Enabled by ICT (Makrakis, 2024) and Sun et al. (2022). Faculty sustainable performance (FSP) was measured with five items adapted from the Employee Sustainable Performance Scale (Ji et al., 2021), tailored to the higher education context. Psychometric properties of all scales — including standardized factor loadings, composite reliability, and average variance extracted — are reported in Section 4.3.</w:t>
      </w:r>
    </w:p>
    <w:p w14:paraId="64568E0F" w14:textId="77777777" w:rsidR="000F5A88" w:rsidRPr="002A247D" w:rsidRDefault="00000000" w:rsidP="00A12898">
      <w:pPr>
        <w:pStyle w:val="Heading2"/>
        <w:spacing w:before="120" w:after="120"/>
      </w:pPr>
      <w:r w:rsidRPr="002A247D">
        <w:rPr>
          <w:sz w:val="26"/>
          <w:szCs w:val="26"/>
        </w:rPr>
        <w:t>3.4 Analytical Procedure</w:t>
      </w:r>
    </w:p>
    <w:p w14:paraId="52820899" w14:textId="2A46BBB3" w:rsidR="000F5A88" w:rsidRPr="002A247D" w:rsidRDefault="00000000">
      <w:pPr>
        <w:spacing w:line="480" w:lineRule="auto"/>
      </w:pPr>
      <w:r w:rsidRPr="002A247D">
        <w:t xml:space="preserve">A two-stage factor score regression approach within the Moderated Nonlinear Factor Analysis (MNLFA) framework (Bauer, 2017; Devlieger et al., 2016) was employed. In Stage 1, a confirmatory factor analysis (CFA) with maximum likelihood robust (MLR) estimation was conducted to evaluate the measurement model and extract Bartlett factor scores. Acceptable model fit was defined according to conventional criteria: CFI and TLI ≥ </w:t>
      </w:r>
      <w:r w:rsidR="0018226F" w:rsidRPr="002A247D">
        <w:t>0</w:t>
      </w:r>
      <w:r w:rsidRPr="002A247D">
        <w:t xml:space="preserve">.95, RMSEA ≤ </w:t>
      </w:r>
      <w:r w:rsidR="0018226F" w:rsidRPr="002A247D">
        <w:t>0</w:t>
      </w:r>
      <w:r w:rsidRPr="002A247D">
        <w:t xml:space="preserve">.06, and SRMR ≤ </w:t>
      </w:r>
      <w:r w:rsidR="0018226F" w:rsidRPr="002A247D">
        <w:t>0</w:t>
      </w:r>
      <w:r w:rsidRPr="002A247D">
        <w:t xml:space="preserve">.08 (Hu &amp; Bentler, 1999). Continuous differential item functioning (DIF) testing was performed to examine measurement invariance across the continuous moderator DR, with a Bonferroni-corrected significance threshold of </w:t>
      </w:r>
      <w:r w:rsidRPr="002A247D">
        <w:rPr>
          <w:i/>
          <w:iCs/>
        </w:rPr>
        <w:t>p</w:t>
      </w:r>
      <w:r w:rsidRPr="002A247D">
        <w:t xml:space="preserve"> &lt; </w:t>
      </w:r>
      <w:r w:rsidR="0018226F" w:rsidRPr="002A247D">
        <w:t>0</w:t>
      </w:r>
      <w:r w:rsidRPr="002A247D">
        <w:t>.0025 (0.05/20).</w:t>
      </w:r>
    </w:p>
    <w:p w14:paraId="0A77E7F0" w14:textId="77777777" w:rsidR="000F5A88" w:rsidRPr="002A247D" w:rsidRDefault="00000000">
      <w:pPr>
        <w:spacing w:line="480" w:lineRule="auto"/>
      </w:pPr>
      <w:r w:rsidRPr="002A247D">
        <w:t xml:space="preserve">In Stage 2, the extracted and mean-centered factor scores were entered into three nested ordinary least squares regression models with heteroskedasticity-consistent (HC3) standard errors (Long &amp; Ervin, 2000): (a) a linear baseline model (Model A), (b) a quadratic main-effects model (Model B), and (c) a full moderated nonlinear model including both linear and quadratic interaction terms (Model C). Model comparisons were evaluated using incremental </w:t>
      </w:r>
      <w:r w:rsidRPr="002A247D">
        <w:rPr>
          <w:i/>
          <w:iCs/>
        </w:rPr>
        <w:t>R</w:t>
      </w:r>
      <w:r w:rsidRPr="002A247D">
        <w:t xml:space="preserve">² and associated </w:t>
      </w:r>
      <w:r w:rsidRPr="002A247D">
        <w:rPr>
          <w:i/>
          <w:iCs/>
        </w:rPr>
        <w:t>F</w:t>
      </w:r>
      <w:r w:rsidRPr="002A247D">
        <w:t xml:space="preserve">-tests. All CFA and DIF analyses were conducted in R (version 4.4.1) using the </w:t>
      </w:r>
      <w:r w:rsidRPr="002A247D">
        <w:lastRenderedPageBreak/>
        <w:t>lavaan package (Rosseel, 2012). Bootstrap bias-corrected accelerated (BCa) confidence intervals based on 2,000 replications were computed to evaluate the stability of all parameter estimates.</w:t>
      </w:r>
    </w:p>
    <w:p w14:paraId="4E6B8DA6" w14:textId="77777777" w:rsidR="000F5A88" w:rsidRPr="002A247D" w:rsidRDefault="00000000" w:rsidP="00A12898">
      <w:pPr>
        <w:pStyle w:val="Heading2"/>
        <w:spacing w:before="120" w:after="120"/>
      </w:pPr>
      <w:r w:rsidRPr="002A247D">
        <w:rPr>
          <w:sz w:val="26"/>
          <w:szCs w:val="26"/>
        </w:rPr>
        <w:t>3.5 Power Analysis and Planned Robustness Checks</w:t>
      </w:r>
    </w:p>
    <w:p w14:paraId="405A882E" w14:textId="77777777" w:rsidR="000F5A88" w:rsidRPr="002A247D" w:rsidRDefault="00000000">
      <w:pPr>
        <w:spacing w:line="480" w:lineRule="auto"/>
      </w:pPr>
      <w:r w:rsidRPr="002A247D">
        <w:t xml:space="preserve">Post-hoc power analysis (Cohen, 1988) was conducted using observed </w:t>
      </w:r>
      <w:r w:rsidRPr="002A247D">
        <w:rPr>
          <w:i/>
          <w:iCs/>
        </w:rPr>
        <w:t>f</w:t>
      </w:r>
      <w:r w:rsidRPr="002A247D">
        <w:t>² values from the full model to verify that the analytic sample provided adequate power for the hypothesized effects. Results are reported alongside the structural findings in Section 4.5.</w:t>
      </w:r>
    </w:p>
    <w:p w14:paraId="33C28F1F" w14:textId="77777777" w:rsidR="000F5A88" w:rsidRPr="002A247D" w:rsidRDefault="00000000">
      <w:pPr>
        <w:spacing w:line="480" w:lineRule="auto"/>
      </w:pPr>
      <w:r w:rsidRPr="002A247D">
        <w:t>To evaluate the stability of the findings, four robustness checks were planned a priori: (a) multivariate outlier detection using Mahalanobis distance, (b) 70/30 split-sample cross-validation, (c) re-estimation of the measurement model using the weighted least squares mean- and variance-adjusted (WLSMV) estimator treating items as ordinal, and (d) MM-estimator robust regression applied to Model C. Detailed results of all four checks are presented in Section 4.5.</w:t>
      </w:r>
    </w:p>
    <w:p w14:paraId="007BAE0E" w14:textId="2773ECEC" w:rsidR="000F5A88" w:rsidRPr="002A247D" w:rsidRDefault="00CE441D" w:rsidP="00D53BCE">
      <w:pPr>
        <w:pStyle w:val="Heading1"/>
        <w:spacing w:before="240" w:after="120"/>
      </w:pPr>
      <w:r w:rsidRPr="002A247D">
        <w:rPr>
          <w:caps w:val="0"/>
          <w:sz w:val="28"/>
          <w:szCs w:val="28"/>
        </w:rPr>
        <w:t>4. Results</w:t>
      </w:r>
    </w:p>
    <w:p w14:paraId="22CF71D6" w14:textId="77777777" w:rsidR="000F5A88" w:rsidRPr="002A247D" w:rsidRDefault="00000000" w:rsidP="005E447A">
      <w:pPr>
        <w:pStyle w:val="Heading2"/>
        <w:spacing w:before="120" w:after="120"/>
      </w:pPr>
      <w:r w:rsidRPr="002A247D">
        <w:rPr>
          <w:sz w:val="26"/>
          <w:szCs w:val="26"/>
        </w:rPr>
        <w:t>4.1 Preliminary Analysis</w:t>
      </w:r>
    </w:p>
    <w:p w14:paraId="302CF5CF" w14:textId="77777777" w:rsidR="002F4608" w:rsidRPr="002F4608" w:rsidRDefault="002F4608" w:rsidP="002F4608">
      <w:pPr>
        <w:spacing w:line="480" w:lineRule="auto"/>
      </w:pPr>
      <w:r w:rsidRPr="002F4608">
        <w:t xml:space="preserve">Prior to the main analyses, comprehensive data screening procedures were performed. Of 637 responses initially collected from full-time faculty members across five Vietnamese universities, 96 were removed under the pre-established exclusion criteria (fewer than one semester of teaching experience, more than 20% missing items, or straight-lining response patterns across all items within any single construct block), yielding a retained sample of 541 (retention rate = 84.9%). A further 19 cases were subsequently identified as exhibiting identical response patterns across all 20 survey items — that is, selecting the same response option for every item — and were excluded as likely non-attentive respondents, resulting in a final analytic sample of </w:t>
      </w:r>
      <w:r w:rsidRPr="002F4608">
        <w:rPr>
          <w:i/>
          <w:iCs/>
        </w:rPr>
        <w:t>N</w:t>
      </w:r>
      <w:r w:rsidRPr="002F4608">
        <w:t xml:space="preserve"> = 522 </w:t>
      </w:r>
      <w:r w:rsidRPr="002F4608">
        <w:lastRenderedPageBreak/>
        <w:t>complete cases. No missing data were present in the retained sample (0 of 10,440 item-level cells), rendering listwise deletion unnecessary. This sample size satisfies established power benchmarks for latent variable modeling with quadratic interaction terms (Wolf et al., 2013), as confirmed by the post-hoc power analysis reported in Section 4.5.</w:t>
      </w:r>
    </w:p>
    <w:p w14:paraId="47DEE4E9" w14:textId="77777777" w:rsidR="002F4608" w:rsidRPr="002F4608" w:rsidRDefault="002F4608" w:rsidP="002F4608">
      <w:pPr>
        <w:spacing w:line="480" w:lineRule="auto"/>
      </w:pPr>
      <w:r w:rsidRPr="002F4608">
        <w:t xml:space="preserve">No multivariate outliers were detected using Mahalanobis distance at </w:t>
      </w:r>
      <w:r w:rsidRPr="002F4608">
        <w:rPr>
          <w:i/>
          <w:iCs/>
        </w:rPr>
        <w:t>p</w:t>
      </w:r>
      <w:r w:rsidRPr="002F4608">
        <w:t xml:space="preserve"> &lt; 0.001. Descriptive statistics for all constructs at the item level and factor score level are reported in the supplemental materials. At the construct level, grand means and standard deviations on the raw Likert scale were as follows: AI integration pressure (AIP): </w:t>
      </w:r>
      <w:r w:rsidRPr="002F4608">
        <w:rPr>
          <w:i/>
          <w:iCs/>
        </w:rPr>
        <w:t>M</w:t>
      </w:r>
      <w:r w:rsidRPr="002F4608">
        <w:t xml:space="preserve"> = 3.02, </w:t>
      </w:r>
      <w:r w:rsidRPr="002F4608">
        <w:rPr>
          <w:i/>
          <w:iCs/>
        </w:rPr>
        <w:t>SD</w:t>
      </w:r>
      <w:r w:rsidRPr="002F4608">
        <w:t xml:space="preserve"> = 1.00; pedagogical autonomy (PA): </w:t>
      </w:r>
      <w:r w:rsidRPr="002F4608">
        <w:rPr>
          <w:i/>
          <w:iCs/>
        </w:rPr>
        <w:t>M</w:t>
      </w:r>
      <w:r w:rsidRPr="002F4608">
        <w:t xml:space="preserve"> = 3.16, </w:t>
      </w:r>
      <w:r w:rsidRPr="002F4608">
        <w:rPr>
          <w:i/>
          <w:iCs/>
        </w:rPr>
        <w:t>SD</w:t>
      </w:r>
      <w:r w:rsidRPr="002F4608">
        <w:t xml:space="preserve"> = 1.00; digital resilience (DR): </w:t>
      </w:r>
      <w:r w:rsidRPr="002F4608">
        <w:rPr>
          <w:i/>
          <w:iCs/>
        </w:rPr>
        <w:t>M</w:t>
      </w:r>
      <w:r w:rsidRPr="002F4608">
        <w:t xml:space="preserve"> = 3.14, </w:t>
      </w:r>
      <w:r w:rsidRPr="002F4608">
        <w:rPr>
          <w:i/>
          <w:iCs/>
        </w:rPr>
        <w:t>SD</w:t>
      </w:r>
      <w:r w:rsidRPr="002F4608">
        <w:t xml:space="preserve"> = 0.97; and faculty sustainable performance (FSP): </w:t>
      </w:r>
      <w:r w:rsidRPr="002F4608">
        <w:rPr>
          <w:i/>
          <w:iCs/>
        </w:rPr>
        <w:t>M</w:t>
      </w:r>
      <w:r w:rsidRPr="002F4608">
        <w:t xml:space="preserve"> = 3.05, </w:t>
      </w:r>
      <w:r w:rsidRPr="002F4608">
        <w:rPr>
          <w:i/>
          <w:iCs/>
        </w:rPr>
        <w:t>SD</w:t>
      </w:r>
      <w:r w:rsidRPr="002F4608">
        <w:t xml:space="preserve"> = 1.10.</w:t>
      </w:r>
    </w:p>
    <w:p w14:paraId="4D0088E6" w14:textId="77777777" w:rsidR="002F4608" w:rsidRPr="002F4608" w:rsidRDefault="002F4608" w:rsidP="002F4608">
      <w:pPr>
        <w:spacing w:line="480" w:lineRule="auto"/>
      </w:pPr>
      <w:r w:rsidRPr="002F4608">
        <w:t>Inter-construct correlations were in the expected directions: AIP was negatively correlated with PA (</w:t>
      </w:r>
      <w:r w:rsidRPr="002F4608">
        <w:rPr>
          <w:i/>
          <w:iCs/>
        </w:rPr>
        <w:t>r</w:t>
      </w:r>
      <w:r w:rsidRPr="002F4608">
        <w:t xml:space="preserve"> = −0.346), DR (</w:t>
      </w:r>
      <w:r w:rsidRPr="002F4608">
        <w:rPr>
          <w:i/>
          <w:iCs/>
        </w:rPr>
        <w:t>r</w:t>
      </w:r>
      <w:r w:rsidRPr="002F4608">
        <w:t xml:space="preserve"> = −0.331), and FSP (</w:t>
      </w:r>
      <w:r w:rsidRPr="002F4608">
        <w:rPr>
          <w:i/>
          <w:iCs/>
        </w:rPr>
        <w:t>r</w:t>
      </w:r>
      <w:r w:rsidRPr="002F4608">
        <w:t xml:space="preserve"> = −0.655), while PA, DR, and FSP showed positive intercorrelations (</w:t>
      </w:r>
      <w:r w:rsidRPr="002F4608">
        <w:rPr>
          <w:i/>
          <w:iCs/>
        </w:rPr>
        <w:t>r</w:t>
      </w:r>
      <w:r w:rsidRPr="002F4608">
        <w:t xml:space="preserve"> = 0.296 to 0.641). These patterns provide preliminary support for the hypothesized directional relationships.</w:t>
      </w:r>
    </w:p>
    <w:p w14:paraId="56A7E361" w14:textId="1BDA5969" w:rsidR="002F4608" w:rsidRPr="002A247D" w:rsidRDefault="002F4608" w:rsidP="002F4608">
      <w:pPr>
        <w:spacing w:line="480" w:lineRule="auto"/>
      </w:pPr>
      <w:r w:rsidRPr="002F4608">
        <w:t xml:space="preserve">To assess the potential for common method bias (CMB), two complementary procedures were applied. First, Harman's single-factor test indicated that the first unrotated principal component accounted for 40.7% of the total variance, which falls below the conventional 50% threshold (Podsakoff et al., 2003). Second, a CFA-based common method factor test was conducted by adding a single unmeasured latent factor to the baseline CFA model (Podsakoff et al., 2003). Fit improvement was observed (ΔCFI = −0.035, ΔRMSEA = −0.018), exceeding the conventional threshold of ΔCFI &lt; 0.010. This result warrants caution and is discussed as a limitation in Section 5.4. Nevertheless, the Harman test result and the theoretical separation of predictor and outcome constructs suggest that common method bias is unlikely to fully account for the </w:t>
      </w:r>
      <w:r w:rsidRPr="002F4608">
        <w:lastRenderedPageBreak/>
        <w:t>observed structural relationships. Demographic and professional characteristics of the analytic sample are summarized in Table 1.</w:t>
      </w:r>
    </w:p>
    <w:p w14:paraId="637D0128" w14:textId="77777777" w:rsidR="002F4608" w:rsidRPr="002F4608" w:rsidRDefault="002F4608" w:rsidP="002F4608">
      <w:pPr>
        <w:spacing w:before="240" w:line="480" w:lineRule="auto"/>
      </w:pPr>
      <w:r w:rsidRPr="002F4608">
        <w:rPr>
          <w:b/>
          <w:bCs/>
        </w:rPr>
        <w:t>Table 1</w:t>
      </w:r>
    </w:p>
    <w:p w14:paraId="4DA23D9D" w14:textId="77777777" w:rsidR="002F4608" w:rsidRPr="002F4608" w:rsidRDefault="002F4608" w:rsidP="002F4608">
      <w:pPr>
        <w:spacing w:before="240" w:line="480" w:lineRule="auto"/>
      </w:pPr>
      <w:r w:rsidRPr="002F4608">
        <w:rPr>
          <w:i/>
          <w:iCs/>
        </w:rPr>
        <w:t>Sample Characteristics (Analytic Sample, N = 522)</w:t>
      </w:r>
    </w:p>
    <w:tbl>
      <w:tblPr>
        <w:tblStyle w:val="ListTable6Colorful"/>
        <w:tblW w:w="0" w:type="auto"/>
        <w:tblLook w:val="04A0" w:firstRow="1" w:lastRow="0" w:firstColumn="1" w:lastColumn="0" w:noHBand="0" w:noVBand="1"/>
      </w:tblPr>
      <w:tblGrid>
        <w:gridCol w:w="3276"/>
        <w:gridCol w:w="3988"/>
      </w:tblGrid>
      <w:tr w:rsidR="002A247D" w:rsidRPr="00164AF4" w14:paraId="7021F4C2" w14:textId="77777777" w:rsidTr="00164A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280F5" w14:textId="77777777" w:rsidR="002F4608" w:rsidRPr="00164AF4" w:rsidRDefault="002F4608" w:rsidP="002F4608">
            <w:pPr>
              <w:spacing w:before="40" w:after="40"/>
              <w:rPr>
                <w:color w:val="auto"/>
                <w:sz w:val="20"/>
                <w:szCs w:val="20"/>
              </w:rPr>
            </w:pPr>
            <w:r w:rsidRPr="00164AF4">
              <w:rPr>
                <w:color w:val="auto"/>
                <w:sz w:val="20"/>
                <w:szCs w:val="20"/>
              </w:rPr>
              <w:t>Characteristic</w:t>
            </w:r>
          </w:p>
        </w:tc>
        <w:tc>
          <w:tcPr>
            <w:tcW w:w="0" w:type="auto"/>
            <w:hideMark/>
          </w:tcPr>
          <w:p w14:paraId="1ABA1770" w14:textId="77777777" w:rsidR="002F4608" w:rsidRPr="00164AF4" w:rsidRDefault="002F4608" w:rsidP="002F4608">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164AF4">
              <w:rPr>
                <w:color w:val="auto"/>
                <w:sz w:val="20"/>
                <w:szCs w:val="20"/>
              </w:rPr>
              <w:t>Value</w:t>
            </w:r>
          </w:p>
        </w:tc>
      </w:tr>
      <w:tr w:rsidR="002A247D" w:rsidRPr="00164AF4" w14:paraId="5D4FDF62" w14:textId="77777777" w:rsidTr="0016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1B7A4D8"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Number of participating universities</w:t>
            </w:r>
          </w:p>
        </w:tc>
        <w:tc>
          <w:tcPr>
            <w:tcW w:w="0" w:type="auto"/>
            <w:shd w:val="clear" w:color="auto" w:fill="auto"/>
            <w:hideMark/>
          </w:tcPr>
          <w:p w14:paraId="5D3BE1BC" w14:textId="77777777" w:rsidR="002F4608" w:rsidRPr="00164AF4" w:rsidRDefault="002F4608" w:rsidP="002F4608">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164AF4">
              <w:rPr>
                <w:color w:val="auto"/>
                <w:sz w:val="20"/>
                <w:szCs w:val="20"/>
              </w:rPr>
              <w:t>5</w:t>
            </w:r>
          </w:p>
        </w:tc>
      </w:tr>
      <w:tr w:rsidR="002A247D" w:rsidRPr="00164AF4" w14:paraId="4E6A7FBA" w14:textId="77777777" w:rsidTr="00164AF4">
        <w:tc>
          <w:tcPr>
            <w:cnfStyle w:val="001000000000" w:firstRow="0" w:lastRow="0" w:firstColumn="1" w:lastColumn="0" w:oddVBand="0" w:evenVBand="0" w:oddHBand="0" w:evenHBand="0" w:firstRowFirstColumn="0" w:firstRowLastColumn="0" w:lastRowFirstColumn="0" w:lastRowLastColumn="0"/>
            <w:tcW w:w="0" w:type="auto"/>
            <w:hideMark/>
          </w:tcPr>
          <w:p w14:paraId="5C3996A1"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Geographic coverage</w:t>
            </w:r>
          </w:p>
        </w:tc>
        <w:tc>
          <w:tcPr>
            <w:tcW w:w="0" w:type="auto"/>
            <w:hideMark/>
          </w:tcPr>
          <w:p w14:paraId="28548B23" w14:textId="77777777" w:rsidR="002F4608" w:rsidRPr="00164AF4" w:rsidRDefault="002F4608" w:rsidP="002F4608">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164AF4">
              <w:rPr>
                <w:color w:val="auto"/>
                <w:sz w:val="20"/>
                <w:szCs w:val="20"/>
              </w:rPr>
              <w:t>Hanoi, Ho Chi Minh City, and central Vietnam</w:t>
            </w:r>
          </w:p>
        </w:tc>
      </w:tr>
      <w:tr w:rsidR="002A247D" w:rsidRPr="00164AF4" w14:paraId="1DE780E5" w14:textId="77777777" w:rsidTr="0016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6B2DD62"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Initial responses collected</w:t>
            </w:r>
          </w:p>
        </w:tc>
        <w:tc>
          <w:tcPr>
            <w:tcW w:w="0" w:type="auto"/>
            <w:shd w:val="clear" w:color="auto" w:fill="auto"/>
            <w:hideMark/>
          </w:tcPr>
          <w:p w14:paraId="76E3D822" w14:textId="77777777" w:rsidR="002F4608" w:rsidRPr="00164AF4" w:rsidRDefault="002F4608" w:rsidP="002F4608">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164AF4">
              <w:rPr>
                <w:color w:val="auto"/>
                <w:sz w:val="20"/>
                <w:szCs w:val="20"/>
              </w:rPr>
              <w:t>637</w:t>
            </w:r>
          </w:p>
        </w:tc>
      </w:tr>
      <w:tr w:rsidR="002A247D" w:rsidRPr="00164AF4" w14:paraId="4CEB57C7" w14:textId="77777777" w:rsidTr="00164AF4">
        <w:tc>
          <w:tcPr>
            <w:cnfStyle w:val="001000000000" w:firstRow="0" w:lastRow="0" w:firstColumn="1" w:lastColumn="0" w:oddVBand="0" w:evenVBand="0" w:oddHBand="0" w:evenHBand="0" w:firstRowFirstColumn="0" w:firstRowLastColumn="0" w:lastRowFirstColumn="0" w:lastRowLastColumn="0"/>
            <w:tcW w:w="0" w:type="auto"/>
            <w:hideMark/>
          </w:tcPr>
          <w:p w14:paraId="5548A470"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Excluded (eligibility criteria)</w:t>
            </w:r>
          </w:p>
        </w:tc>
        <w:tc>
          <w:tcPr>
            <w:tcW w:w="0" w:type="auto"/>
            <w:hideMark/>
          </w:tcPr>
          <w:p w14:paraId="5ED92EF5" w14:textId="77777777" w:rsidR="002F4608" w:rsidRPr="00164AF4" w:rsidRDefault="002F4608" w:rsidP="002F4608">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164AF4">
              <w:rPr>
                <w:color w:val="auto"/>
                <w:sz w:val="20"/>
                <w:szCs w:val="20"/>
              </w:rPr>
              <w:t>96</w:t>
            </w:r>
          </w:p>
        </w:tc>
      </w:tr>
      <w:tr w:rsidR="002A247D" w:rsidRPr="00164AF4" w14:paraId="13852BB9" w14:textId="77777777" w:rsidTr="0016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B9340E9"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Excluded (identical response patterns)</w:t>
            </w:r>
          </w:p>
        </w:tc>
        <w:tc>
          <w:tcPr>
            <w:tcW w:w="0" w:type="auto"/>
            <w:shd w:val="clear" w:color="auto" w:fill="auto"/>
            <w:hideMark/>
          </w:tcPr>
          <w:p w14:paraId="5B2E1FC2" w14:textId="77777777" w:rsidR="002F4608" w:rsidRPr="00164AF4" w:rsidRDefault="002F4608" w:rsidP="002F4608">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164AF4">
              <w:rPr>
                <w:color w:val="auto"/>
                <w:sz w:val="20"/>
                <w:szCs w:val="20"/>
              </w:rPr>
              <w:t>19</w:t>
            </w:r>
          </w:p>
        </w:tc>
      </w:tr>
      <w:tr w:rsidR="002A247D" w:rsidRPr="00164AF4" w14:paraId="72326686" w14:textId="77777777" w:rsidTr="00164AF4">
        <w:tc>
          <w:tcPr>
            <w:cnfStyle w:val="001000000000" w:firstRow="0" w:lastRow="0" w:firstColumn="1" w:lastColumn="0" w:oddVBand="0" w:evenVBand="0" w:oddHBand="0" w:evenHBand="0" w:firstRowFirstColumn="0" w:firstRowLastColumn="0" w:lastRowFirstColumn="0" w:lastRowLastColumn="0"/>
            <w:tcW w:w="0" w:type="auto"/>
            <w:hideMark/>
          </w:tcPr>
          <w:p w14:paraId="76EB0E4D"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Final analytic sample size</w:t>
            </w:r>
          </w:p>
        </w:tc>
        <w:tc>
          <w:tcPr>
            <w:tcW w:w="0" w:type="auto"/>
            <w:hideMark/>
          </w:tcPr>
          <w:p w14:paraId="3290A5B9" w14:textId="77777777" w:rsidR="002F4608" w:rsidRPr="00164AF4" w:rsidRDefault="002F4608" w:rsidP="002F4608">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164AF4">
              <w:rPr>
                <w:color w:val="auto"/>
                <w:sz w:val="20"/>
                <w:szCs w:val="20"/>
              </w:rPr>
              <w:t>522</w:t>
            </w:r>
          </w:p>
        </w:tc>
      </w:tr>
      <w:tr w:rsidR="002A247D" w:rsidRPr="00164AF4" w14:paraId="5AC3BFF1" w14:textId="77777777" w:rsidTr="0016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29404FD"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 xml:space="preserve">AIP: </w:t>
            </w:r>
            <w:r w:rsidRPr="00164AF4">
              <w:rPr>
                <w:b w:val="0"/>
                <w:bCs w:val="0"/>
                <w:i/>
                <w:iCs/>
                <w:color w:val="auto"/>
                <w:sz w:val="20"/>
                <w:szCs w:val="20"/>
              </w:rPr>
              <w:t>M</w:t>
            </w:r>
            <w:r w:rsidRPr="00164AF4">
              <w:rPr>
                <w:b w:val="0"/>
                <w:bCs w:val="0"/>
                <w:color w:val="auto"/>
                <w:sz w:val="20"/>
                <w:szCs w:val="20"/>
              </w:rPr>
              <w:t xml:space="preserve"> (</w:t>
            </w:r>
            <w:r w:rsidRPr="00164AF4">
              <w:rPr>
                <w:b w:val="0"/>
                <w:bCs w:val="0"/>
                <w:i/>
                <w:iCs/>
                <w:color w:val="auto"/>
                <w:sz w:val="20"/>
                <w:szCs w:val="20"/>
              </w:rPr>
              <w:t>SD</w:t>
            </w:r>
            <w:r w:rsidRPr="00164AF4">
              <w:rPr>
                <w:b w:val="0"/>
                <w:bCs w:val="0"/>
                <w:color w:val="auto"/>
                <w:sz w:val="20"/>
                <w:szCs w:val="20"/>
              </w:rPr>
              <w:t>)</w:t>
            </w:r>
          </w:p>
        </w:tc>
        <w:tc>
          <w:tcPr>
            <w:tcW w:w="0" w:type="auto"/>
            <w:shd w:val="clear" w:color="auto" w:fill="auto"/>
            <w:hideMark/>
          </w:tcPr>
          <w:p w14:paraId="53901D60" w14:textId="77777777" w:rsidR="002F4608" w:rsidRPr="00164AF4" w:rsidRDefault="002F4608" w:rsidP="002F4608">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164AF4">
              <w:rPr>
                <w:color w:val="auto"/>
                <w:sz w:val="20"/>
                <w:szCs w:val="20"/>
              </w:rPr>
              <w:t>3.02 (1.00)</w:t>
            </w:r>
          </w:p>
        </w:tc>
      </w:tr>
      <w:tr w:rsidR="002A247D" w:rsidRPr="00164AF4" w14:paraId="1A57F090" w14:textId="77777777" w:rsidTr="00164AF4">
        <w:tc>
          <w:tcPr>
            <w:cnfStyle w:val="001000000000" w:firstRow="0" w:lastRow="0" w:firstColumn="1" w:lastColumn="0" w:oddVBand="0" w:evenVBand="0" w:oddHBand="0" w:evenHBand="0" w:firstRowFirstColumn="0" w:firstRowLastColumn="0" w:lastRowFirstColumn="0" w:lastRowLastColumn="0"/>
            <w:tcW w:w="0" w:type="auto"/>
            <w:hideMark/>
          </w:tcPr>
          <w:p w14:paraId="22A7791D"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 xml:space="preserve">PA: </w:t>
            </w:r>
            <w:r w:rsidRPr="00164AF4">
              <w:rPr>
                <w:b w:val="0"/>
                <w:bCs w:val="0"/>
                <w:i/>
                <w:iCs/>
                <w:color w:val="auto"/>
                <w:sz w:val="20"/>
                <w:szCs w:val="20"/>
              </w:rPr>
              <w:t>M</w:t>
            </w:r>
            <w:r w:rsidRPr="00164AF4">
              <w:rPr>
                <w:b w:val="0"/>
                <w:bCs w:val="0"/>
                <w:color w:val="auto"/>
                <w:sz w:val="20"/>
                <w:szCs w:val="20"/>
              </w:rPr>
              <w:t xml:space="preserve"> (</w:t>
            </w:r>
            <w:r w:rsidRPr="00164AF4">
              <w:rPr>
                <w:b w:val="0"/>
                <w:bCs w:val="0"/>
                <w:i/>
                <w:iCs/>
                <w:color w:val="auto"/>
                <w:sz w:val="20"/>
                <w:szCs w:val="20"/>
              </w:rPr>
              <w:t>SD</w:t>
            </w:r>
            <w:r w:rsidRPr="00164AF4">
              <w:rPr>
                <w:b w:val="0"/>
                <w:bCs w:val="0"/>
                <w:color w:val="auto"/>
                <w:sz w:val="20"/>
                <w:szCs w:val="20"/>
              </w:rPr>
              <w:t>)</w:t>
            </w:r>
          </w:p>
        </w:tc>
        <w:tc>
          <w:tcPr>
            <w:tcW w:w="0" w:type="auto"/>
            <w:hideMark/>
          </w:tcPr>
          <w:p w14:paraId="0DDE0AFB" w14:textId="77777777" w:rsidR="002F4608" w:rsidRPr="00164AF4" w:rsidRDefault="002F4608" w:rsidP="002F4608">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164AF4">
              <w:rPr>
                <w:color w:val="auto"/>
                <w:sz w:val="20"/>
                <w:szCs w:val="20"/>
              </w:rPr>
              <w:t>3.16 (1.00)</w:t>
            </w:r>
          </w:p>
        </w:tc>
      </w:tr>
      <w:tr w:rsidR="002A247D" w:rsidRPr="00164AF4" w14:paraId="206B3B3A" w14:textId="77777777" w:rsidTr="0016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AB492B0"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 xml:space="preserve">DR: </w:t>
            </w:r>
            <w:r w:rsidRPr="00164AF4">
              <w:rPr>
                <w:b w:val="0"/>
                <w:bCs w:val="0"/>
                <w:i/>
                <w:iCs/>
                <w:color w:val="auto"/>
                <w:sz w:val="20"/>
                <w:szCs w:val="20"/>
              </w:rPr>
              <w:t>M</w:t>
            </w:r>
            <w:r w:rsidRPr="00164AF4">
              <w:rPr>
                <w:b w:val="0"/>
                <w:bCs w:val="0"/>
                <w:color w:val="auto"/>
                <w:sz w:val="20"/>
                <w:szCs w:val="20"/>
              </w:rPr>
              <w:t xml:space="preserve"> (</w:t>
            </w:r>
            <w:r w:rsidRPr="00164AF4">
              <w:rPr>
                <w:b w:val="0"/>
                <w:bCs w:val="0"/>
                <w:i/>
                <w:iCs/>
                <w:color w:val="auto"/>
                <w:sz w:val="20"/>
                <w:szCs w:val="20"/>
              </w:rPr>
              <w:t>SD</w:t>
            </w:r>
            <w:r w:rsidRPr="00164AF4">
              <w:rPr>
                <w:b w:val="0"/>
                <w:bCs w:val="0"/>
                <w:color w:val="auto"/>
                <w:sz w:val="20"/>
                <w:szCs w:val="20"/>
              </w:rPr>
              <w:t>)</w:t>
            </w:r>
          </w:p>
        </w:tc>
        <w:tc>
          <w:tcPr>
            <w:tcW w:w="0" w:type="auto"/>
            <w:shd w:val="clear" w:color="auto" w:fill="auto"/>
            <w:hideMark/>
          </w:tcPr>
          <w:p w14:paraId="3C6C43A1" w14:textId="77777777" w:rsidR="002F4608" w:rsidRPr="00164AF4" w:rsidRDefault="002F4608" w:rsidP="002F4608">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164AF4">
              <w:rPr>
                <w:color w:val="auto"/>
                <w:sz w:val="20"/>
                <w:szCs w:val="20"/>
              </w:rPr>
              <w:t>3.14 (0.97)</w:t>
            </w:r>
          </w:p>
        </w:tc>
      </w:tr>
      <w:tr w:rsidR="002A247D" w:rsidRPr="002F4608" w14:paraId="7B1B066C" w14:textId="77777777" w:rsidTr="00164AF4">
        <w:tc>
          <w:tcPr>
            <w:cnfStyle w:val="001000000000" w:firstRow="0" w:lastRow="0" w:firstColumn="1" w:lastColumn="0" w:oddVBand="0" w:evenVBand="0" w:oddHBand="0" w:evenHBand="0" w:firstRowFirstColumn="0" w:firstRowLastColumn="0" w:lastRowFirstColumn="0" w:lastRowLastColumn="0"/>
            <w:tcW w:w="0" w:type="auto"/>
            <w:hideMark/>
          </w:tcPr>
          <w:p w14:paraId="4CCBDB57" w14:textId="77777777" w:rsidR="002F4608" w:rsidRPr="00164AF4" w:rsidRDefault="002F4608" w:rsidP="002F4608">
            <w:pPr>
              <w:spacing w:before="40" w:after="40"/>
              <w:rPr>
                <w:b w:val="0"/>
                <w:bCs w:val="0"/>
                <w:color w:val="auto"/>
                <w:sz w:val="20"/>
                <w:szCs w:val="20"/>
              </w:rPr>
            </w:pPr>
            <w:r w:rsidRPr="00164AF4">
              <w:rPr>
                <w:b w:val="0"/>
                <w:bCs w:val="0"/>
                <w:color w:val="auto"/>
                <w:sz w:val="20"/>
                <w:szCs w:val="20"/>
              </w:rPr>
              <w:t xml:space="preserve">FSP: </w:t>
            </w:r>
            <w:r w:rsidRPr="00164AF4">
              <w:rPr>
                <w:b w:val="0"/>
                <w:bCs w:val="0"/>
                <w:i/>
                <w:iCs/>
                <w:color w:val="auto"/>
                <w:sz w:val="20"/>
                <w:szCs w:val="20"/>
              </w:rPr>
              <w:t>M</w:t>
            </w:r>
            <w:r w:rsidRPr="00164AF4">
              <w:rPr>
                <w:b w:val="0"/>
                <w:bCs w:val="0"/>
                <w:color w:val="auto"/>
                <w:sz w:val="20"/>
                <w:szCs w:val="20"/>
              </w:rPr>
              <w:t xml:space="preserve"> (</w:t>
            </w:r>
            <w:r w:rsidRPr="00164AF4">
              <w:rPr>
                <w:b w:val="0"/>
                <w:bCs w:val="0"/>
                <w:i/>
                <w:iCs/>
                <w:color w:val="auto"/>
                <w:sz w:val="20"/>
                <w:szCs w:val="20"/>
              </w:rPr>
              <w:t>SD</w:t>
            </w:r>
            <w:r w:rsidRPr="00164AF4">
              <w:rPr>
                <w:b w:val="0"/>
                <w:bCs w:val="0"/>
                <w:color w:val="auto"/>
                <w:sz w:val="20"/>
                <w:szCs w:val="20"/>
              </w:rPr>
              <w:t>)</w:t>
            </w:r>
          </w:p>
        </w:tc>
        <w:tc>
          <w:tcPr>
            <w:tcW w:w="0" w:type="auto"/>
            <w:hideMark/>
          </w:tcPr>
          <w:p w14:paraId="43AA6615" w14:textId="77777777" w:rsidR="002F4608" w:rsidRPr="002F4608" w:rsidRDefault="002F4608" w:rsidP="002F4608">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164AF4">
              <w:rPr>
                <w:color w:val="auto"/>
                <w:sz w:val="20"/>
                <w:szCs w:val="20"/>
              </w:rPr>
              <w:t>3.05 (1.10)</w:t>
            </w:r>
          </w:p>
        </w:tc>
      </w:tr>
    </w:tbl>
    <w:p w14:paraId="56D2526C" w14:textId="77777777" w:rsidR="002F4608" w:rsidRPr="002F4608" w:rsidRDefault="002F4608" w:rsidP="002F4608">
      <w:pPr>
        <w:spacing w:before="80" w:after="80"/>
        <w:rPr>
          <w:i/>
          <w:iCs/>
          <w:sz w:val="20"/>
          <w:szCs w:val="20"/>
        </w:rPr>
      </w:pPr>
      <w:r w:rsidRPr="002F4608">
        <w:rPr>
          <w:b/>
          <w:bCs/>
          <w:i/>
          <w:iCs/>
          <w:sz w:val="20"/>
          <w:szCs w:val="20"/>
        </w:rPr>
        <w:t>Note.</w:t>
      </w:r>
      <w:r w:rsidRPr="002F4608">
        <w:rPr>
          <w:i/>
          <w:iCs/>
          <w:sz w:val="20"/>
          <w:szCs w:val="20"/>
        </w:rPr>
        <w:t xml:space="preserve"> Grand means and SDs are calculated from raw Likert-scale item scores prior to factor score centering. No missing data were present in the analytic sample. Item-level descriptive statistics are reported in the supplemental materials.</w:t>
      </w:r>
    </w:p>
    <w:p w14:paraId="6EA051BB" w14:textId="77777777" w:rsidR="000F5A88" w:rsidRPr="002A247D" w:rsidRDefault="00000000" w:rsidP="005E447A">
      <w:pPr>
        <w:pStyle w:val="Heading2"/>
        <w:spacing w:before="120" w:after="120"/>
      </w:pPr>
      <w:r w:rsidRPr="002A247D">
        <w:rPr>
          <w:sz w:val="26"/>
          <w:szCs w:val="26"/>
        </w:rPr>
        <w:t>4.2 Measurement Invariance (Continuous DIF)</w:t>
      </w:r>
    </w:p>
    <w:p w14:paraId="196343BB" w14:textId="77777777" w:rsidR="00DF436C" w:rsidRPr="00DF436C" w:rsidRDefault="00DF436C" w:rsidP="00DF436C">
      <w:pPr>
        <w:spacing w:line="480" w:lineRule="auto"/>
      </w:pPr>
      <w:r w:rsidRPr="00DF436C">
        <w:t>To ensure that the measurement properties of the latent constructs remained invariant when digital resilience (DR) was treated as a continuous moderator, a continuous differential item functioning (DIF) test was conducted within the MNLFA framework (Bauer, 2017). In this approach, each item's intercept parameter was regressed on the continuous moderator DR, allowing the detection of potential measurement non-invariance across the full range of the moderator rather than relying on arbitrary group splits.</w:t>
      </w:r>
    </w:p>
    <w:p w14:paraId="102A1F2C" w14:textId="77777777" w:rsidR="00DF436C" w:rsidRPr="00DF436C" w:rsidRDefault="00DF436C" w:rsidP="00DF436C">
      <w:pPr>
        <w:spacing w:line="480" w:lineRule="auto"/>
      </w:pPr>
      <w:r w:rsidRPr="00DF436C">
        <w:t xml:space="preserve">Following standard practice (Bauer, 2017), a Bonferroni correction was applied to control the family-wise error rate across the 20 measurement parameters, yielding a corrected significance threshold of </w:t>
      </w:r>
      <w:r w:rsidRPr="00DF436C">
        <w:rPr>
          <w:i/>
          <w:iCs/>
        </w:rPr>
        <w:t>p</w:t>
      </w:r>
      <w:r w:rsidRPr="00DF436C">
        <w:t xml:space="preserve"> &lt; 0.0025 (0.05/20). Of the 20 items tested, 10 exhibited statistically significant </w:t>
      </w:r>
      <w:r w:rsidRPr="00DF436C">
        <w:lastRenderedPageBreak/>
        <w:t>DIF at this threshold: one PA item (PA1), all five DR items (DR1–DR5), and four FSP items (FSP1, FSP3, FSP4, FSP5). Notably, no AIP items showed DIF at either the corrected or uncorrected threshold.</w:t>
      </w:r>
    </w:p>
    <w:p w14:paraId="3AFAA457" w14:textId="7F03D809" w:rsidR="00DF436C" w:rsidRPr="00DF436C" w:rsidRDefault="00DF436C" w:rsidP="00DF436C">
      <w:pPr>
        <w:spacing w:line="480" w:lineRule="auto"/>
      </w:pPr>
      <w:r w:rsidRPr="00DF436C">
        <w:t xml:space="preserve">The concentration of DIF exclusively within the moderator construct (DR) and outcome construct (FSP), with complete absence of DIF across all five AIP items, warrants careful interpretation. For the DR items specifically, the pattern is consistent with a tautological dependency inherent in MNLFA designs where the moderator and one of the constructs under study are the same latent variable: DR items' intercepts are regressed on a moderator covariate derived from those same items, creating a circular reference that can inflate apparent DIF detection for that construct (Bauer, 2017). To evaluate this interpretation empirically, DIF tests were replicated using an external composite score (mean of raw DR items, standardized) as the moderator covariate in place of the Bartlett factor score. </w:t>
      </w:r>
      <w:r w:rsidR="002077AC" w:rsidRPr="002077AC">
        <w:t>Using the Bartlett factor score, only DR1 exhibited DIF among the DR items; DR2–DR5 were not flagged at the Bonferroni-corrected threshold. Replication with an external composite covariate, however, flagged all five DR items, suggesting that the partial absence of DIF under the Bartlett approach may reflect construct-level cancellation effects rather than genuine invariance</w:t>
      </w:r>
      <w:r w:rsidR="002077AC">
        <w:t xml:space="preserve"> </w:t>
      </w:r>
      <w:r w:rsidRPr="00DF436C">
        <w:t xml:space="preserve">— a pattern consistent with partial tautological artifact in the original Bartlett-based test. The mixed-sign pattern of DIF coefficients across DR items (DR1: </w:t>
      </w:r>
      <w:r w:rsidRPr="00DF436C">
        <w:rPr>
          <w:i/>
          <w:iCs/>
        </w:rPr>
        <w:t>b</w:t>
      </w:r>
      <w:r w:rsidRPr="00DF436C">
        <w:t xml:space="preserve"> = −0.234; DR2: </w:t>
      </w:r>
      <w:r w:rsidRPr="00DF436C">
        <w:rPr>
          <w:i/>
          <w:iCs/>
        </w:rPr>
        <w:t>b</w:t>
      </w:r>
      <w:r w:rsidRPr="00DF436C">
        <w:t xml:space="preserve"> = +1.128; DR3: </w:t>
      </w:r>
      <w:r w:rsidRPr="00DF436C">
        <w:rPr>
          <w:i/>
          <w:iCs/>
        </w:rPr>
        <w:t>b</w:t>
      </w:r>
      <w:r w:rsidRPr="00DF436C">
        <w:t xml:space="preserve"> = +1.453; DR4: </w:t>
      </w:r>
      <w:r w:rsidRPr="00DF436C">
        <w:rPr>
          <w:i/>
          <w:iCs/>
        </w:rPr>
        <w:t>b</w:t>
      </w:r>
      <w:r w:rsidRPr="00DF436C">
        <w:t xml:space="preserve"> = +1.045; DR5: </w:t>
      </w:r>
      <w:r w:rsidRPr="00DF436C">
        <w:rPr>
          <w:i/>
          <w:iCs/>
        </w:rPr>
        <w:t>b</w:t>
      </w:r>
      <w:r w:rsidRPr="00DF436C">
        <w:t xml:space="preserve"> = +1.443) further suggests that opposing DIF effects partially cancel at the construct level, attenuating potential bias in Bartlett factor scores.</w:t>
      </w:r>
    </w:p>
    <w:p w14:paraId="3C7F70C7" w14:textId="77777777" w:rsidR="00DF436C" w:rsidRPr="00DF436C" w:rsidRDefault="00DF436C" w:rsidP="00DF436C">
      <w:pPr>
        <w:spacing w:line="480" w:lineRule="auto"/>
      </w:pPr>
      <w:r w:rsidRPr="00DF436C">
        <w:t xml:space="preserve">For the FSP items, DIF coefficients were also of mixed sign (FSP1: </w:t>
      </w:r>
      <w:r w:rsidRPr="00DF436C">
        <w:rPr>
          <w:i/>
          <w:iCs/>
        </w:rPr>
        <w:t>b</w:t>
      </w:r>
      <w:r w:rsidRPr="00DF436C">
        <w:t xml:space="preserve"> = −0.220; FSP3: </w:t>
      </w:r>
      <w:r w:rsidRPr="00DF436C">
        <w:rPr>
          <w:i/>
          <w:iCs/>
        </w:rPr>
        <w:t>b</w:t>
      </w:r>
      <w:r w:rsidRPr="00DF436C">
        <w:t xml:space="preserve"> = −0.370; FSP4: </w:t>
      </w:r>
      <w:r w:rsidRPr="00DF436C">
        <w:rPr>
          <w:i/>
          <w:iCs/>
        </w:rPr>
        <w:t>b</w:t>
      </w:r>
      <w:r w:rsidRPr="00DF436C">
        <w:t xml:space="preserve"> = −0.336; FSP5: </w:t>
      </w:r>
      <w:r w:rsidRPr="00DF436C">
        <w:rPr>
          <w:i/>
          <w:iCs/>
        </w:rPr>
        <w:t>b</w:t>
      </w:r>
      <w:r w:rsidRPr="00DF436C">
        <w:t xml:space="preserve"> = +0.385), and the composite replication confirmed these items as showing persistent DIF. This pattern may reflect genuine measurement non-invariance </w:t>
      </w:r>
      <w:r w:rsidRPr="00DF436C">
        <w:lastRenderedPageBreak/>
        <w:t>in the outcome construct across DR levels, representing a substantive limitation that should be considered when interpreting the structural results.</w:t>
      </w:r>
    </w:p>
    <w:p w14:paraId="00164D9A" w14:textId="77777777" w:rsidR="00DF436C" w:rsidRPr="00DF436C" w:rsidRDefault="00DF436C" w:rsidP="00DF436C">
      <w:pPr>
        <w:spacing w:line="480" w:lineRule="auto"/>
      </w:pPr>
      <w:r w:rsidRPr="00DF436C">
        <w:t>Despite the presence of DIF in 10 items, all 20 indicators were retained for subsequent factor score extraction. This decision was based on three considerations: (a) the overall measurement model demonstrated acceptable fit and strong standardized factor loadings across all constructs (all loadings ≥ 0.712; reported in Section 4.3), (b) the primary substantive interest of the study lies in latent-level structural relationships rather than item-level parameters, and (c) four robustness checks — including WLSMV estimation treating items as ordinal and MM-estimator robust regression — confirmed that all substantive structural conclusions remained unchanged across estimation strategies. Future research should develop DR and FSP scale items with more clearly differentiated facets and test them against external moderators to minimise circular dependency in MNLFA applications.</w:t>
      </w:r>
    </w:p>
    <w:p w14:paraId="2D2A96BE" w14:textId="77777777" w:rsidR="000F5A88" w:rsidRPr="002A247D" w:rsidRDefault="00000000" w:rsidP="005E447A">
      <w:pPr>
        <w:pStyle w:val="Heading2"/>
        <w:spacing w:before="120" w:after="120"/>
      </w:pPr>
      <w:r w:rsidRPr="002A247D">
        <w:rPr>
          <w:sz w:val="26"/>
          <w:szCs w:val="26"/>
        </w:rPr>
        <w:t>4.3 Measurement Model</w:t>
      </w:r>
    </w:p>
    <w:p w14:paraId="4519B810" w14:textId="77777777" w:rsidR="00DF436C" w:rsidRPr="00DF436C" w:rsidRDefault="00DF436C" w:rsidP="00DF436C">
      <w:pPr>
        <w:spacing w:line="480" w:lineRule="auto"/>
      </w:pPr>
      <w:r w:rsidRPr="00DF436C">
        <w:t xml:space="preserve">A confirmatory factor analysis (CFA) was conducted to evaluate the psychometric properties of the four latent constructs. The hypothesized four-factor model was estimated using maximum likelihood robust (MLR) estimation on the analytic sample of </w:t>
      </w:r>
      <w:r w:rsidRPr="00DF436C">
        <w:rPr>
          <w:i/>
          <w:iCs/>
        </w:rPr>
        <w:t>N</w:t>
      </w:r>
      <w:r w:rsidRPr="00DF436C">
        <w:t xml:space="preserve"> = 522 complete cases.</w:t>
      </w:r>
    </w:p>
    <w:p w14:paraId="06B723CB" w14:textId="77777777" w:rsidR="00DF436C" w:rsidRPr="00DF436C" w:rsidRDefault="00DF436C" w:rsidP="00DF436C">
      <w:pPr>
        <w:spacing w:line="480" w:lineRule="auto"/>
      </w:pPr>
      <w:r w:rsidRPr="00DF436C">
        <w:t xml:space="preserve">The measurement model demonstrated acceptable fit to the data: χ²(164) = 668.762, </w:t>
      </w:r>
      <w:r w:rsidRPr="00DF436C">
        <w:rPr>
          <w:i/>
          <w:iCs/>
        </w:rPr>
        <w:t>p</w:t>
      </w:r>
      <w:r w:rsidRPr="00DF436C">
        <w:t xml:space="preserve"> &lt; 0.001, CFI = 0.930, TLI = 0.919, RMSEA = 0.077 [90% CI: 0.071, 0.083], SRMR = 0.062. Although CFI and RMSEA fall slightly below the most stringent conventional thresholds (Hu &amp; Bentler, 1999), values in this range are considered acceptable for models with 20 or more indicators and sample sizes exceeding 300, where chi-square-based fit indices are known to be sensitive to minor misspecifications (Marsh et al., 2004). All standardized factor loadings were statistically significant at </w:t>
      </w:r>
      <w:r w:rsidRPr="00DF436C">
        <w:rPr>
          <w:i/>
          <w:iCs/>
        </w:rPr>
        <w:t>p</w:t>
      </w:r>
      <w:r w:rsidRPr="00DF436C">
        <w:t xml:space="preserve"> &lt; 0.001 and ranged from 0.712 to 0.984 across all constructs.</w:t>
      </w:r>
    </w:p>
    <w:p w14:paraId="3AE4DE64" w14:textId="77777777" w:rsidR="00DF436C" w:rsidRPr="00DF436C" w:rsidRDefault="00DF436C" w:rsidP="00DF436C">
      <w:pPr>
        <w:spacing w:line="480" w:lineRule="auto"/>
      </w:pPr>
      <w:r w:rsidRPr="00DF436C">
        <w:lastRenderedPageBreak/>
        <w:t>Internal consistency was strong for all constructs. Cronbach's alpha ranged from 0.877 (FSP) to 0.895 (PA), and composite reliability (CR) exceeded 0.87 for all constructs, ranging from 0.871 (FSP) to 0.894 (PA). Average variance extracted (AVE) ranged from 0.584 (FSP) to 0.637 (PA), with all values exceeding the conventional 0.50 threshold (Fornell &amp; Larcker, 1981). Discriminant validity was supported by the Fornell-Larcker criterion: the square root of each construct's AVE (0.794 for AIP, 0.798 for PA, 0.786 for DR, 0.764 for FSP) exceeded all corresponding inter-construct correlations (maximum |</w:t>
      </w:r>
      <w:r w:rsidRPr="00DF436C">
        <w:rPr>
          <w:i/>
          <w:iCs/>
        </w:rPr>
        <w:t>r</w:t>
      </w:r>
      <w:r w:rsidRPr="00DF436C">
        <w:t>| = 0.712 between AIP and FSP). Complete measurement model results are presented in Table 2.</w:t>
      </w:r>
    </w:p>
    <w:p w14:paraId="79346C47" w14:textId="77777777" w:rsidR="00DF436C" w:rsidRPr="00DF436C" w:rsidRDefault="00DF436C" w:rsidP="00DF436C">
      <w:pPr>
        <w:spacing w:line="480" w:lineRule="auto"/>
      </w:pPr>
      <w:r w:rsidRPr="00DF436C">
        <w:t>Factor scores for all four latent variables were subsequently extracted using the Bartlett method, which minimizes factor score indeterminacy and produces scores with the smallest mean squared error relative to the true latent variables (Devlieger et al., 2016). Extracted scores were mean-centered prior to structural analysis to facilitate the interpretation of quadratic and interaction terms.</w:t>
      </w:r>
    </w:p>
    <w:p w14:paraId="687B18F6" w14:textId="77777777" w:rsidR="00DF436C" w:rsidRPr="00DF436C" w:rsidRDefault="00DF436C" w:rsidP="00DF436C">
      <w:pPr>
        <w:spacing w:before="240" w:line="480" w:lineRule="auto"/>
      </w:pPr>
      <w:r w:rsidRPr="00DF436C">
        <w:rPr>
          <w:b/>
          <w:bCs/>
        </w:rPr>
        <w:t>Table 2</w:t>
      </w:r>
    </w:p>
    <w:p w14:paraId="55799545" w14:textId="77777777" w:rsidR="00DF436C" w:rsidRPr="00DF436C" w:rsidRDefault="00DF436C" w:rsidP="00DF436C">
      <w:pPr>
        <w:spacing w:before="240" w:line="480" w:lineRule="auto"/>
      </w:pPr>
      <w:r w:rsidRPr="00DF436C">
        <w:rPr>
          <w:i/>
          <w:iCs/>
        </w:rPr>
        <w:t>Standardized Factor Loadings, Reliability, and Validity Indices (N = 522)</w:t>
      </w:r>
    </w:p>
    <w:tbl>
      <w:tblPr>
        <w:tblStyle w:val="ListTable6Colorful"/>
        <w:tblW w:w="0" w:type="auto"/>
        <w:tblLook w:val="04A0" w:firstRow="1" w:lastRow="0" w:firstColumn="1" w:lastColumn="0" w:noHBand="0" w:noVBand="1"/>
      </w:tblPr>
      <w:tblGrid>
        <w:gridCol w:w="3377"/>
        <w:gridCol w:w="928"/>
        <w:gridCol w:w="666"/>
        <w:gridCol w:w="666"/>
        <w:gridCol w:w="666"/>
      </w:tblGrid>
      <w:tr w:rsidR="002A247D" w:rsidRPr="00990FEB" w14:paraId="6EC042E2" w14:textId="77777777" w:rsidTr="00990F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0543B" w14:textId="77777777" w:rsidR="00DF436C" w:rsidRPr="00990FEB" w:rsidRDefault="00DF436C" w:rsidP="00DF436C">
            <w:pPr>
              <w:spacing w:line="480" w:lineRule="auto"/>
              <w:rPr>
                <w:color w:val="auto"/>
                <w:sz w:val="20"/>
                <w:szCs w:val="20"/>
              </w:rPr>
            </w:pPr>
            <w:r w:rsidRPr="00990FEB">
              <w:rPr>
                <w:color w:val="auto"/>
                <w:sz w:val="20"/>
                <w:szCs w:val="20"/>
              </w:rPr>
              <w:t>Construct / Item</w:t>
            </w:r>
          </w:p>
        </w:tc>
        <w:tc>
          <w:tcPr>
            <w:tcW w:w="0" w:type="auto"/>
            <w:hideMark/>
          </w:tcPr>
          <w:p w14:paraId="6E8C1EF1" w14:textId="77777777" w:rsidR="00DF436C" w:rsidRPr="00990FEB" w:rsidRDefault="00DF436C" w:rsidP="00DF436C">
            <w:pPr>
              <w:spacing w:line="48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Loading</w:t>
            </w:r>
          </w:p>
        </w:tc>
        <w:tc>
          <w:tcPr>
            <w:tcW w:w="0" w:type="auto"/>
            <w:hideMark/>
          </w:tcPr>
          <w:p w14:paraId="108BF6A5" w14:textId="77777777" w:rsidR="00DF436C" w:rsidRPr="00990FEB" w:rsidRDefault="00DF436C" w:rsidP="00DF436C">
            <w:pPr>
              <w:spacing w:line="48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990FEB">
              <w:rPr>
                <w:i/>
                <w:iCs/>
                <w:color w:val="auto"/>
                <w:sz w:val="20"/>
                <w:szCs w:val="20"/>
              </w:rPr>
              <w:t>α</w:t>
            </w:r>
          </w:p>
        </w:tc>
        <w:tc>
          <w:tcPr>
            <w:tcW w:w="0" w:type="auto"/>
            <w:hideMark/>
          </w:tcPr>
          <w:p w14:paraId="6481CB6A" w14:textId="77777777" w:rsidR="00DF436C" w:rsidRPr="00990FEB" w:rsidRDefault="00DF436C" w:rsidP="00DF436C">
            <w:pPr>
              <w:spacing w:line="48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CR</w:t>
            </w:r>
          </w:p>
        </w:tc>
        <w:tc>
          <w:tcPr>
            <w:tcW w:w="0" w:type="auto"/>
            <w:hideMark/>
          </w:tcPr>
          <w:p w14:paraId="6265998B" w14:textId="77777777" w:rsidR="00DF436C" w:rsidRPr="00990FEB" w:rsidRDefault="00DF436C" w:rsidP="00DF436C">
            <w:pPr>
              <w:spacing w:line="48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AVE</w:t>
            </w:r>
          </w:p>
        </w:tc>
      </w:tr>
      <w:tr w:rsidR="002A247D" w:rsidRPr="00990FEB" w14:paraId="5480FAB7"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0D2CCB0"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AI Integration Pressure (AIP)</w:t>
            </w:r>
          </w:p>
        </w:tc>
        <w:tc>
          <w:tcPr>
            <w:tcW w:w="0" w:type="auto"/>
            <w:shd w:val="clear" w:color="auto" w:fill="auto"/>
            <w:hideMark/>
          </w:tcPr>
          <w:p w14:paraId="12036E0E"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28A1DB11"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0.894</w:t>
            </w:r>
          </w:p>
        </w:tc>
        <w:tc>
          <w:tcPr>
            <w:tcW w:w="0" w:type="auto"/>
            <w:shd w:val="clear" w:color="auto" w:fill="auto"/>
            <w:hideMark/>
          </w:tcPr>
          <w:p w14:paraId="645DD5B1"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0.890</w:t>
            </w:r>
          </w:p>
        </w:tc>
        <w:tc>
          <w:tcPr>
            <w:tcW w:w="0" w:type="auto"/>
            <w:shd w:val="clear" w:color="auto" w:fill="auto"/>
            <w:hideMark/>
          </w:tcPr>
          <w:p w14:paraId="7EDBE22E"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0.630</w:t>
            </w:r>
          </w:p>
        </w:tc>
      </w:tr>
      <w:tr w:rsidR="002A247D" w:rsidRPr="00990FEB" w14:paraId="0590E7C3"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731F2FFE"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AIP1</w:t>
            </w:r>
          </w:p>
        </w:tc>
        <w:tc>
          <w:tcPr>
            <w:tcW w:w="0" w:type="auto"/>
            <w:hideMark/>
          </w:tcPr>
          <w:p w14:paraId="0E812A99"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0.976</w:t>
            </w:r>
          </w:p>
        </w:tc>
        <w:tc>
          <w:tcPr>
            <w:tcW w:w="0" w:type="auto"/>
            <w:hideMark/>
          </w:tcPr>
          <w:p w14:paraId="0C4BE4DC"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56978504"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0DD6D408"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7E7D4668"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317E7CD"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AIP2</w:t>
            </w:r>
          </w:p>
        </w:tc>
        <w:tc>
          <w:tcPr>
            <w:tcW w:w="0" w:type="auto"/>
            <w:shd w:val="clear" w:color="auto" w:fill="auto"/>
            <w:hideMark/>
          </w:tcPr>
          <w:p w14:paraId="672473A5"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0.761</w:t>
            </w:r>
          </w:p>
        </w:tc>
        <w:tc>
          <w:tcPr>
            <w:tcW w:w="0" w:type="auto"/>
            <w:shd w:val="clear" w:color="auto" w:fill="auto"/>
            <w:hideMark/>
          </w:tcPr>
          <w:p w14:paraId="7C75686A"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3F33A4CB"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3B45C402"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990FEB" w14:paraId="2ACE9E61"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27030123"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AIP3</w:t>
            </w:r>
          </w:p>
        </w:tc>
        <w:tc>
          <w:tcPr>
            <w:tcW w:w="0" w:type="auto"/>
            <w:hideMark/>
          </w:tcPr>
          <w:p w14:paraId="394F7135"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0.721</w:t>
            </w:r>
          </w:p>
        </w:tc>
        <w:tc>
          <w:tcPr>
            <w:tcW w:w="0" w:type="auto"/>
            <w:hideMark/>
          </w:tcPr>
          <w:p w14:paraId="37B6E1C2"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7DFFB1B4"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55514B9D"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2DA7A208"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39EA8A2"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AIP4</w:t>
            </w:r>
          </w:p>
        </w:tc>
        <w:tc>
          <w:tcPr>
            <w:tcW w:w="0" w:type="auto"/>
            <w:shd w:val="clear" w:color="auto" w:fill="auto"/>
            <w:hideMark/>
          </w:tcPr>
          <w:p w14:paraId="08B82DF0"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0.727</w:t>
            </w:r>
          </w:p>
        </w:tc>
        <w:tc>
          <w:tcPr>
            <w:tcW w:w="0" w:type="auto"/>
            <w:shd w:val="clear" w:color="auto" w:fill="auto"/>
            <w:hideMark/>
          </w:tcPr>
          <w:p w14:paraId="1CC716EC"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1CC72132"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1E513D41"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990FEB" w14:paraId="037B28A6"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12FFE852"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AIP5</w:t>
            </w:r>
          </w:p>
        </w:tc>
        <w:tc>
          <w:tcPr>
            <w:tcW w:w="0" w:type="auto"/>
            <w:hideMark/>
          </w:tcPr>
          <w:p w14:paraId="7E805C57"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0.756</w:t>
            </w:r>
          </w:p>
        </w:tc>
        <w:tc>
          <w:tcPr>
            <w:tcW w:w="0" w:type="auto"/>
            <w:hideMark/>
          </w:tcPr>
          <w:p w14:paraId="1D636B8C"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0A2189BE"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43ADF41F"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17E02138"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6D3248D"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Pedagogical Autonomy (PA)</w:t>
            </w:r>
          </w:p>
        </w:tc>
        <w:tc>
          <w:tcPr>
            <w:tcW w:w="0" w:type="auto"/>
            <w:shd w:val="clear" w:color="auto" w:fill="auto"/>
            <w:hideMark/>
          </w:tcPr>
          <w:p w14:paraId="0D2DEA33"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357E6A1D"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0.895</w:t>
            </w:r>
          </w:p>
        </w:tc>
        <w:tc>
          <w:tcPr>
            <w:tcW w:w="0" w:type="auto"/>
            <w:shd w:val="clear" w:color="auto" w:fill="auto"/>
            <w:hideMark/>
          </w:tcPr>
          <w:p w14:paraId="4DB9AE3B"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0.894</w:t>
            </w:r>
          </w:p>
        </w:tc>
        <w:tc>
          <w:tcPr>
            <w:tcW w:w="0" w:type="auto"/>
            <w:shd w:val="clear" w:color="auto" w:fill="auto"/>
            <w:hideMark/>
          </w:tcPr>
          <w:p w14:paraId="675DE326"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0.637</w:t>
            </w:r>
          </w:p>
        </w:tc>
      </w:tr>
      <w:tr w:rsidR="002A247D" w:rsidRPr="00990FEB" w14:paraId="07A77954"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0C6710DA"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PA1</w:t>
            </w:r>
          </w:p>
        </w:tc>
        <w:tc>
          <w:tcPr>
            <w:tcW w:w="0" w:type="auto"/>
            <w:hideMark/>
          </w:tcPr>
          <w:p w14:paraId="68FE34D0"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0.979</w:t>
            </w:r>
          </w:p>
        </w:tc>
        <w:tc>
          <w:tcPr>
            <w:tcW w:w="0" w:type="auto"/>
            <w:hideMark/>
          </w:tcPr>
          <w:p w14:paraId="7B3D038C"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6EBE18F4"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0DD035AA"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31E8A2F7"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EE63254"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PA2</w:t>
            </w:r>
          </w:p>
        </w:tc>
        <w:tc>
          <w:tcPr>
            <w:tcW w:w="0" w:type="auto"/>
            <w:shd w:val="clear" w:color="auto" w:fill="auto"/>
            <w:hideMark/>
          </w:tcPr>
          <w:p w14:paraId="20259DCE"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0.741</w:t>
            </w:r>
          </w:p>
        </w:tc>
        <w:tc>
          <w:tcPr>
            <w:tcW w:w="0" w:type="auto"/>
            <w:shd w:val="clear" w:color="auto" w:fill="auto"/>
            <w:hideMark/>
          </w:tcPr>
          <w:p w14:paraId="5E23A0C8"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17DBF44C"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6C37C0B4"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990FEB" w14:paraId="443C3C6D"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44C0B506"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PA3</w:t>
            </w:r>
          </w:p>
        </w:tc>
        <w:tc>
          <w:tcPr>
            <w:tcW w:w="0" w:type="auto"/>
            <w:hideMark/>
          </w:tcPr>
          <w:p w14:paraId="2FED721C"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0.764</w:t>
            </w:r>
          </w:p>
        </w:tc>
        <w:tc>
          <w:tcPr>
            <w:tcW w:w="0" w:type="auto"/>
            <w:hideMark/>
          </w:tcPr>
          <w:p w14:paraId="433F6839"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728E3A8E"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55695059"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26A784D2"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5E6F01F"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PA4</w:t>
            </w:r>
          </w:p>
        </w:tc>
        <w:tc>
          <w:tcPr>
            <w:tcW w:w="0" w:type="auto"/>
            <w:shd w:val="clear" w:color="auto" w:fill="auto"/>
            <w:hideMark/>
          </w:tcPr>
          <w:p w14:paraId="1796BCE4"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0.731</w:t>
            </w:r>
          </w:p>
        </w:tc>
        <w:tc>
          <w:tcPr>
            <w:tcW w:w="0" w:type="auto"/>
            <w:shd w:val="clear" w:color="auto" w:fill="auto"/>
            <w:hideMark/>
          </w:tcPr>
          <w:p w14:paraId="0CD93253"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036C562D"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6E329C6A"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990FEB" w14:paraId="1465069D"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039F3EF0"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lastRenderedPageBreak/>
              <w:t>PA5</w:t>
            </w:r>
          </w:p>
        </w:tc>
        <w:tc>
          <w:tcPr>
            <w:tcW w:w="0" w:type="auto"/>
            <w:hideMark/>
          </w:tcPr>
          <w:p w14:paraId="0F3E3E14"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0.750</w:t>
            </w:r>
          </w:p>
        </w:tc>
        <w:tc>
          <w:tcPr>
            <w:tcW w:w="0" w:type="auto"/>
            <w:hideMark/>
          </w:tcPr>
          <w:p w14:paraId="61E04447"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73A84EC7"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1AE31338"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20FA0125"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2BB8284"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Digital Resilience (DR)</w:t>
            </w:r>
          </w:p>
        </w:tc>
        <w:tc>
          <w:tcPr>
            <w:tcW w:w="0" w:type="auto"/>
            <w:shd w:val="clear" w:color="auto" w:fill="auto"/>
            <w:hideMark/>
          </w:tcPr>
          <w:p w14:paraId="6E8AAE62"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5950DACA"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0.884</w:t>
            </w:r>
          </w:p>
        </w:tc>
        <w:tc>
          <w:tcPr>
            <w:tcW w:w="0" w:type="auto"/>
            <w:shd w:val="clear" w:color="auto" w:fill="auto"/>
            <w:hideMark/>
          </w:tcPr>
          <w:p w14:paraId="0DE66B9A"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0.886</w:t>
            </w:r>
          </w:p>
        </w:tc>
        <w:tc>
          <w:tcPr>
            <w:tcW w:w="0" w:type="auto"/>
            <w:shd w:val="clear" w:color="auto" w:fill="auto"/>
            <w:hideMark/>
          </w:tcPr>
          <w:p w14:paraId="5BBA9BDB"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0.618</w:t>
            </w:r>
          </w:p>
        </w:tc>
      </w:tr>
      <w:tr w:rsidR="002A247D" w:rsidRPr="00990FEB" w14:paraId="23F8EA1C"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320AA117"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DR1</w:t>
            </w:r>
          </w:p>
        </w:tc>
        <w:tc>
          <w:tcPr>
            <w:tcW w:w="0" w:type="auto"/>
            <w:hideMark/>
          </w:tcPr>
          <w:p w14:paraId="5CD2AF1E"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0.984</w:t>
            </w:r>
          </w:p>
        </w:tc>
        <w:tc>
          <w:tcPr>
            <w:tcW w:w="0" w:type="auto"/>
            <w:hideMark/>
          </w:tcPr>
          <w:p w14:paraId="199501D8"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04747D2F"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03F33305"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6DF54834"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F39FCDB"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DR2</w:t>
            </w:r>
          </w:p>
        </w:tc>
        <w:tc>
          <w:tcPr>
            <w:tcW w:w="0" w:type="auto"/>
            <w:shd w:val="clear" w:color="auto" w:fill="auto"/>
            <w:hideMark/>
          </w:tcPr>
          <w:p w14:paraId="0EA61861"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0.730</w:t>
            </w:r>
          </w:p>
        </w:tc>
        <w:tc>
          <w:tcPr>
            <w:tcW w:w="0" w:type="auto"/>
            <w:shd w:val="clear" w:color="auto" w:fill="auto"/>
            <w:hideMark/>
          </w:tcPr>
          <w:p w14:paraId="15020B45"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0A771B3B"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165C4CA6"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990FEB" w14:paraId="123DF514"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75DFF32A"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DR3</w:t>
            </w:r>
          </w:p>
        </w:tc>
        <w:tc>
          <w:tcPr>
            <w:tcW w:w="0" w:type="auto"/>
            <w:hideMark/>
          </w:tcPr>
          <w:p w14:paraId="2B809143"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0.729</w:t>
            </w:r>
          </w:p>
        </w:tc>
        <w:tc>
          <w:tcPr>
            <w:tcW w:w="0" w:type="auto"/>
            <w:hideMark/>
          </w:tcPr>
          <w:p w14:paraId="7E518CAE"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198EEB25"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1ADFAEB4"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563AF575"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DEFB0E4"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DR4</w:t>
            </w:r>
          </w:p>
        </w:tc>
        <w:tc>
          <w:tcPr>
            <w:tcW w:w="0" w:type="auto"/>
            <w:shd w:val="clear" w:color="auto" w:fill="auto"/>
            <w:hideMark/>
          </w:tcPr>
          <w:p w14:paraId="1F62169D"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0.741</w:t>
            </w:r>
          </w:p>
        </w:tc>
        <w:tc>
          <w:tcPr>
            <w:tcW w:w="0" w:type="auto"/>
            <w:shd w:val="clear" w:color="auto" w:fill="auto"/>
            <w:hideMark/>
          </w:tcPr>
          <w:p w14:paraId="110A3B36"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508E469B"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7D3786CA"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990FEB" w14:paraId="05B9DFA6"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2EE76FEF"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DR5</w:t>
            </w:r>
          </w:p>
        </w:tc>
        <w:tc>
          <w:tcPr>
            <w:tcW w:w="0" w:type="auto"/>
            <w:hideMark/>
          </w:tcPr>
          <w:p w14:paraId="7FBDE2E9"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0.712</w:t>
            </w:r>
          </w:p>
        </w:tc>
        <w:tc>
          <w:tcPr>
            <w:tcW w:w="0" w:type="auto"/>
            <w:hideMark/>
          </w:tcPr>
          <w:p w14:paraId="32B7029A"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31EB8E76"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34C50768"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2A0A7A2C"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6C5A5FE"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Faculty Sustainable Performance (FSP)</w:t>
            </w:r>
          </w:p>
        </w:tc>
        <w:tc>
          <w:tcPr>
            <w:tcW w:w="0" w:type="auto"/>
            <w:shd w:val="clear" w:color="auto" w:fill="auto"/>
            <w:hideMark/>
          </w:tcPr>
          <w:p w14:paraId="277DCE14"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20578FB6"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0.877</w:t>
            </w:r>
          </w:p>
        </w:tc>
        <w:tc>
          <w:tcPr>
            <w:tcW w:w="0" w:type="auto"/>
            <w:shd w:val="clear" w:color="auto" w:fill="auto"/>
            <w:hideMark/>
          </w:tcPr>
          <w:p w14:paraId="5A3106AB"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0.871</w:t>
            </w:r>
          </w:p>
        </w:tc>
        <w:tc>
          <w:tcPr>
            <w:tcW w:w="0" w:type="auto"/>
            <w:shd w:val="clear" w:color="auto" w:fill="auto"/>
            <w:hideMark/>
          </w:tcPr>
          <w:p w14:paraId="25D9A7E3"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0.584</w:t>
            </w:r>
          </w:p>
        </w:tc>
      </w:tr>
      <w:tr w:rsidR="002A247D" w:rsidRPr="00990FEB" w14:paraId="38DC81DE"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6EFDA121"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FSP1</w:t>
            </w:r>
          </w:p>
        </w:tc>
        <w:tc>
          <w:tcPr>
            <w:tcW w:w="0" w:type="auto"/>
            <w:hideMark/>
          </w:tcPr>
          <w:p w14:paraId="131B6335"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0.726</w:t>
            </w:r>
          </w:p>
        </w:tc>
        <w:tc>
          <w:tcPr>
            <w:tcW w:w="0" w:type="auto"/>
            <w:hideMark/>
          </w:tcPr>
          <w:p w14:paraId="1CB9913E"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1605B8B7"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748BF901"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622A9EB9"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E6EE7B4"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FSP2</w:t>
            </w:r>
          </w:p>
        </w:tc>
        <w:tc>
          <w:tcPr>
            <w:tcW w:w="0" w:type="auto"/>
            <w:shd w:val="clear" w:color="auto" w:fill="auto"/>
            <w:hideMark/>
          </w:tcPr>
          <w:p w14:paraId="7FBBDE38"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0.722</w:t>
            </w:r>
          </w:p>
        </w:tc>
        <w:tc>
          <w:tcPr>
            <w:tcW w:w="0" w:type="auto"/>
            <w:shd w:val="clear" w:color="auto" w:fill="auto"/>
            <w:hideMark/>
          </w:tcPr>
          <w:p w14:paraId="65491808"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402BD754"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6CF084FC"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990FEB" w14:paraId="0FA4F335"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1817FDB2"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FSP3</w:t>
            </w:r>
          </w:p>
        </w:tc>
        <w:tc>
          <w:tcPr>
            <w:tcW w:w="0" w:type="auto"/>
            <w:hideMark/>
          </w:tcPr>
          <w:p w14:paraId="6B6C4B03"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0.781</w:t>
            </w:r>
          </w:p>
        </w:tc>
        <w:tc>
          <w:tcPr>
            <w:tcW w:w="0" w:type="auto"/>
            <w:hideMark/>
          </w:tcPr>
          <w:p w14:paraId="34869885"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2A95E57C"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53917E3E" w14:textId="77777777" w:rsidR="00DF436C" w:rsidRPr="00990FEB"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r w:rsidR="002A247D" w:rsidRPr="00990FEB" w14:paraId="4B3B0D8E" w14:textId="77777777" w:rsidTr="00990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612F432"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FSP4</w:t>
            </w:r>
          </w:p>
        </w:tc>
        <w:tc>
          <w:tcPr>
            <w:tcW w:w="0" w:type="auto"/>
            <w:shd w:val="clear" w:color="auto" w:fill="auto"/>
            <w:hideMark/>
          </w:tcPr>
          <w:p w14:paraId="602F07FD"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990FEB">
              <w:rPr>
                <w:color w:val="auto"/>
                <w:sz w:val="20"/>
                <w:szCs w:val="20"/>
              </w:rPr>
              <w:t>0.779</w:t>
            </w:r>
          </w:p>
        </w:tc>
        <w:tc>
          <w:tcPr>
            <w:tcW w:w="0" w:type="auto"/>
            <w:shd w:val="clear" w:color="auto" w:fill="auto"/>
            <w:hideMark/>
          </w:tcPr>
          <w:p w14:paraId="07526F59"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0086552B"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0" w:type="auto"/>
            <w:shd w:val="clear" w:color="auto" w:fill="auto"/>
            <w:hideMark/>
          </w:tcPr>
          <w:p w14:paraId="3C7E1010" w14:textId="77777777" w:rsidR="00DF436C" w:rsidRPr="00990FEB" w:rsidRDefault="00DF436C" w:rsidP="00DF436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A247D" w:rsidRPr="002A247D" w14:paraId="05EB37FE" w14:textId="77777777" w:rsidTr="00990FEB">
        <w:tc>
          <w:tcPr>
            <w:cnfStyle w:val="001000000000" w:firstRow="0" w:lastRow="0" w:firstColumn="1" w:lastColumn="0" w:oddVBand="0" w:evenVBand="0" w:oddHBand="0" w:evenHBand="0" w:firstRowFirstColumn="0" w:firstRowLastColumn="0" w:lastRowFirstColumn="0" w:lastRowLastColumn="0"/>
            <w:tcW w:w="0" w:type="auto"/>
            <w:hideMark/>
          </w:tcPr>
          <w:p w14:paraId="3383DA6D" w14:textId="77777777" w:rsidR="00DF436C" w:rsidRPr="00990FEB" w:rsidRDefault="00DF436C" w:rsidP="00DF436C">
            <w:pPr>
              <w:spacing w:before="40" w:after="40"/>
              <w:rPr>
                <w:b w:val="0"/>
                <w:bCs w:val="0"/>
                <w:color w:val="auto"/>
                <w:sz w:val="20"/>
                <w:szCs w:val="20"/>
              </w:rPr>
            </w:pPr>
            <w:r w:rsidRPr="00990FEB">
              <w:rPr>
                <w:b w:val="0"/>
                <w:bCs w:val="0"/>
                <w:color w:val="auto"/>
                <w:sz w:val="20"/>
                <w:szCs w:val="20"/>
              </w:rPr>
              <w:t>FSP5</w:t>
            </w:r>
          </w:p>
        </w:tc>
        <w:tc>
          <w:tcPr>
            <w:tcW w:w="0" w:type="auto"/>
            <w:hideMark/>
          </w:tcPr>
          <w:p w14:paraId="645F5945" w14:textId="77777777" w:rsidR="00DF436C" w:rsidRPr="00DF436C"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990FEB">
              <w:rPr>
                <w:color w:val="auto"/>
                <w:sz w:val="20"/>
                <w:szCs w:val="20"/>
              </w:rPr>
              <w:t>0.809</w:t>
            </w:r>
          </w:p>
        </w:tc>
        <w:tc>
          <w:tcPr>
            <w:tcW w:w="0" w:type="auto"/>
            <w:hideMark/>
          </w:tcPr>
          <w:p w14:paraId="38F08575" w14:textId="77777777" w:rsidR="00DF436C" w:rsidRPr="00DF436C"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7E3CA7BA" w14:textId="77777777" w:rsidR="00DF436C" w:rsidRPr="00DF436C"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c>
          <w:tcPr>
            <w:tcW w:w="0" w:type="auto"/>
            <w:hideMark/>
          </w:tcPr>
          <w:p w14:paraId="77FB7CAF" w14:textId="77777777" w:rsidR="00DF436C" w:rsidRPr="00DF436C" w:rsidRDefault="00DF436C" w:rsidP="00DF436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p>
        </w:tc>
      </w:tr>
    </w:tbl>
    <w:p w14:paraId="2BCFCCD6" w14:textId="77777777" w:rsidR="00DF436C" w:rsidRPr="00DF436C" w:rsidRDefault="00DF436C" w:rsidP="00DF436C">
      <w:pPr>
        <w:spacing w:before="80" w:after="80"/>
        <w:rPr>
          <w:i/>
          <w:iCs/>
          <w:sz w:val="20"/>
          <w:szCs w:val="20"/>
        </w:rPr>
      </w:pPr>
      <w:r w:rsidRPr="00DF436C">
        <w:rPr>
          <w:b/>
          <w:bCs/>
          <w:i/>
          <w:iCs/>
          <w:sz w:val="20"/>
          <w:szCs w:val="20"/>
        </w:rPr>
        <w:t>Note.</w:t>
      </w:r>
      <w:r w:rsidRPr="00DF436C">
        <w:rPr>
          <w:i/>
          <w:iCs/>
          <w:sz w:val="20"/>
          <w:szCs w:val="20"/>
        </w:rPr>
        <w:t xml:space="preserve"> All factor loadings are statistically significant at p &lt; 0.001. α = Cronbach's alpha; CR = composite reliability; AVE = average variance extracted. Fornell-Larcker discriminant validity matrix is available in the supplemental materials.</w:t>
      </w:r>
    </w:p>
    <w:p w14:paraId="098214D7" w14:textId="555D17EE" w:rsidR="000F5A88" w:rsidRPr="002A247D" w:rsidRDefault="00000000" w:rsidP="005E447A">
      <w:pPr>
        <w:pStyle w:val="Heading2"/>
        <w:spacing w:before="120" w:after="120"/>
      </w:pPr>
      <w:r w:rsidRPr="002A247D">
        <w:rPr>
          <w:sz w:val="26"/>
          <w:szCs w:val="26"/>
        </w:rPr>
        <w:t>4.4 Structural Models</w:t>
      </w:r>
    </w:p>
    <w:p w14:paraId="0C600938" w14:textId="77777777" w:rsidR="00B27CF7" w:rsidRPr="00B27CF7" w:rsidRDefault="00B27CF7" w:rsidP="00B27CF7">
      <w:pPr>
        <w:spacing w:line="480" w:lineRule="auto"/>
      </w:pPr>
      <w:r w:rsidRPr="00B27CF7">
        <w:t>Factor scores extracted from the CFA using the Bartlett method were mean-centered prior to structural analysis. Three nested ordinary least squares regression models with HC3 standard errors were estimated within the MNLFA framework.</w:t>
      </w:r>
    </w:p>
    <w:p w14:paraId="5B4E63A3" w14:textId="3CADEF85" w:rsidR="00B27CF7" w:rsidRPr="00B27CF7" w:rsidRDefault="00B27CF7" w:rsidP="00B27CF7">
      <w:pPr>
        <w:spacing w:line="480" w:lineRule="auto"/>
      </w:pPr>
      <w:r w:rsidRPr="00B27CF7">
        <w:rPr>
          <w:b/>
          <w:bCs/>
        </w:rPr>
        <w:t>Model A (linear baseline)</w:t>
      </w:r>
      <w:r w:rsidRPr="00B27CF7">
        <w:t xml:space="preserve"> accounted for 72.6% of the variance in FSP (Adj. </w:t>
      </w:r>
      <w:r w:rsidRPr="00B27CF7">
        <w:rPr>
          <w:i/>
          <w:iCs/>
        </w:rPr>
        <w:t>R</w:t>
      </w:r>
      <w:r w:rsidRPr="00B27CF7">
        <w:t xml:space="preserve">² = 0.724, </w:t>
      </w:r>
      <w:r w:rsidRPr="00B27CF7">
        <w:rPr>
          <w:i/>
          <w:iCs/>
        </w:rPr>
        <w:t>N</w:t>
      </w:r>
      <w:r w:rsidRPr="00B27CF7">
        <w:t xml:space="preserve"> = 522). AIP exerted a significant negative linear effect (</w:t>
      </w:r>
      <w:r w:rsidRPr="00B27CF7">
        <w:rPr>
          <w:i/>
          <w:iCs/>
        </w:rPr>
        <w:t>b</w:t>
      </w:r>
      <w:r w:rsidRPr="00B27CF7">
        <w:t xml:space="preserve"> = −0.337, </w:t>
      </w:r>
      <w:r w:rsidRPr="00B27CF7">
        <w:rPr>
          <w:i/>
          <w:iCs/>
        </w:rPr>
        <w:t>p</w:t>
      </w:r>
      <w:r w:rsidRPr="00B27CF7">
        <w:t xml:space="preserve"> &lt; 0.001), PA a significant positive linear effect (</w:t>
      </w:r>
      <w:r w:rsidRPr="00B27CF7">
        <w:rPr>
          <w:i/>
          <w:iCs/>
        </w:rPr>
        <w:t>b</w:t>
      </w:r>
      <w:r w:rsidRPr="00B27CF7">
        <w:t xml:space="preserve"> = +0.296, </w:t>
      </w:r>
      <w:r w:rsidRPr="00B27CF7">
        <w:rPr>
          <w:i/>
          <w:iCs/>
        </w:rPr>
        <w:t>p</w:t>
      </w:r>
      <w:r w:rsidRPr="00B27CF7">
        <w:t xml:space="preserve"> &lt; 0.001), and </w:t>
      </w:r>
      <w:r w:rsidR="00C35CF8" w:rsidRPr="00C35CF8">
        <w:t>DR a significant positive direct effect</w:t>
      </w:r>
      <w:r w:rsidRPr="00B27CF7">
        <w:t xml:space="preserve"> (</w:t>
      </w:r>
      <w:r w:rsidRPr="00B27CF7">
        <w:rPr>
          <w:i/>
          <w:iCs/>
        </w:rPr>
        <w:t>b</w:t>
      </w:r>
      <w:r w:rsidRPr="00B27CF7">
        <w:t xml:space="preserve"> = +0.371, </w:t>
      </w:r>
      <w:r w:rsidRPr="00B27CF7">
        <w:rPr>
          <w:i/>
          <w:iCs/>
        </w:rPr>
        <w:t>p</w:t>
      </w:r>
      <w:r w:rsidRPr="00B27CF7">
        <w:t xml:space="preserve"> &lt; 0.001), </w:t>
      </w:r>
      <w:r w:rsidR="00C35CF8" w:rsidRPr="00C35CF8">
        <w:t>consistent with H5</w:t>
      </w:r>
      <w:r w:rsidRPr="00B27CF7">
        <w:t>.</w:t>
      </w:r>
    </w:p>
    <w:p w14:paraId="695155B1" w14:textId="77777777" w:rsidR="00B27CF7" w:rsidRPr="00B27CF7" w:rsidRDefault="00B27CF7" w:rsidP="00B27CF7">
      <w:pPr>
        <w:spacing w:line="480" w:lineRule="auto"/>
      </w:pPr>
      <w:r w:rsidRPr="00B27CF7">
        <w:rPr>
          <w:b/>
          <w:bCs/>
        </w:rPr>
        <w:t>Model B (quadratic main effects)</w:t>
      </w:r>
      <w:r w:rsidRPr="00B27CF7">
        <w:t xml:space="preserve"> introduced the squared terms for AIP and PA to test H1 and H2. Neither quadratic term reached statistical significance (AIP²: </w:t>
      </w:r>
      <w:r w:rsidRPr="00B27CF7">
        <w:rPr>
          <w:i/>
          <w:iCs/>
        </w:rPr>
        <w:t>b</w:t>
      </w:r>
      <w:r w:rsidRPr="00B27CF7">
        <w:t xml:space="preserve"> = −0.009, </w:t>
      </w:r>
      <w:r w:rsidRPr="00B27CF7">
        <w:rPr>
          <w:i/>
          <w:iCs/>
        </w:rPr>
        <w:t>p</w:t>
      </w:r>
      <w:r w:rsidRPr="00B27CF7">
        <w:t xml:space="preserve"> = 0.603; PA²: </w:t>
      </w:r>
      <w:r w:rsidRPr="00B27CF7">
        <w:rPr>
          <w:i/>
          <w:iCs/>
        </w:rPr>
        <w:t>b</w:t>
      </w:r>
      <w:r w:rsidRPr="00B27CF7">
        <w:t xml:space="preserve"> = +0.017, </w:t>
      </w:r>
      <w:r w:rsidRPr="00B27CF7">
        <w:rPr>
          <w:i/>
          <w:iCs/>
        </w:rPr>
        <w:t>p</w:t>
      </w:r>
      <w:r w:rsidRPr="00B27CF7">
        <w:t xml:space="preserve"> = 0.327). The inclusion of these terms did not significantly improve model fit relative to Model A (Δ</w:t>
      </w:r>
      <w:r w:rsidRPr="00B27CF7">
        <w:rPr>
          <w:i/>
          <w:iCs/>
        </w:rPr>
        <w:t>R</w:t>
      </w:r>
      <w:r w:rsidRPr="00B27CF7">
        <w:t xml:space="preserve">² = 0.001, </w:t>
      </w:r>
      <w:r w:rsidRPr="00B27CF7">
        <w:rPr>
          <w:i/>
          <w:iCs/>
        </w:rPr>
        <w:t>F</w:t>
      </w:r>
      <w:r w:rsidRPr="00B27CF7">
        <w:t xml:space="preserve">(2, 516) = 0.602, </w:t>
      </w:r>
      <w:r w:rsidRPr="00B27CF7">
        <w:rPr>
          <w:i/>
          <w:iCs/>
        </w:rPr>
        <w:t>p</w:t>
      </w:r>
      <w:r w:rsidRPr="00B27CF7">
        <w:t xml:space="preserve"> = 0.548). Thus, H1 and H2 were not supported in the absence of the moderator.</w:t>
      </w:r>
    </w:p>
    <w:p w14:paraId="705157FE" w14:textId="77777777" w:rsidR="00B27CF7" w:rsidRPr="00B27CF7" w:rsidRDefault="00B27CF7" w:rsidP="00B27CF7">
      <w:pPr>
        <w:spacing w:line="480" w:lineRule="auto"/>
      </w:pPr>
      <w:r w:rsidRPr="00B27CF7">
        <w:rPr>
          <w:b/>
          <w:bCs/>
        </w:rPr>
        <w:lastRenderedPageBreak/>
        <w:t>Model C (full moderated nonlinear model)</w:t>
      </w:r>
      <w:r w:rsidRPr="00B27CF7">
        <w:t xml:space="preserve"> added four interaction terms (AIP × DR, AIP² × DR, PA × DR, and PA² × DR). This model accounted for 74.1% of the variance in FSP (Adj. </w:t>
      </w:r>
      <w:r w:rsidRPr="00B27CF7">
        <w:rPr>
          <w:i/>
          <w:iCs/>
        </w:rPr>
        <w:t>R</w:t>
      </w:r>
      <w:r w:rsidRPr="00B27CF7">
        <w:t>² = 0.736) and yielded a statistically significant improvement over Model B (Δ</w:t>
      </w:r>
      <w:r w:rsidRPr="00B27CF7">
        <w:rPr>
          <w:i/>
          <w:iCs/>
        </w:rPr>
        <w:t>R</w:t>
      </w:r>
      <w:r w:rsidRPr="00B27CF7">
        <w:t xml:space="preserve">² = 0.015, </w:t>
      </w:r>
      <w:r w:rsidRPr="00B27CF7">
        <w:rPr>
          <w:i/>
          <w:iCs/>
        </w:rPr>
        <w:t>F</w:t>
      </w:r>
      <w:r w:rsidRPr="00B27CF7">
        <w:t xml:space="preserve">(4, 512) = 7.171, </w:t>
      </w:r>
      <w:r w:rsidRPr="00B27CF7">
        <w:rPr>
          <w:i/>
          <w:iCs/>
        </w:rPr>
        <w:t>p</w:t>
      </w:r>
      <w:r w:rsidRPr="00B27CF7">
        <w:t xml:space="preserve"> &lt; 0.001). A summary of model fit progression is presented in Table 3. Complete structural coefficients for Model C are presented in Table 4.</w:t>
      </w:r>
    </w:p>
    <w:p w14:paraId="7BA98C4D" w14:textId="70803DCE" w:rsidR="00B27CF7" w:rsidRPr="00B27CF7" w:rsidRDefault="00B27CF7" w:rsidP="00B27CF7">
      <w:pPr>
        <w:spacing w:line="480" w:lineRule="auto"/>
      </w:pPr>
      <w:r w:rsidRPr="00B27CF7">
        <w:t>H3 was supported: the AIP² × DR interaction was statistically significant and negative (</w:t>
      </w:r>
      <w:r w:rsidRPr="00B27CF7">
        <w:rPr>
          <w:i/>
          <w:iCs/>
        </w:rPr>
        <w:t>b</w:t>
      </w:r>
      <w:r w:rsidRPr="00B27CF7">
        <w:t xml:space="preserve"> = −0.060, β = −0.139, </w:t>
      </w:r>
      <w:r w:rsidRPr="00B27CF7">
        <w:rPr>
          <w:i/>
          <w:iCs/>
        </w:rPr>
        <w:t>p</w:t>
      </w:r>
      <w:r w:rsidRPr="00B27CF7">
        <w:t xml:space="preserve"> &lt; 0.001, HC3 SE = 0.013). As DR increases, the effective quadratic coefficient of the AIP–FSP relationship changes sign — from positive (U-shaped) at low and medium DR levels to negative (inverted-U) at high DR. Conditional inflection points are reported in Table 5. </w:t>
      </w:r>
      <w:r w:rsidR="00E10FE5" w:rsidRPr="002A247D">
        <w:t>The moderated nonlinear effects for both AIP and PA across DR levels are illustrated in Figure 1 (Panels A and B, respectively).</w:t>
      </w:r>
    </w:p>
    <w:p w14:paraId="32786EDE" w14:textId="77777777" w:rsidR="00B27CF7" w:rsidRPr="00B27CF7" w:rsidRDefault="00B27CF7" w:rsidP="00B27CF7">
      <w:pPr>
        <w:spacing w:line="480" w:lineRule="auto"/>
      </w:pPr>
      <w:r w:rsidRPr="00B27CF7">
        <w:t>H4 was supported: the PA² × DR interaction was statistically significant and negative (</w:t>
      </w:r>
      <w:r w:rsidRPr="00B27CF7">
        <w:rPr>
          <w:i/>
          <w:iCs/>
        </w:rPr>
        <w:t>b</w:t>
      </w:r>
      <w:r w:rsidRPr="00B27CF7">
        <w:t xml:space="preserve"> = −0.045, β = −0.106, </w:t>
      </w:r>
      <w:r w:rsidRPr="00B27CF7">
        <w:rPr>
          <w:i/>
          <w:iCs/>
        </w:rPr>
        <w:t>p</w:t>
      </w:r>
      <w:r w:rsidRPr="00B27CF7">
        <w:t xml:space="preserve"> &lt; 0.001, HC3 SE = 0.013). As DR increases, the effective quadratic coefficient of the PA–FSP relationship similarly changes sign — from positive (convex) at low and medium DR levels to negative (concave) at high DR, consistent with the predicted diminishing returns pattern at high resilience levels.</w:t>
      </w:r>
    </w:p>
    <w:p w14:paraId="51420F18" w14:textId="77777777" w:rsidR="00B27CF7" w:rsidRPr="00B27CF7" w:rsidRDefault="00B27CF7" w:rsidP="00B27CF7">
      <w:pPr>
        <w:spacing w:line="480" w:lineRule="auto"/>
      </w:pPr>
      <w:r w:rsidRPr="00B27CF7">
        <w:t>H5 was strongly supported: DR exerted the strongest direct positive effect on FSP in the full model (</w:t>
      </w:r>
      <w:r w:rsidRPr="00B27CF7">
        <w:rPr>
          <w:i/>
          <w:iCs/>
        </w:rPr>
        <w:t>b</w:t>
      </w:r>
      <w:r w:rsidRPr="00B27CF7">
        <w:t xml:space="preserve"> = +0.521, β = +0.572, </w:t>
      </w:r>
      <w:r w:rsidRPr="00B27CF7">
        <w:rPr>
          <w:i/>
          <w:iCs/>
        </w:rPr>
        <w:t>p</w:t>
      </w:r>
      <w:r w:rsidRPr="00B27CF7">
        <w:t xml:space="preserve"> &lt; 0.001), emerging as the dominant performance resource in this AI-intensive context.</w:t>
      </w:r>
    </w:p>
    <w:p w14:paraId="224C23E5" w14:textId="77777777" w:rsidR="00B27CF7" w:rsidRPr="00B27CF7" w:rsidRDefault="00B27CF7" w:rsidP="00B27CF7">
      <w:pPr>
        <w:spacing w:before="240" w:line="480" w:lineRule="auto"/>
      </w:pPr>
      <w:r w:rsidRPr="00B27CF7">
        <w:rPr>
          <w:b/>
          <w:bCs/>
        </w:rPr>
        <w:t>Table 3</w:t>
      </w:r>
    </w:p>
    <w:p w14:paraId="5E09BB84" w14:textId="77777777" w:rsidR="00B27CF7" w:rsidRPr="00B27CF7" w:rsidRDefault="00B27CF7" w:rsidP="00B27CF7">
      <w:pPr>
        <w:spacing w:before="240" w:line="480" w:lineRule="auto"/>
      </w:pPr>
      <w:r w:rsidRPr="00B27CF7">
        <w:rPr>
          <w:i/>
          <w:iCs/>
        </w:rPr>
        <w:t>Model Fit Progression</w:t>
      </w:r>
    </w:p>
    <w:tbl>
      <w:tblPr>
        <w:tblStyle w:val="ListTable6Colorful"/>
        <w:tblW w:w="0" w:type="auto"/>
        <w:tblLook w:val="04A0" w:firstRow="1" w:lastRow="0" w:firstColumn="1" w:lastColumn="0" w:noHBand="0" w:noVBand="1"/>
      </w:tblPr>
      <w:tblGrid>
        <w:gridCol w:w="3049"/>
        <w:gridCol w:w="666"/>
        <w:gridCol w:w="832"/>
        <w:gridCol w:w="666"/>
        <w:gridCol w:w="1635"/>
        <w:gridCol w:w="779"/>
      </w:tblGrid>
      <w:tr w:rsidR="002A247D" w:rsidRPr="00D72624" w14:paraId="224D677B" w14:textId="77777777" w:rsidTr="00D726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BA10D" w14:textId="77777777" w:rsidR="00B27CF7" w:rsidRPr="00D72624" w:rsidRDefault="00B27CF7" w:rsidP="00B27CF7">
            <w:pPr>
              <w:spacing w:before="40" w:after="40"/>
              <w:rPr>
                <w:color w:val="auto"/>
                <w:sz w:val="20"/>
                <w:szCs w:val="20"/>
              </w:rPr>
            </w:pPr>
            <w:r w:rsidRPr="00D72624">
              <w:rPr>
                <w:color w:val="auto"/>
                <w:sz w:val="20"/>
                <w:szCs w:val="20"/>
              </w:rPr>
              <w:t>Model</w:t>
            </w:r>
          </w:p>
        </w:tc>
        <w:tc>
          <w:tcPr>
            <w:tcW w:w="0" w:type="auto"/>
            <w:hideMark/>
          </w:tcPr>
          <w:p w14:paraId="5A0E515A" w14:textId="77777777" w:rsidR="00B27CF7" w:rsidRPr="00D72624" w:rsidRDefault="00B27CF7" w:rsidP="00B27CF7">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D72624">
              <w:rPr>
                <w:i/>
                <w:iCs/>
                <w:color w:val="auto"/>
                <w:sz w:val="20"/>
                <w:szCs w:val="20"/>
              </w:rPr>
              <w:t>R²</w:t>
            </w:r>
          </w:p>
        </w:tc>
        <w:tc>
          <w:tcPr>
            <w:tcW w:w="0" w:type="auto"/>
            <w:hideMark/>
          </w:tcPr>
          <w:p w14:paraId="7253DD88" w14:textId="77777777" w:rsidR="00B27CF7" w:rsidRPr="00D72624" w:rsidRDefault="00B27CF7" w:rsidP="00B27CF7">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D72624">
              <w:rPr>
                <w:color w:val="auto"/>
                <w:sz w:val="20"/>
                <w:szCs w:val="20"/>
              </w:rPr>
              <w:t xml:space="preserve">Adj. </w:t>
            </w:r>
            <w:r w:rsidRPr="00D72624">
              <w:rPr>
                <w:i/>
                <w:iCs/>
                <w:color w:val="auto"/>
                <w:sz w:val="20"/>
                <w:szCs w:val="20"/>
              </w:rPr>
              <w:t>R²</w:t>
            </w:r>
          </w:p>
        </w:tc>
        <w:tc>
          <w:tcPr>
            <w:tcW w:w="0" w:type="auto"/>
            <w:hideMark/>
          </w:tcPr>
          <w:p w14:paraId="1666A391" w14:textId="77777777" w:rsidR="00B27CF7" w:rsidRPr="00D72624" w:rsidRDefault="00B27CF7" w:rsidP="00B27CF7">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D72624">
              <w:rPr>
                <w:i/>
                <w:iCs/>
                <w:color w:val="auto"/>
                <w:sz w:val="20"/>
                <w:szCs w:val="20"/>
              </w:rPr>
              <w:t>ΔR²</w:t>
            </w:r>
          </w:p>
        </w:tc>
        <w:tc>
          <w:tcPr>
            <w:tcW w:w="0" w:type="auto"/>
            <w:hideMark/>
          </w:tcPr>
          <w:p w14:paraId="7A9DC092" w14:textId="77777777" w:rsidR="00B27CF7" w:rsidRPr="00D72624" w:rsidRDefault="00B27CF7" w:rsidP="00B27CF7">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D72624">
              <w:rPr>
                <w:i/>
                <w:iCs/>
                <w:color w:val="auto"/>
                <w:sz w:val="20"/>
                <w:szCs w:val="20"/>
              </w:rPr>
              <w:t>F</w:t>
            </w:r>
            <w:r w:rsidRPr="00D72624">
              <w:rPr>
                <w:color w:val="auto"/>
                <w:sz w:val="20"/>
                <w:szCs w:val="20"/>
              </w:rPr>
              <w:t>-test for Δ</w:t>
            </w:r>
            <w:r w:rsidRPr="00D72624">
              <w:rPr>
                <w:i/>
                <w:iCs/>
                <w:color w:val="auto"/>
                <w:sz w:val="20"/>
                <w:szCs w:val="20"/>
              </w:rPr>
              <w:t>R²</w:t>
            </w:r>
          </w:p>
        </w:tc>
        <w:tc>
          <w:tcPr>
            <w:tcW w:w="0" w:type="auto"/>
            <w:hideMark/>
          </w:tcPr>
          <w:p w14:paraId="10F1AB82" w14:textId="77777777" w:rsidR="00B27CF7" w:rsidRPr="00D72624" w:rsidRDefault="00B27CF7" w:rsidP="00B27CF7">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D72624">
              <w:rPr>
                <w:i/>
                <w:iCs/>
                <w:color w:val="auto"/>
                <w:sz w:val="20"/>
                <w:szCs w:val="20"/>
              </w:rPr>
              <w:t>p</w:t>
            </w:r>
          </w:p>
        </w:tc>
      </w:tr>
      <w:tr w:rsidR="002A247D" w:rsidRPr="00D72624" w14:paraId="4EC37327" w14:textId="77777777" w:rsidTr="00D72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E879794" w14:textId="77777777" w:rsidR="00B27CF7" w:rsidRPr="00D72624" w:rsidRDefault="00B27CF7" w:rsidP="00B27CF7">
            <w:pPr>
              <w:spacing w:before="40" w:after="40"/>
              <w:rPr>
                <w:b w:val="0"/>
                <w:bCs w:val="0"/>
                <w:color w:val="auto"/>
                <w:sz w:val="20"/>
                <w:szCs w:val="20"/>
              </w:rPr>
            </w:pPr>
            <w:r w:rsidRPr="00D72624">
              <w:rPr>
                <w:b w:val="0"/>
                <w:bCs w:val="0"/>
                <w:color w:val="auto"/>
                <w:sz w:val="20"/>
                <w:szCs w:val="20"/>
              </w:rPr>
              <w:t>Model A: Linear baseline</w:t>
            </w:r>
          </w:p>
        </w:tc>
        <w:tc>
          <w:tcPr>
            <w:tcW w:w="0" w:type="auto"/>
            <w:shd w:val="clear" w:color="auto" w:fill="auto"/>
            <w:hideMark/>
          </w:tcPr>
          <w:p w14:paraId="02CEBD98"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0.726</w:t>
            </w:r>
          </w:p>
        </w:tc>
        <w:tc>
          <w:tcPr>
            <w:tcW w:w="0" w:type="auto"/>
            <w:shd w:val="clear" w:color="auto" w:fill="auto"/>
            <w:hideMark/>
          </w:tcPr>
          <w:p w14:paraId="504C25DE"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0.724</w:t>
            </w:r>
          </w:p>
        </w:tc>
        <w:tc>
          <w:tcPr>
            <w:tcW w:w="0" w:type="auto"/>
            <w:shd w:val="clear" w:color="auto" w:fill="auto"/>
            <w:hideMark/>
          </w:tcPr>
          <w:p w14:paraId="14559197"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w:t>
            </w:r>
          </w:p>
        </w:tc>
        <w:tc>
          <w:tcPr>
            <w:tcW w:w="0" w:type="auto"/>
            <w:shd w:val="clear" w:color="auto" w:fill="auto"/>
            <w:hideMark/>
          </w:tcPr>
          <w:p w14:paraId="31BF1377"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w:t>
            </w:r>
          </w:p>
        </w:tc>
        <w:tc>
          <w:tcPr>
            <w:tcW w:w="0" w:type="auto"/>
            <w:shd w:val="clear" w:color="auto" w:fill="auto"/>
            <w:hideMark/>
          </w:tcPr>
          <w:p w14:paraId="0A5A8C42"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w:t>
            </w:r>
          </w:p>
        </w:tc>
      </w:tr>
      <w:tr w:rsidR="002A247D" w:rsidRPr="00D72624" w14:paraId="42607DF8" w14:textId="77777777" w:rsidTr="00D72624">
        <w:tc>
          <w:tcPr>
            <w:cnfStyle w:val="001000000000" w:firstRow="0" w:lastRow="0" w:firstColumn="1" w:lastColumn="0" w:oddVBand="0" w:evenVBand="0" w:oddHBand="0" w:evenHBand="0" w:firstRowFirstColumn="0" w:firstRowLastColumn="0" w:lastRowFirstColumn="0" w:lastRowLastColumn="0"/>
            <w:tcW w:w="0" w:type="auto"/>
            <w:hideMark/>
          </w:tcPr>
          <w:p w14:paraId="3B257B55" w14:textId="77777777" w:rsidR="00B27CF7" w:rsidRPr="00D72624" w:rsidRDefault="00B27CF7" w:rsidP="00B27CF7">
            <w:pPr>
              <w:spacing w:before="40" w:after="40"/>
              <w:rPr>
                <w:b w:val="0"/>
                <w:bCs w:val="0"/>
                <w:color w:val="auto"/>
                <w:sz w:val="20"/>
                <w:szCs w:val="20"/>
              </w:rPr>
            </w:pPr>
            <w:r w:rsidRPr="00D72624">
              <w:rPr>
                <w:b w:val="0"/>
                <w:bCs w:val="0"/>
                <w:color w:val="auto"/>
                <w:sz w:val="20"/>
                <w:szCs w:val="20"/>
              </w:rPr>
              <w:lastRenderedPageBreak/>
              <w:t>Model B: Quadratic main effects</w:t>
            </w:r>
          </w:p>
        </w:tc>
        <w:tc>
          <w:tcPr>
            <w:tcW w:w="0" w:type="auto"/>
            <w:hideMark/>
          </w:tcPr>
          <w:p w14:paraId="27F92F64" w14:textId="77777777" w:rsidR="00B27CF7" w:rsidRPr="00D72624" w:rsidRDefault="00B27CF7" w:rsidP="00B27CF7">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D72624">
              <w:rPr>
                <w:color w:val="auto"/>
                <w:sz w:val="20"/>
                <w:szCs w:val="20"/>
              </w:rPr>
              <w:t>0.726</w:t>
            </w:r>
          </w:p>
        </w:tc>
        <w:tc>
          <w:tcPr>
            <w:tcW w:w="0" w:type="auto"/>
            <w:hideMark/>
          </w:tcPr>
          <w:p w14:paraId="1D9BDC0F" w14:textId="77777777" w:rsidR="00B27CF7" w:rsidRPr="00D72624" w:rsidRDefault="00B27CF7" w:rsidP="00B27CF7">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D72624">
              <w:rPr>
                <w:color w:val="auto"/>
                <w:sz w:val="20"/>
                <w:szCs w:val="20"/>
              </w:rPr>
              <w:t>0.724</w:t>
            </w:r>
          </w:p>
        </w:tc>
        <w:tc>
          <w:tcPr>
            <w:tcW w:w="0" w:type="auto"/>
            <w:hideMark/>
          </w:tcPr>
          <w:p w14:paraId="7F55DEEC" w14:textId="77777777" w:rsidR="00B27CF7" w:rsidRPr="00D72624" w:rsidRDefault="00B27CF7" w:rsidP="00B27CF7">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D72624">
              <w:rPr>
                <w:color w:val="auto"/>
                <w:sz w:val="20"/>
                <w:szCs w:val="20"/>
              </w:rPr>
              <w:t>0.001</w:t>
            </w:r>
          </w:p>
        </w:tc>
        <w:tc>
          <w:tcPr>
            <w:tcW w:w="0" w:type="auto"/>
            <w:hideMark/>
          </w:tcPr>
          <w:p w14:paraId="1C55FBC6" w14:textId="77777777" w:rsidR="00B27CF7" w:rsidRPr="00D72624" w:rsidRDefault="00B27CF7" w:rsidP="00B27CF7">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D72624">
              <w:rPr>
                <w:i/>
                <w:iCs/>
                <w:color w:val="auto"/>
                <w:sz w:val="20"/>
                <w:szCs w:val="20"/>
              </w:rPr>
              <w:t>F</w:t>
            </w:r>
            <w:r w:rsidRPr="00D72624">
              <w:rPr>
                <w:color w:val="auto"/>
                <w:sz w:val="20"/>
                <w:szCs w:val="20"/>
              </w:rPr>
              <w:t>(2, 516) = 0.602</w:t>
            </w:r>
          </w:p>
        </w:tc>
        <w:tc>
          <w:tcPr>
            <w:tcW w:w="0" w:type="auto"/>
            <w:hideMark/>
          </w:tcPr>
          <w:p w14:paraId="29A88E1B" w14:textId="77777777" w:rsidR="00B27CF7" w:rsidRPr="00D72624" w:rsidRDefault="00B27CF7" w:rsidP="00B27CF7">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D72624">
              <w:rPr>
                <w:color w:val="auto"/>
                <w:sz w:val="20"/>
                <w:szCs w:val="20"/>
              </w:rPr>
              <w:t>0.548</w:t>
            </w:r>
          </w:p>
        </w:tc>
      </w:tr>
      <w:tr w:rsidR="002A247D" w:rsidRPr="002A247D" w14:paraId="11E87CA4" w14:textId="77777777" w:rsidTr="00D726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ACD7CF9" w14:textId="77777777" w:rsidR="00B27CF7" w:rsidRPr="00D72624" w:rsidRDefault="00B27CF7" w:rsidP="00B27CF7">
            <w:pPr>
              <w:spacing w:before="40" w:after="40"/>
              <w:rPr>
                <w:b w:val="0"/>
                <w:bCs w:val="0"/>
                <w:color w:val="auto"/>
                <w:sz w:val="20"/>
                <w:szCs w:val="20"/>
              </w:rPr>
            </w:pPr>
            <w:r w:rsidRPr="00D72624">
              <w:rPr>
                <w:b w:val="0"/>
                <w:bCs w:val="0"/>
                <w:color w:val="auto"/>
                <w:sz w:val="20"/>
                <w:szCs w:val="20"/>
              </w:rPr>
              <w:t>Model C: Full moderated nonlinear</w:t>
            </w:r>
          </w:p>
        </w:tc>
        <w:tc>
          <w:tcPr>
            <w:tcW w:w="0" w:type="auto"/>
            <w:shd w:val="clear" w:color="auto" w:fill="auto"/>
            <w:hideMark/>
          </w:tcPr>
          <w:p w14:paraId="084002D3"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0.741</w:t>
            </w:r>
          </w:p>
        </w:tc>
        <w:tc>
          <w:tcPr>
            <w:tcW w:w="0" w:type="auto"/>
            <w:shd w:val="clear" w:color="auto" w:fill="auto"/>
            <w:hideMark/>
          </w:tcPr>
          <w:p w14:paraId="1AB90C21"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0.736</w:t>
            </w:r>
          </w:p>
        </w:tc>
        <w:tc>
          <w:tcPr>
            <w:tcW w:w="0" w:type="auto"/>
            <w:shd w:val="clear" w:color="auto" w:fill="auto"/>
            <w:hideMark/>
          </w:tcPr>
          <w:p w14:paraId="48131FA9"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0.015</w:t>
            </w:r>
          </w:p>
        </w:tc>
        <w:tc>
          <w:tcPr>
            <w:tcW w:w="0" w:type="auto"/>
            <w:shd w:val="clear" w:color="auto" w:fill="auto"/>
            <w:hideMark/>
          </w:tcPr>
          <w:p w14:paraId="20B26FC9" w14:textId="77777777" w:rsidR="00B27CF7" w:rsidRPr="00D72624"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i/>
                <w:iCs/>
                <w:color w:val="auto"/>
                <w:sz w:val="20"/>
                <w:szCs w:val="20"/>
              </w:rPr>
              <w:t>F</w:t>
            </w:r>
            <w:r w:rsidRPr="00D72624">
              <w:rPr>
                <w:color w:val="auto"/>
                <w:sz w:val="20"/>
                <w:szCs w:val="20"/>
              </w:rPr>
              <w:t>(4, 512) = 7.171</w:t>
            </w:r>
          </w:p>
        </w:tc>
        <w:tc>
          <w:tcPr>
            <w:tcW w:w="0" w:type="auto"/>
            <w:shd w:val="clear" w:color="auto" w:fill="auto"/>
            <w:hideMark/>
          </w:tcPr>
          <w:p w14:paraId="7877403E" w14:textId="77777777" w:rsidR="00B27CF7" w:rsidRPr="00B27CF7" w:rsidRDefault="00B27CF7" w:rsidP="00B27CF7">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D72624">
              <w:rPr>
                <w:color w:val="auto"/>
                <w:sz w:val="20"/>
                <w:szCs w:val="20"/>
              </w:rPr>
              <w:t>&lt;0.001</w:t>
            </w:r>
          </w:p>
        </w:tc>
      </w:tr>
    </w:tbl>
    <w:p w14:paraId="1F026BA2" w14:textId="77777777" w:rsidR="00B27CF7" w:rsidRPr="00B27CF7" w:rsidRDefault="00B27CF7" w:rsidP="00B27CF7">
      <w:pPr>
        <w:spacing w:before="80" w:after="80"/>
      </w:pPr>
      <w:r w:rsidRPr="00B27CF7">
        <w:rPr>
          <w:b/>
          <w:bCs/>
          <w:i/>
          <w:iCs/>
          <w:sz w:val="20"/>
          <w:szCs w:val="20"/>
        </w:rPr>
        <w:t>Note.</w:t>
      </w:r>
      <w:r w:rsidRPr="00B27CF7">
        <w:rPr>
          <w:sz w:val="20"/>
          <w:szCs w:val="20"/>
        </w:rPr>
        <w:t xml:space="preserve"> </w:t>
      </w:r>
      <w:r w:rsidRPr="00B27CF7">
        <w:rPr>
          <w:i/>
          <w:iCs/>
          <w:sz w:val="20"/>
          <w:szCs w:val="20"/>
        </w:rPr>
        <w:t>N = 522. All models estimated with HC3 heteroskedasticity-consistent standard errors.</w:t>
      </w:r>
    </w:p>
    <w:p w14:paraId="6DA2C500" w14:textId="77777777" w:rsidR="00B27CF7" w:rsidRPr="00B27CF7" w:rsidRDefault="00B27CF7" w:rsidP="00B27CF7">
      <w:pPr>
        <w:spacing w:before="240" w:line="480" w:lineRule="auto"/>
      </w:pPr>
      <w:r w:rsidRPr="00B27CF7">
        <w:rPr>
          <w:b/>
          <w:bCs/>
        </w:rPr>
        <w:t>Table 4</w:t>
      </w:r>
    </w:p>
    <w:p w14:paraId="186C8D62" w14:textId="77777777" w:rsidR="00B27CF7" w:rsidRPr="00B27CF7" w:rsidRDefault="00B27CF7" w:rsidP="00B27CF7">
      <w:pPr>
        <w:spacing w:before="240" w:line="480" w:lineRule="auto"/>
      </w:pPr>
      <w:r w:rsidRPr="00B27CF7">
        <w:rPr>
          <w:i/>
          <w:iCs/>
        </w:rPr>
        <w:t>Structural Coefficients for the Full Moderated Nonlinear Model (Model C)</w:t>
      </w:r>
    </w:p>
    <w:tbl>
      <w:tblPr>
        <w:tblStyle w:val="ListTable6Colorful"/>
        <w:tblW w:w="0" w:type="auto"/>
        <w:tblLook w:val="04A0" w:firstRow="1" w:lastRow="0" w:firstColumn="1" w:lastColumn="0" w:noHBand="0" w:noVBand="1"/>
      </w:tblPr>
      <w:tblGrid>
        <w:gridCol w:w="2160"/>
        <w:gridCol w:w="779"/>
        <w:gridCol w:w="911"/>
        <w:gridCol w:w="779"/>
        <w:gridCol w:w="779"/>
        <w:gridCol w:w="1575"/>
        <w:gridCol w:w="1575"/>
        <w:gridCol w:w="533"/>
      </w:tblGrid>
      <w:tr w:rsidR="002A247D" w:rsidRPr="00F508D0" w14:paraId="24CA5ED3" w14:textId="77777777" w:rsidTr="00F508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8B029" w14:textId="77777777" w:rsidR="00B27CF7" w:rsidRPr="00F508D0" w:rsidRDefault="00B27CF7" w:rsidP="00435533">
            <w:pPr>
              <w:spacing w:before="40" w:after="40"/>
              <w:rPr>
                <w:color w:val="auto"/>
                <w:sz w:val="20"/>
                <w:szCs w:val="20"/>
              </w:rPr>
            </w:pPr>
            <w:r w:rsidRPr="00F508D0">
              <w:rPr>
                <w:color w:val="auto"/>
                <w:sz w:val="20"/>
                <w:szCs w:val="20"/>
              </w:rPr>
              <w:t>Path</w:t>
            </w:r>
          </w:p>
        </w:tc>
        <w:tc>
          <w:tcPr>
            <w:tcW w:w="0" w:type="auto"/>
            <w:hideMark/>
          </w:tcPr>
          <w:p w14:paraId="0C0ADA48" w14:textId="77777777" w:rsidR="00B27CF7" w:rsidRPr="00F508D0" w:rsidRDefault="00B27CF7" w:rsidP="00435533">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F508D0">
              <w:rPr>
                <w:i/>
                <w:iCs/>
                <w:color w:val="auto"/>
                <w:sz w:val="20"/>
                <w:szCs w:val="20"/>
              </w:rPr>
              <w:t>b</w:t>
            </w:r>
          </w:p>
        </w:tc>
        <w:tc>
          <w:tcPr>
            <w:tcW w:w="0" w:type="auto"/>
            <w:hideMark/>
          </w:tcPr>
          <w:p w14:paraId="1764B747" w14:textId="77777777" w:rsidR="00B27CF7" w:rsidRPr="00F508D0" w:rsidRDefault="00B27CF7" w:rsidP="00435533">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HC3 SE</w:t>
            </w:r>
          </w:p>
        </w:tc>
        <w:tc>
          <w:tcPr>
            <w:tcW w:w="0" w:type="auto"/>
            <w:hideMark/>
          </w:tcPr>
          <w:p w14:paraId="0DD7DE56" w14:textId="77777777" w:rsidR="00B27CF7" w:rsidRPr="00F508D0" w:rsidRDefault="00B27CF7" w:rsidP="00435533">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F508D0">
              <w:rPr>
                <w:i/>
                <w:iCs/>
                <w:color w:val="auto"/>
                <w:sz w:val="20"/>
                <w:szCs w:val="20"/>
              </w:rPr>
              <w:t>p</w:t>
            </w:r>
          </w:p>
        </w:tc>
        <w:tc>
          <w:tcPr>
            <w:tcW w:w="0" w:type="auto"/>
            <w:hideMark/>
          </w:tcPr>
          <w:p w14:paraId="2D793DEB" w14:textId="77777777" w:rsidR="00B27CF7" w:rsidRPr="00F508D0" w:rsidRDefault="00B27CF7" w:rsidP="00435533">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F508D0">
              <w:rPr>
                <w:i/>
                <w:iCs/>
                <w:color w:val="auto"/>
                <w:sz w:val="20"/>
                <w:szCs w:val="20"/>
              </w:rPr>
              <w:t>β</w:t>
            </w:r>
          </w:p>
        </w:tc>
        <w:tc>
          <w:tcPr>
            <w:tcW w:w="0" w:type="auto"/>
            <w:hideMark/>
          </w:tcPr>
          <w:p w14:paraId="1F492E73" w14:textId="77777777" w:rsidR="00B27CF7" w:rsidRPr="00F508D0" w:rsidRDefault="00B27CF7" w:rsidP="00435533">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95% CI</w:t>
            </w:r>
          </w:p>
        </w:tc>
        <w:tc>
          <w:tcPr>
            <w:tcW w:w="0" w:type="auto"/>
            <w:hideMark/>
          </w:tcPr>
          <w:p w14:paraId="5587AF98" w14:textId="77777777" w:rsidR="00B27CF7" w:rsidRPr="00F508D0" w:rsidRDefault="00B27CF7" w:rsidP="00435533">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BCa 95% CI</w:t>
            </w:r>
          </w:p>
        </w:tc>
        <w:tc>
          <w:tcPr>
            <w:tcW w:w="0" w:type="auto"/>
            <w:hideMark/>
          </w:tcPr>
          <w:p w14:paraId="51682E70" w14:textId="77777777" w:rsidR="00B27CF7" w:rsidRPr="00F508D0" w:rsidRDefault="00B27CF7" w:rsidP="00435533">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Sig.</w:t>
            </w:r>
          </w:p>
        </w:tc>
      </w:tr>
      <w:tr w:rsidR="002A247D" w:rsidRPr="00F508D0" w14:paraId="6AB04DB6" w14:textId="77777777" w:rsidTr="00F50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2A479DB"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AIP → FSP (linear)</w:t>
            </w:r>
          </w:p>
        </w:tc>
        <w:tc>
          <w:tcPr>
            <w:tcW w:w="0" w:type="auto"/>
            <w:shd w:val="clear" w:color="auto" w:fill="auto"/>
            <w:hideMark/>
          </w:tcPr>
          <w:p w14:paraId="7AE378AF"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−0.362</w:t>
            </w:r>
          </w:p>
        </w:tc>
        <w:tc>
          <w:tcPr>
            <w:tcW w:w="0" w:type="auto"/>
            <w:shd w:val="clear" w:color="auto" w:fill="auto"/>
            <w:hideMark/>
          </w:tcPr>
          <w:p w14:paraId="0399BF47"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0.022</w:t>
            </w:r>
          </w:p>
        </w:tc>
        <w:tc>
          <w:tcPr>
            <w:tcW w:w="0" w:type="auto"/>
            <w:shd w:val="clear" w:color="auto" w:fill="auto"/>
            <w:hideMark/>
          </w:tcPr>
          <w:p w14:paraId="3C4BA7FD"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&lt;0.001</w:t>
            </w:r>
          </w:p>
        </w:tc>
        <w:tc>
          <w:tcPr>
            <w:tcW w:w="0" w:type="auto"/>
            <w:shd w:val="clear" w:color="auto" w:fill="auto"/>
            <w:hideMark/>
          </w:tcPr>
          <w:p w14:paraId="3D785A4B"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−0.432</w:t>
            </w:r>
          </w:p>
        </w:tc>
        <w:tc>
          <w:tcPr>
            <w:tcW w:w="0" w:type="auto"/>
            <w:shd w:val="clear" w:color="auto" w:fill="auto"/>
            <w:hideMark/>
          </w:tcPr>
          <w:p w14:paraId="4D2CD0BA"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[−0.406, −0.318]</w:t>
            </w:r>
          </w:p>
        </w:tc>
        <w:tc>
          <w:tcPr>
            <w:tcW w:w="0" w:type="auto"/>
            <w:shd w:val="clear" w:color="auto" w:fill="auto"/>
            <w:hideMark/>
          </w:tcPr>
          <w:p w14:paraId="4B505579"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[−0.407, −0.319]</w:t>
            </w:r>
          </w:p>
        </w:tc>
        <w:tc>
          <w:tcPr>
            <w:tcW w:w="0" w:type="auto"/>
            <w:shd w:val="clear" w:color="auto" w:fill="auto"/>
            <w:hideMark/>
          </w:tcPr>
          <w:p w14:paraId="63EBDDFE"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w:t>
            </w:r>
          </w:p>
        </w:tc>
      </w:tr>
      <w:tr w:rsidR="002A247D" w:rsidRPr="00F508D0" w14:paraId="1E985ED0" w14:textId="77777777" w:rsidTr="00F508D0">
        <w:tc>
          <w:tcPr>
            <w:cnfStyle w:val="001000000000" w:firstRow="0" w:lastRow="0" w:firstColumn="1" w:lastColumn="0" w:oddVBand="0" w:evenVBand="0" w:oddHBand="0" w:evenHBand="0" w:firstRowFirstColumn="0" w:firstRowLastColumn="0" w:lastRowFirstColumn="0" w:lastRowLastColumn="0"/>
            <w:tcW w:w="0" w:type="auto"/>
            <w:hideMark/>
          </w:tcPr>
          <w:p w14:paraId="08A2234D"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AIP² → FSP (quadratic)</w:t>
            </w:r>
          </w:p>
        </w:tc>
        <w:tc>
          <w:tcPr>
            <w:tcW w:w="0" w:type="auto"/>
            <w:hideMark/>
          </w:tcPr>
          <w:p w14:paraId="4F30EED4"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−0.006</w:t>
            </w:r>
          </w:p>
        </w:tc>
        <w:tc>
          <w:tcPr>
            <w:tcW w:w="0" w:type="auto"/>
            <w:hideMark/>
          </w:tcPr>
          <w:p w14:paraId="23471B27"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0.018</w:t>
            </w:r>
          </w:p>
        </w:tc>
        <w:tc>
          <w:tcPr>
            <w:tcW w:w="0" w:type="auto"/>
            <w:hideMark/>
          </w:tcPr>
          <w:p w14:paraId="79E95C5D"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0.729</w:t>
            </w:r>
          </w:p>
        </w:tc>
        <w:tc>
          <w:tcPr>
            <w:tcW w:w="0" w:type="auto"/>
            <w:hideMark/>
          </w:tcPr>
          <w:p w14:paraId="08895AA4"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−0.008</w:t>
            </w:r>
          </w:p>
        </w:tc>
        <w:tc>
          <w:tcPr>
            <w:tcW w:w="0" w:type="auto"/>
            <w:hideMark/>
          </w:tcPr>
          <w:p w14:paraId="18670CFD"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[−0.041, +0.029]</w:t>
            </w:r>
          </w:p>
        </w:tc>
        <w:tc>
          <w:tcPr>
            <w:tcW w:w="0" w:type="auto"/>
            <w:hideMark/>
          </w:tcPr>
          <w:p w14:paraId="4469FD5B"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[−0.040, +0.028]</w:t>
            </w:r>
          </w:p>
        </w:tc>
        <w:tc>
          <w:tcPr>
            <w:tcW w:w="0" w:type="auto"/>
            <w:hideMark/>
          </w:tcPr>
          <w:p w14:paraId="312975C9"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ns</w:t>
            </w:r>
          </w:p>
        </w:tc>
      </w:tr>
      <w:tr w:rsidR="002A247D" w:rsidRPr="00F508D0" w14:paraId="336D1D7A" w14:textId="77777777" w:rsidTr="00F50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67A0D48"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PA → FSP (linear)</w:t>
            </w:r>
          </w:p>
        </w:tc>
        <w:tc>
          <w:tcPr>
            <w:tcW w:w="0" w:type="auto"/>
            <w:shd w:val="clear" w:color="auto" w:fill="auto"/>
            <w:hideMark/>
          </w:tcPr>
          <w:p w14:paraId="235C5415"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+0.311</w:t>
            </w:r>
          </w:p>
        </w:tc>
        <w:tc>
          <w:tcPr>
            <w:tcW w:w="0" w:type="auto"/>
            <w:shd w:val="clear" w:color="auto" w:fill="auto"/>
            <w:hideMark/>
          </w:tcPr>
          <w:p w14:paraId="281263B3"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0.023</w:t>
            </w:r>
          </w:p>
        </w:tc>
        <w:tc>
          <w:tcPr>
            <w:tcW w:w="0" w:type="auto"/>
            <w:shd w:val="clear" w:color="auto" w:fill="auto"/>
            <w:hideMark/>
          </w:tcPr>
          <w:p w14:paraId="64879B19"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&lt;0.001</w:t>
            </w:r>
          </w:p>
        </w:tc>
        <w:tc>
          <w:tcPr>
            <w:tcW w:w="0" w:type="auto"/>
            <w:shd w:val="clear" w:color="auto" w:fill="auto"/>
            <w:hideMark/>
          </w:tcPr>
          <w:p w14:paraId="4155FC74"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+0.352</w:t>
            </w:r>
          </w:p>
        </w:tc>
        <w:tc>
          <w:tcPr>
            <w:tcW w:w="0" w:type="auto"/>
            <w:shd w:val="clear" w:color="auto" w:fill="auto"/>
            <w:hideMark/>
          </w:tcPr>
          <w:p w14:paraId="1AC2B6F9"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[+0.266, +0.356]</w:t>
            </w:r>
          </w:p>
        </w:tc>
        <w:tc>
          <w:tcPr>
            <w:tcW w:w="0" w:type="auto"/>
            <w:shd w:val="clear" w:color="auto" w:fill="auto"/>
            <w:hideMark/>
          </w:tcPr>
          <w:p w14:paraId="3AF23737"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[+0.266, +0.356]</w:t>
            </w:r>
          </w:p>
        </w:tc>
        <w:tc>
          <w:tcPr>
            <w:tcW w:w="0" w:type="auto"/>
            <w:shd w:val="clear" w:color="auto" w:fill="auto"/>
            <w:hideMark/>
          </w:tcPr>
          <w:p w14:paraId="793CFAC4"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w:t>
            </w:r>
          </w:p>
        </w:tc>
      </w:tr>
      <w:tr w:rsidR="002A247D" w:rsidRPr="00F508D0" w14:paraId="4B37A3CC" w14:textId="77777777" w:rsidTr="00F508D0">
        <w:tc>
          <w:tcPr>
            <w:cnfStyle w:val="001000000000" w:firstRow="0" w:lastRow="0" w:firstColumn="1" w:lastColumn="0" w:oddVBand="0" w:evenVBand="0" w:oddHBand="0" w:evenHBand="0" w:firstRowFirstColumn="0" w:firstRowLastColumn="0" w:lastRowFirstColumn="0" w:lastRowLastColumn="0"/>
            <w:tcW w:w="0" w:type="auto"/>
            <w:hideMark/>
          </w:tcPr>
          <w:p w14:paraId="7C1096ED"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PA² → FSP (quadratic)</w:t>
            </w:r>
          </w:p>
        </w:tc>
        <w:tc>
          <w:tcPr>
            <w:tcW w:w="0" w:type="auto"/>
            <w:hideMark/>
          </w:tcPr>
          <w:p w14:paraId="237AF87D"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+0.002</w:t>
            </w:r>
          </w:p>
        </w:tc>
        <w:tc>
          <w:tcPr>
            <w:tcW w:w="0" w:type="auto"/>
            <w:hideMark/>
          </w:tcPr>
          <w:p w14:paraId="3F9B8696"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0.017</w:t>
            </w:r>
          </w:p>
        </w:tc>
        <w:tc>
          <w:tcPr>
            <w:tcW w:w="0" w:type="auto"/>
            <w:hideMark/>
          </w:tcPr>
          <w:p w14:paraId="4C8704A7"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0.899</w:t>
            </w:r>
          </w:p>
        </w:tc>
        <w:tc>
          <w:tcPr>
            <w:tcW w:w="0" w:type="auto"/>
            <w:hideMark/>
          </w:tcPr>
          <w:p w14:paraId="72CA648A"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+0.003</w:t>
            </w:r>
          </w:p>
        </w:tc>
        <w:tc>
          <w:tcPr>
            <w:tcW w:w="0" w:type="auto"/>
            <w:hideMark/>
          </w:tcPr>
          <w:p w14:paraId="597FF539"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[−0.032, +0.036]</w:t>
            </w:r>
          </w:p>
        </w:tc>
        <w:tc>
          <w:tcPr>
            <w:tcW w:w="0" w:type="auto"/>
            <w:hideMark/>
          </w:tcPr>
          <w:p w14:paraId="1CEF658C"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[−0.030, +0.037]</w:t>
            </w:r>
          </w:p>
        </w:tc>
        <w:tc>
          <w:tcPr>
            <w:tcW w:w="0" w:type="auto"/>
            <w:hideMark/>
          </w:tcPr>
          <w:p w14:paraId="27177D88"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ns</w:t>
            </w:r>
          </w:p>
        </w:tc>
      </w:tr>
      <w:tr w:rsidR="002A247D" w:rsidRPr="00F508D0" w14:paraId="5F9D2495" w14:textId="77777777" w:rsidTr="00F50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0939756"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DR → FSP (direct)</w:t>
            </w:r>
          </w:p>
        </w:tc>
        <w:tc>
          <w:tcPr>
            <w:tcW w:w="0" w:type="auto"/>
            <w:shd w:val="clear" w:color="auto" w:fill="auto"/>
            <w:hideMark/>
          </w:tcPr>
          <w:p w14:paraId="292189FF"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+0.521</w:t>
            </w:r>
          </w:p>
        </w:tc>
        <w:tc>
          <w:tcPr>
            <w:tcW w:w="0" w:type="auto"/>
            <w:shd w:val="clear" w:color="auto" w:fill="auto"/>
            <w:hideMark/>
          </w:tcPr>
          <w:p w14:paraId="06B7C79E"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0.037</w:t>
            </w:r>
          </w:p>
        </w:tc>
        <w:tc>
          <w:tcPr>
            <w:tcW w:w="0" w:type="auto"/>
            <w:shd w:val="clear" w:color="auto" w:fill="auto"/>
            <w:hideMark/>
          </w:tcPr>
          <w:p w14:paraId="5371B2EB"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&lt;0.001</w:t>
            </w:r>
          </w:p>
        </w:tc>
        <w:tc>
          <w:tcPr>
            <w:tcW w:w="0" w:type="auto"/>
            <w:shd w:val="clear" w:color="auto" w:fill="auto"/>
            <w:hideMark/>
          </w:tcPr>
          <w:p w14:paraId="4BE9B5E4"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+0.572</w:t>
            </w:r>
          </w:p>
        </w:tc>
        <w:tc>
          <w:tcPr>
            <w:tcW w:w="0" w:type="auto"/>
            <w:shd w:val="clear" w:color="auto" w:fill="auto"/>
            <w:hideMark/>
          </w:tcPr>
          <w:p w14:paraId="5FF3C178"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[+0.448, +0.593]</w:t>
            </w:r>
          </w:p>
        </w:tc>
        <w:tc>
          <w:tcPr>
            <w:tcW w:w="0" w:type="auto"/>
            <w:shd w:val="clear" w:color="auto" w:fill="auto"/>
            <w:hideMark/>
          </w:tcPr>
          <w:p w14:paraId="25520A0A"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[+0.445, +0.593]</w:t>
            </w:r>
          </w:p>
        </w:tc>
        <w:tc>
          <w:tcPr>
            <w:tcW w:w="0" w:type="auto"/>
            <w:shd w:val="clear" w:color="auto" w:fill="auto"/>
            <w:hideMark/>
          </w:tcPr>
          <w:p w14:paraId="5757D542"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w:t>
            </w:r>
          </w:p>
        </w:tc>
      </w:tr>
      <w:tr w:rsidR="002A247D" w:rsidRPr="00F508D0" w14:paraId="69F9F955" w14:textId="77777777" w:rsidTr="00F508D0">
        <w:tc>
          <w:tcPr>
            <w:cnfStyle w:val="001000000000" w:firstRow="0" w:lastRow="0" w:firstColumn="1" w:lastColumn="0" w:oddVBand="0" w:evenVBand="0" w:oddHBand="0" w:evenHBand="0" w:firstRowFirstColumn="0" w:firstRowLastColumn="0" w:lastRowFirstColumn="0" w:lastRowLastColumn="0"/>
            <w:tcW w:w="0" w:type="auto"/>
            <w:hideMark/>
          </w:tcPr>
          <w:p w14:paraId="2A915FA4"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AIP × DR</w:t>
            </w:r>
          </w:p>
        </w:tc>
        <w:tc>
          <w:tcPr>
            <w:tcW w:w="0" w:type="auto"/>
            <w:hideMark/>
          </w:tcPr>
          <w:p w14:paraId="260EE58E"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+0.015</w:t>
            </w:r>
          </w:p>
        </w:tc>
        <w:tc>
          <w:tcPr>
            <w:tcW w:w="0" w:type="auto"/>
            <w:hideMark/>
          </w:tcPr>
          <w:p w14:paraId="24893D4C"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0.018</w:t>
            </w:r>
          </w:p>
        </w:tc>
        <w:tc>
          <w:tcPr>
            <w:tcW w:w="0" w:type="auto"/>
            <w:hideMark/>
          </w:tcPr>
          <w:p w14:paraId="400155BD"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0.392</w:t>
            </w:r>
          </w:p>
        </w:tc>
        <w:tc>
          <w:tcPr>
            <w:tcW w:w="0" w:type="auto"/>
            <w:hideMark/>
          </w:tcPr>
          <w:p w14:paraId="0E43184B"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+0.020</w:t>
            </w:r>
          </w:p>
        </w:tc>
        <w:tc>
          <w:tcPr>
            <w:tcW w:w="0" w:type="auto"/>
            <w:hideMark/>
          </w:tcPr>
          <w:p w14:paraId="3F07A68D"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[−0.020, +0.050]</w:t>
            </w:r>
          </w:p>
        </w:tc>
        <w:tc>
          <w:tcPr>
            <w:tcW w:w="0" w:type="auto"/>
            <w:hideMark/>
          </w:tcPr>
          <w:p w14:paraId="238D36A2"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[−0.021, +0.046]</w:t>
            </w:r>
          </w:p>
        </w:tc>
        <w:tc>
          <w:tcPr>
            <w:tcW w:w="0" w:type="auto"/>
            <w:hideMark/>
          </w:tcPr>
          <w:p w14:paraId="7B759C4C"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ns</w:t>
            </w:r>
          </w:p>
        </w:tc>
      </w:tr>
      <w:tr w:rsidR="002A247D" w:rsidRPr="00F508D0" w14:paraId="5354D46A" w14:textId="77777777" w:rsidTr="00F50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5DF171C"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AIP² × DR (H3)</w:t>
            </w:r>
          </w:p>
        </w:tc>
        <w:tc>
          <w:tcPr>
            <w:tcW w:w="0" w:type="auto"/>
            <w:shd w:val="clear" w:color="auto" w:fill="auto"/>
            <w:hideMark/>
          </w:tcPr>
          <w:p w14:paraId="4A864FDC"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−0.060</w:t>
            </w:r>
          </w:p>
        </w:tc>
        <w:tc>
          <w:tcPr>
            <w:tcW w:w="0" w:type="auto"/>
            <w:shd w:val="clear" w:color="auto" w:fill="auto"/>
            <w:hideMark/>
          </w:tcPr>
          <w:p w14:paraId="1DB277BA"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0.013</w:t>
            </w:r>
          </w:p>
        </w:tc>
        <w:tc>
          <w:tcPr>
            <w:tcW w:w="0" w:type="auto"/>
            <w:shd w:val="clear" w:color="auto" w:fill="auto"/>
            <w:hideMark/>
          </w:tcPr>
          <w:p w14:paraId="62A7D503"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&lt;0.001</w:t>
            </w:r>
          </w:p>
        </w:tc>
        <w:tc>
          <w:tcPr>
            <w:tcW w:w="0" w:type="auto"/>
            <w:shd w:val="clear" w:color="auto" w:fill="auto"/>
            <w:hideMark/>
          </w:tcPr>
          <w:p w14:paraId="5BA3C801"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−0.139</w:t>
            </w:r>
          </w:p>
        </w:tc>
        <w:tc>
          <w:tcPr>
            <w:tcW w:w="0" w:type="auto"/>
            <w:shd w:val="clear" w:color="auto" w:fill="auto"/>
            <w:hideMark/>
          </w:tcPr>
          <w:p w14:paraId="353CA821"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[−0.086, −0.034]</w:t>
            </w:r>
          </w:p>
        </w:tc>
        <w:tc>
          <w:tcPr>
            <w:tcW w:w="0" w:type="auto"/>
            <w:shd w:val="clear" w:color="auto" w:fill="auto"/>
            <w:hideMark/>
          </w:tcPr>
          <w:p w14:paraId="730AC4B0"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[−0.086, −0.032]</w:t>
            </w:r>
          </w:p>
        </w:tc>
        <w:tc>
          <w:tcPr>
            <w:tcW w:w="0" w:type="auto"/>
            <w:shd w:val="clear" w:color="auto" w:fill="auto"/>
            <w:hideMark/>
          </w:tcPr>
          <w:p w14:paraId="7F2897CF"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w:t>
            </w:r>
          </w:p>
        </w:tc>
      </w:tr>
      <w:tr w:rsidR="002A247D" w:rsidRPr="00F508D0" w14:paraId="18A7C34A" w14:textId="77777777" w:rsidTr="00F508D0">
        <w:tc>
          <w:tcPr>
            <w:cnfStyle w:val="001000000000" w:firstRow="0" w:lastRow="0" w:firstColumn="1" w:lastColumn="0" w:oddVBand="0" w:evenVBand="0" w:oddHBand="0" w:evenHBand="0" w:firstRowFirstColumn="0" w:firstRowLastColumn="0" w:lastRowFirstColumn="0" w:lastRowLastColumn="0"/>
            <w:tcW w:w="0" w:type="auto"/>
            <w:hideMark/>
          </w:tcPr>
          <w:p w14:paraId="7865B5DB"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PA × DR</w:t>
            </w:r>
          </w:p>
        </w:tc>
        <w:tc>
          <w:tcPr>
            <w:tcW w:w="0" w:type="auto"/>
            <w:hideMark/>
          </w:tcPr>
          <w:p w14:paraId="70FE7A1B"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+0.024</w:t>
            </w:r>
          </w:p>
        </w:tc>
        <w:tc>
          <w:tcPr>
            <w:tcW w:w="0" w:type="auto"/>
            <w:hideMark/>
          </w:tcPr>
          <w:p w14:paraId="6D9F5F35"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0.018</w:t>
            </w:r>
          </w:p>
        </w:tc>
        <w:tc>
          <w:tcPr>
            <w:tcW w:w="0" w:type="auto"/>
            <w:hideMark/>
          </w:tcPr>
          <w:p w14:paraId="161468C5"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0.189</w:t>
            </w:r>
          </w:p>
        </w:tc>
        <w:tc>
          <w:tcPr>
            <w:tcW w:w="0" w:type="auto"/>
            <w:hideMark/>
          </w:tcPr>
          <w:p w14:paraId="2804126D"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+0.031</w:t>
            </w:r>
          </w:p>
        </w:tc>
        <w:tc>
          <w:tcPr>
            <w:tcW w:w="0" w:type="auto"/>
            <w:hideMark/>
          </w:tcPr>
          <w:p w14:paraId="3F43B6AA"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[−0.012, +0.059]</w:t>
            </w:r>
          </w:p>
        </w:tc>
        <w:tc>
          <w:tcPr>
            <w:tcW w:w="0" w:type="auto"/>
            <w:hideMark/>
          </w:tcPr>
          <w:p w14:paraId="23C37425"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[−0.008, +0.059]</w:t>
            </w:r>
          </w:p>
        </w:tc>
        <w:tc>
          <w:tcPr>
            <w:tcW w:w="0" w:type="auto"/>
            <w:hideMark/>
          </w:tcPr>
          <w:p w14:paraId="1C4B87DC" w14:textId="77777777" w:rsidR="00B27CF7" w:rsidRPr="00F508D0" w:rsidRDefault="00B27CF7" w:rsidP="00435533">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F508D0">
              <w:rPr>
                <w:color w:val="auto"/>
                <w:sz w:val="20"/>
                <w:szCs w:val="20"/>
              </w:rPr>
              <w:t>ns</w:t>
            </w:r>
          </w:p>
        </w:tc>
      </w:tr>
      <w:tr w:rsidR="002A247D" w:rsidRPr="002A247D" w14:paraId="37F31668" w14:textId="77777777" w:rsidTr="00F508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6FBA27B" w14:textId="77777777" w:rsidR="00B27CF7" w:rsidRPr="00F508D0" w:rsidRDefault="00B27CF7" w:rsidP="00435533">
            <w:pPr>
              <w:spacing w:before="40" w:after="40"/>
              <w:rPr>
                <w:b w:val="0"/>
                <w:bCs w:val="0"/>
                <w:color w:val="auto"/>
                <w:sz w:val="20"/>
                <w:szCs w:val="20"/>
              </w:rPr>
            </w:pPr>
            <w:r w:rsidRPr="00F508D0">
              <w:rPr>
                <w:b w:val="0"/>
                <w:bCs w:val="0"/>
                <w:color w:val="auto"/>
                <w:sz w:val="20"/>
                <w:szCs w:val="20"/>
              </w:rPr>
              <w:t>PA² × DR (H4)</w:t>
            </w:r>
          </w:p>
        </w:tc>
        <w:tc>
          <w:tcPr>
            <w:tcW w:w="0" w:type="auto"/>
            <w:shd w:val="clear" w:color="auto" w:fill="auto"/>
            <w:hideMark/>
          </w:tcPr>
          <w:p w14:paraId="2E953628"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−0.045</w:t>
            </w:r>
          </w:p>
        </w:tc>
        <w:tc>
          <w:tcPr>
            <w:tcW w:w="0" w:type="auto"/>
            <w:shd w:val="clear" w:color="auto" w:fill="auto"/>
            <w:hideMark/>
          </w:tcPr>
          <w:p w14:paraId="2D4B5E8B"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0.013</w:t>
            </w:r>
          </w:p>
        </w:tc>
        <w:tc>
          <w:tcPr>
            <w:tcW w:w="0" w:type="auto"/>
            <w:shd w:val="clear" w:color="auto" w:fill="auto"/>
            <w:hideMark/>
          </w:tcPr>
          <w:p w14:paraId="3F76D54F"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&lt;0.001</w:t>
            </w:r>
          </w:p>
        </w:tc>
        <w:tc>
          <w:tcPr>
            <w:tcW w:w="0" w:type="auto"/>
            <w:shd w:val="clear" w:color="auto" w:fill="auto"/>
            <w:hideMark/>
          </w:tcPr>
          <w:p w14:paraId="4CE2173B"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−0.106</w:t>
            </w:r>
          </w:p>
        </w:tc>
        <w:tc>
          <w:tcPr>
            <w:tcW w:w="0" w:type="auto"/>
            <w:shd w:val="clear" w:color="auto" w:fill="auto"/>
            <w:hideMark/>
          </w:tcPr>
          <w:p w14:paraId="18A222FB"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[−0.070, −0.019]</w:t>
            </w:r>
          </w:p>
        </w:tc>
        <w:tc>
          <w:tcPr>
            <w:tcW w:w="0" w:type="auto"/>
            <w:shd w:val="clear" w:color="auto" w:fill="auto"/>
            <w:hideMark/>
          </w:tcPr>
          <w:p w14:paraId="1F24A3EB" w14:textId="77777777" w:rsidR="00B27CF7" w:rsidRPr="00F508D0"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[−0.069, −0.020]</w:t>
            </w:r>
          </w:p>
        </w:tc>
        <w:tc>
          <w:tcPr>
            <w:tcW w:w="0" w:type="auto"/>
            <w:shd w:val="clear" w:color="auto" w:fill="auto"/>
            <w:hideMark/>
          </w:tcPr>
          <w:p w14:paraId="5BB132B4" w14:textId="77777777" w:rsidR="00B27CF7" w:rsidRPr="00B27CF7" w:rsidRDefault="00B27CF7" w:rsidP="00435533">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F508D0">
              <w:rPr>
                <w:color w:val="auto"/>
                <w:sz w:val="20"/>
                <w:szCs w:val="20"/>
              </w:rPr>
              <w:t>**</w:t>
            </w:r>
          </w:p>
        </w:tc>
      </w:tr>
    </w:tbl>
    <w:p w14:paraId="03AF66A8" w14:textId="540B57E8" w:rsidR="00B27CF7" w:rsidRPr="00B27CF7" w:rsidRDefault="00B27CF7" w:rsidP="00435533">
      <w:pPr>
        <w:spacing w:before="80" w:after="80"/>
        <w:rPr>
          <w:sz w:val="20"/>
          <w:szCs w:val="20"/>
        </w:rPr>
      </w:pPr>
      <w:r w:rsidRPr="00B27CF7">
        <w:rPr>
          <w:b/>
          <w:bCs/>
          <w:i/>
          <w:iCs/>
          <w:sz w:val="20"/>
          <w:szCs w:val="20"/>
        </w:rPr>
        <w:t>Note.</w:t>
      </w:r>
      <w:r w:rsidRPr="00B27CF7">
        <w:rPr>
          <w:sz w:val="20"/>
          <w:szCs w:val="20"/>
        </w:rPr>
        <w:t xml:space="preserve"> </w:t>
      </w:r>
      <w:r w:rsidRPr="00B27CF7">
        <w:rPr>
          <w:i/>
          <w:iCs/>
          <w:sz w:val="20"/>
          <w:szCs w:val="20"/>
        </w:rPr>
        <w:t xml:space="preserve">N = 522. 95% CI = HC3 heteroskedasticity-consistent confidence intervals. BCa = bias-corrected and accelerated bootstrap CIs based on 2,000 replications (zero bootstrap failures). </w:t>
      </w:r>
      <w:r w:rsidR="00C35CF8">
        <w:rPr>
          <w:i/>
          <w:iCs/>
          <w:sz w:val="20"/>
          <w:szCs w:val="20"/>
        </w:rPr>
        <w:t>*</w:t>
      </w:r>
      <w:r w:rsidRPr="00B27CF7">
        <w:rPr>
          <w:i/>
          <w:iCs/>
          <w:sz w:val="20"/>
          <w:szCs w:val="20"/>
        </w:rPr>
        <w:t>**p &lt; 0.001, **p &lt; 0.01.</w:t>
      </w:r>
    </w:p>
    <w:p w14:paraId="138C89E3" w14:textId="77777777" w:rsidR="00B27CF7" w:rsidRPr="00B27CF7" w:rsidRDefault="00B27CF7" w:rsidP="00B27CF7">
      <w:pPr>
        <w:spacing w:before="240" w:line="480" w:lineRule="auto"/>
      </w:pPr>
      <w:r w:rsidRPr="00B27CF7">
        <w:rPr>
          <w:b/>
          <w:bCs/>
        </w:rPr>
        <w:t>Table 5</w:t>
      </w:r>
    </w:p>
    <w:p w14:paraId="119274DA" w14:textId="77777777" w:rsidR="00B27CF7" w:rsidRPr="00B27CF7" w:rsidRDefault="00B27CF7" w:rsidP="00B27CF7">
      <w:pPr>
        <w:spacing w:before="240" w:line="480" w:lineRule="auto"/>
      </w:pPr>
      <w:r w:rsidRPr="00B27CF7">
        <w:rPr>
          <w:i/>
          <w:iCs/>
        </w:rPr>
        <w:t>Conditional Inflection Points for the AIP–FSP and PA–FSP Relationships at Different DR Levels</w:t>
      </w:r>
    </w:p>
    <w:tbl>
      <w:tblPr>
        <w:tblStyle w:val="ListTable6Colorful"/>
        <w:tblW w:w="0" w:type="auto"/>
        <w:tblLook w:val="04A0" w:firstRow="1" w:lastRow="0" w:firstColumn="1" w:lastColumn="0" w:noHBand="0" w:noVBand="1"/>
      </w:tblPr>
      <w:tblGrid>
        <w:gridCol w:w="1027"/>
        <w:gridCol w:w="1310"/>
        <w:gridCol w:w="1315"/>
        <w:gridCol w:w="2197"/>
        <w:gridCol w:w="1948"/>
        <w:gridCol w:w="1563"/>
      </w:tblGrid>
      <w:tr w:rsidR="002A247D" w:rsidRPr="002D3E61" w14:paraId="69D850C6" w14:textId="77777777" w:rsidTr="002D3E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98931" w14:textId="77777777" w:rsidR="00B27CF7" w:rsidRPr="002D3E61" w:rsidRDefault="00B27CF7" w:rsidP="0081454C">
            <w:pPr>
              <w:spacing w:before="40" w:after="40"/>
              <w:rPr>
                <w:color w:val="auto"/>
                <w:sz w:val="20"/>
                <w:szCs w:val="20"/>
              </w:rPr>
            </w:pPr>
            <w:r w:rsidRPr="002D3E61">
              <w:rPr>
                <w:color w:val="auto"/>
                <w:sz w:val="20"/>
                <w:szCs w:val="20"/>
              </w:rPr>
              <w:t>Predictor</w:t>
            </w:r>
          </w:p>
        </w:tc>
        <w:tc>
          <w:tcPr>
            <w:tcW w:w="0" w:type="auto"/>
            <w:hideMark/>
          </w:tcPr>
          <w:p w14:paraId="2F30E6E8" w14:textId="77777777" w:rsidR="00B27CF7" w:rsidRPr="002D3E61" w:rsidRDefault="00B27CF7" w:rsidP="0081454C">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DR Level</w:t>
            </w:r>
          </w:p>
        </w:tc>
        <w:tc>
          <w:tcPr>
            <w:tcW w:w="0" w:type="auto"/>
            <w:hideMark/>
          </w:tcPr>
          <w:p w14:paraId="02171E6A" w14:textId="77777777" w:rsidR="00B27CF7" w:rsidRPr="002D3E61" w:rsidRDefault="00B27CF7" w:rsidP="0081454C">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DR (raw scale)</w:t>
            </w:r>
          </w:p>
        </w:tc>
        <w:tc>
          <w:tcPr>
            <w:tcW w:w="0" w:type="auto"/>
            <w:hideMark/>
          </w:tcPr>
          <w:p w14:paraId="4BF66A9A" w14:textId="77777777" w:rsidR="00B27CF7" w:rsidRPr="002D3E61" w:rsidRDefault="00B27CF7" w:rsidP="0081454C">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Inflection point (raw scale)</w:t>
            </w:r>
          </w:p>
        </w:tc>
        <w:tc>
          <w:tcPr>
            <w:tcW w:w="1948" w:type="dxa"/>
            <w:hideMark/>
          </w:tcPr>
          <w:p w14:paraId="47646239" w14:textId="77777777" w:rsidR="00B27CF7" w:rsidRPr="002D3E61" w:rsidRDefault="00B27CF7" w:rsidP="0081454C">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Effective quadratic coefficient</w:t>
            </w:r>
          </w:p>
        </w:tc>
        <w:tc>
          <w:tcPr>
            <w:tcW w:w="1563" w:type="dxa"/>
            <w:hideMark/>
          </w:tcPr>
          <w:p w14:paraId="7119121A" w14:textId="77777777" w:rsidR="00B27CF7" w:rsidRPr="002D3E61" w:rsidRDefault="00B27CF7" w:rsidP="0081454C">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Shape</w:t>
            </w:r>
          </w:p>
        </w:tc>
      </w:tr>
      <w:tr w:rsidR="002A247D" w:rsidRPr="002D3E61" w14:paraId="6A0003DB" w14:textId="77777777" w:rsidTr="002D3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A9FBA56" w14:textId="77777777" w:rsidR="00B27CF7" w:rsidRPr="002D3E61" w:rsidRDefault="00B27CF7" w:rsidP="0081454C">
            <w:pPr>
              <w:spacing w:before="40" w:after="40"/>
              <w:rPr>
                <w:b w:val="0"/>
                <w:bCs w:val="0"/>
                <w:color w:val="auto"/>
                <w:sz w:val="20"/>
                <w:szCs w:val="20"/>
              </w:rPr>
            </w:pPr>
            <w:r w:rsidRPr="002D3E61">
              <w:rPr>
                <w:b w:val="0"/>
                <w:bCs w:val="0"/>
                <w:color w:val="auto"/>
                <w:sz w:val="20"/>
                <w:szCs w:val="20"/>
              </w:rPr>
              <w:t>AIP</w:t>
            </w:r>
          </w:p>
        </w:tc>
        <w:tc>
          <w:tcPr>
            <w:tcW w:w="0" w:type="auto"/>
            <w:shd w:val="clear" w:color="auto" w:fill="auto"/>
            <w:hideMark/>
          </w:tcPr>
          <w:p w14:paraId="4CBC3920"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Low (Q25)</w:t>
            </w:r>
          </w:p>
        </w:tc>
        <w:tc>
          <w:tcPr>
            <w:tcW w:w="0" w:type="auto"/>
            <w:shd w:val="clear" w:color="auto" w:fill="auto"/>
            <w:hideMark/>
          </w:tcPr>
          <w:p w14:paraId="6BE87031"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1.99</w:t>
            </w:r>
          </w:p>
        </w:tc>
        <w:tc>
          <w:tcPr>
            <w:tcW w:w="0" w:type="auto"/>
            <w:shd w:val="clear" w:color="auto" w:fill="auto"/>
            <w:hideMark/>
          </w:tcPr>
          <w:p w14:paraId="4F24F366"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6.07 [out of range]</w:t>
            </w:r>
          </w:p>
        </w:tc>
        <w:tc>
          <w:tcPr>
            <w:tcW w:w="1948" w:type="dxa"/>
            <w:shd w:val="clear" w:color="auto" w:fill="auto"/>
            <w:hideMark/>
          </w:tcPr>
          <w:p w14:paraId="579A6399"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+0.062</w:t>
            </w:r>
          </w:p>
        </w:tc>
        <w:tc>
          <w:tcPr>
            <w:tcW w:w="1563" w:type="dxa"/>
            <w:shd w:val="clear" w:color="auto" w:fill="auto"/>
            <w:hideMark/>
          </w:tcPr>
          <w:p w14:paraId="58EBD2BA"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U-shape</w:t>
            </w:r>
          </w:p>
        </w:tc>
      </w:tr>
      <w:tr w:rsidR="002A247D" w:rsidRPr="002D3E61" w14:paraId="54DBE98F" w14:textId="77777777" w:rsidTr="002D3E61">
        <w:tc>
          <w:tcPr>
            <w:cnfStyle w:val="001000000000" w:firstRow="0" w:lastRow="0" w:firstColumn="1" w:lastColumn="0" w:oddVBand="0" w:evenVBand="0" w:oddHBand="0" w:evenHBand="0" w:firstRowFirstColumn="0" w:firstRowLastColumn="0" w:lastRowFirstColumn="0" w:lastRowLastColumn="0"/>
            <w:tcW w:w="0" w:type="auto"/>
            <w:hideMark/>
          </w:tcPr>
          <w:p w14:paraId="1DA0E40B" w14:textId="77777777" w:rsidR="00B27CF7" w:rsidRPr="002D3E61" w:rsidRDefault="00B27CF7" w:rsidP="0081454C">
            <w:pPr>
              <w:spacing w:before="40" w:after="40"/>
              <w:rPr>
                <w:b w:val="0"/>
                <w:bCs w:val="0"/>
                <w:color w:val="auto"/>
                <w:sz w:val="20"/>
                <w:szCs w:val="20"/>
              </w:rPr>
            </w:pPr>
            <w:r w:rsidRPr="002D3E61">
              <w:rPr>
                <w:b w:val="0"/>
                <w:bCs w:val="0"/>
                <w:color w:val="auto"/>
                <w:sz w:val="20"/>
                <w:szCs w:val="20"/>
              </w:rPr>
              <w:t>AIP</w:t>
            </w:r>
          </w:p>
        </w:tc>
        <w:tc>
          <w:tcPr>
            <w:tcW w:w="0" w:type="auto"/>
            <w:hideMark/>
          </w:tcPr>
          <w:p w14:paraId="40593AA9"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Medium (Q50)</w:t>
            </w:r>
          </w:p>
        </w:tc>
        <w:tc>
          <w:tcPr>
            <w:tcW w:w="0" w:type="auto"/>
            <w:hideMark/>
          </w:tcPr>
          <w:p w14:paraId="3A2C35DE"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3.03</w:t>
            </w:r>
          </w:p>
        </w:tc>
        <w:tc>
          <w:tcPr>
            <w:tcW w:w="0" w:type="auto"/>
            <w:hideMark/>
          </w:tcPr>
          <w:p w14:paraId="4D1B62A2"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 [out of range]</w:t>
            </w:r>
          </w:p>
        </w:tc>
        <w:tc>
          <w:tcPr>
            <w:tcW w:w="1948" w:type="dxa"/>
            <w:hideMark/>
          </w:tcPr>
          <w:p w14:paraId="2EA3CAA7"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+0.001</w:t>
            </w:r>
          </w:p>
        </w:tc>
        <w:tc>
          <w:tcPr>
            <w:tcW w:w="1563" w:type="dxa"/>
            <w:hideMark/>
          </w:tcPr>
          <w:p w14:paraId="5CA22E6D"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Near-linear</w:t>
            </w:r>
          </w:p>
        </w:tc>
      </w:tr>
      <w:tr w:rsidR="002A247D" w:rsidRPr="002D3E61" w14:paraId="7425B65C" w14:textId="77777777" w:rsidTr="002D3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39BE440" w14:textId="77777777" w:rsidR="00B27CF7" w:rsidRPr="002D3E61" w:rsidRDefault="00B27CF7" w:rsidP="0081454C">
            <w:pPr>
              <w:spacing w:before="40" w:after="40"/>
              <w:rPr>
                <w:b w:val="0"/>
                <w:bCs w:val="0"/>
                <w:color w:val="auto"/>
                <w:sz w:val="20"/>
                <w:szCs w:val="20"/>
              </w:rPr>
            </w:pPr>
            <w:r w:rsidRPr="002D3E61">
              <w:rPr>
                <w:b w:val="0"/>
                <w:bCs w:val="0"/>
                <w:color w:val="auto"/>
                <w:sz w:val="20"/>
                <w:szCs w:val="20"/>
              </w:rPr>
              <w:t>AIP</w:t>
            </w:r>
          </w:p>
        </w:tc>
        <w:tc>
          <w:tcPr>
            <w:tcW w:w="0" w:type="auto"/>
            <w:shd w:val="clear" w:color="auto" w:fill="auto"/>
            <w:hideMark/>
          </w:tcPr>
          <w:p w14:paraId="5E9021CC"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High (Q75)</w:t>
            </w:r>
          </w:p>
        </w:tc>
        <w:tc>
          <w:tcPr>
            <w:tcW w:w="0" w:type="auto"/>
            <w:shd w:val="clear" w:color="auto" w:fill="auto"/>
            <w:hideMark/>
          </w:tcPr>
          <w:p w14:paraId="5A6D71F0"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4.03</w:t>
            </w:r>
          </w:p>
        </w:tc>
        <w:tc>
          <w:tcPr>
            <w:tcW w:w="0" w:type="auto"/>
            <w:shd w:val="clear" w:color="auto" w:fill="auto"/>
            <w:hideMark/>
          </w:tcPr>
          <w:p w14:paraId="33B8F46E"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0.08 [in range]</w:t>
            </w:r>
          </w:p>
        </w:tc>
        <w:tc>
          <w:tcPr>
            <w:tcW w:w="1948" w:type="dxa"/>
            <w:shd w:val="clear" w:color="auto" w:fill="auto"/>
            <w:hideMark/>
          </w:tcPr>
          <w:p w14:paraId="5985FD8C"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−0.059</w:t>
            </w:r>
          </w:p>
        </w:tc>
        <w:tc>
          <w:tcPr>
            <w:tcW w:w="1563" w:type="dxa"/>
            <w:shd w:val="clear" w:color="auto" w:fill="auto"/>
            <w:hideMark/>
          </w:tcPr>
          <w:p w14:paraId="045CB8AF"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Inverted-U</w:t>
            </w:r>
          </w:p>
        </w:tc>
      </w:tr>
      <w:tr w:rsidR="002A247D" w:rsidRPr="002D3E61" w14:paraId="3D247B6F" w14:textId="77777777" w:rsidTr="002D3E61">
        <w:tc>
          <w:tcPr>
            <w:cnfStyle w:val="001000000000" w:firstRow="0" w:lastRow="0" w:firstColumn="1" w:lastColumn="0" w:oddVBand="0" w:evenVBand="0" w:oddHBand="0" w:evenHBand="0" w:firstRowFirstColumn="0" w:firstRowLastColumn="0" w:lastRowFirstColumn="0" w:lastRowLastColumn="0"/>
            <w:tcW w:w="0" w:type="auto"/>
            <w:hideMark/>
          </w:tcPr>
          <w:p w14:paraId="65D1EEBE" w14:textId="77777777" w:rsidR="00B27CF7" w:rsidRPr="002D3E61" w:rsidRDefault="00B27CF7" w:rsidP="0081454C">
            <w:pPr>
              <w:spacing w:before="40" w:after="40"/>
              <w:rPr>
                <w:b w:val="0"/>
                <w:bCs w:val="0"/>
                <w:color w:val="auto"/>
                <w:sz w:val="20"/>
                <w:szCs w:val="20"/>
              </w:rPr>
            </w:pPr>
            <w:r w:rsidRPr="002D3E61">
              <w:rPr>
                <w:b w:val="0"/>
                <w:bCs w:val="0"/>
                <w:color w:val="auto"/>
                <w:sz w:val="20"/>
                <w:szCs w:val="20"/>
              </w:rPr>
              <w:t>PA</w:t>
            </w:r>
          </w:p>
        </w:tc>
        <w:tc>
          <w:tcPr>
            <w:tcW w:w="0" w:type="auto"/>
            <w:hideMark/>
          </w:tcPr>
          <w:p w14:paraId="41C0CAA9"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Low (Q25)</w:t>
            </w:r>
          </w:p>
        </w:tc>
        <w:tc>
          <w:tcPr>
            <w:tcW w:w="0" w:type="auto"/>
            <w:hideMark/>
          </w:tcPr>
          <w:p w14:paraId="1C2B94DB"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1.99</w:t>
            </w:r>
          </w:p>
        </w:tc>
        <w:tc>
          <w:tcPr>
            <w:tcW w:w="0" w:type="auto"/>
            <w:hideMark/>
          </w:tcPr>
          <w:p w14:paraId="4EFA58C5"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0.50 [out of range]</w:t>
            </w:r>
          </w:p>
        </w:tc>
        <w:tc>
          <w:tcPr>
            <w:tcW w:w="1948" w:type="dxa"/>
            <w:hideMark/>
          </w:tcPr>
          <w:p w14:paraId="752C54C8"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+0.053</w:t>
            </w:r>
          </w:p>
        </w:tc>
        <w:tc>
          <w:tcPr>
            <w:tcW w:w="1563" w:type="dxa"/>
            <w:hideMark/>
          </w:tcPr>
          <w:p w14:paraId="40BD66FB"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U-shape</w:t>
            </w:r>
          </w:p>
        </w:tc>
      </w:tr>
      <w:tr w:rsidR="002A247D" w:rsidRPr="002D3E61" w14:paraId="14257ABE" w14:textId="77777777" w:rsidTr="002D3E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BA01968" w14:textId="77777777" w:rsidR="00B27CF7" w:rsidRPr="002D3E61" w:rsidRDefault="00B27CF7" w:rsidP="0081454C">
            <w:pPr>
              <w:spacing w:before="40" w:after="40"/>
              <w:rPr>
                <w:b w:val="0"/>
                <w:bCs w:val="0"/>
                <w:color w:val="auto"/>
                <w:sz w:val="20"/>
                <w:szCs w:val="20"/>
              </w:rPr>
            </w:pPr>
            <w:r w:rsidRPr="002D3E61">
              <w:rPr>
                <w:b w:val="0"/>
                <w:bCs w:val="0"/>
                <w:color w:val="auto"/>
                <w:sz w:val="20"/>
                <w:szCs w:val="20"/>
              </w:rPr>
              <w:t>PA</w:t>
            </w:r>
          </w:p>
        </w:tc>
        <w:tc>
          <w:tcPr>
            <w:tcW w:w="0" w:type="auto"/>
            <w:shd w:val="clear" w:color="auto" w:fill="auto"/>
            <w:hideMark/>
          </w:tcPr>
          <w:p w14:paraId="07FB7A95"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Medium (Q50)</w:t>
            </w:r>
          </w:p>
        </w:tc>
        <w:tc>
          <w:tcPr>
            <w:tcW w:w="0" w:type="auto"/>
            <w:shd w:val="clear" w:color="auto" w:fill="auto"/>
            <w:hideMark/>
          </w:tcPr>
          <w:p w14:paraId="559A6AC3"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3.03</w:t>
            </w:r>
          </w:p>
        </w:tc>
        <w:tc>
          <w:tcPr>
            <w:tcW w:w="0" w:type="auto"/>
            <w:shd w:val="clear" w:color="auto" w:fill="auto"/>
            <w:hideMark/>
          </w:tcPr>
          <w:p w14:paraId="1FFEA35E"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 [out of range]</w:t>
            </w:r>
          </w:p>
        </w:tc>
        <w:tc>
          <w:tcPr>
            <w:tcW w:w="1948" w:type="dxa"/>
            <w:shd w:val="clear" w:color="auto" w:fill="auto"/>
            <w:hideMark/>
          </w:tcPr>
          <w:p w14:paraId="06CE0F8A"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+0.007</w:t>
            </w:r>
          </w:p>
        </w:tc>
        <w:tc>
          <w:tcPr>
            <w:tcW w:w="1563" w:type="dxa"/>
            <w:shd w:val="clear" w:color="auto" w:fill="auto"/>
            <w:hideMark/>
          </w:tcPr>
          <w:p w14:paraId="2A36D210" w14:textId="77777777" w:rsidR="00B27CF7" w:rsidRPr="002D3E61" w:rsidRDefault="00B27CF7" w:rsidP="0081454C">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2D3E61">
              <w:rPr>
                <w:color w:val="auto"/>
                <w:sz w:val="20"/>
                <w:szCs w:val="20"/>
              </w:rPr>
              <w:t>Near-linear</w:t>
            </w:r>
          </w:p>
        </w:tc>
      </w:tr>
      <w:tr w:rsidR="002A247D" w:rsidRPr="002A247D" w14:paraId="5D114425" w14:textId="77777777" w:rsidTr="002D3E61">
        <w:tc>
          <w:tcPr>
            <w:cnfStyle w:val="001000000000" w:firstRow="0" w:lastRow="0" w:firstColumn="1" w:lastColumn="0" w:oddVBand="0" w:evenVBand="0" w:oddHBand="0" w:evenHBand="0" w:firstRowFirstColumn="0" w:firstRowLastColumn="0" w:lastRowFirstColumn="0" w:lastRowLastColumn="0"/>
            <w:tcW w:w="0" w:type="auto"/>
            <w:hideMark/>
          </w:tcPr>
          <w:p w14:paraId="7CE29712" w14:textId="77777777" w:rsidR="00B27CF7" w:rsidRPr="002D3E61" w:rsidRDefault="00B27CF7" w:rsidP="0081454C">
            <w:pPr>
              <w:spacing w:before="40" w:after="40"/>
              <w:rPr>
                <w:b w:val="0"/>
                <w:bCs w:val="0"/>
                <w:color w:val="auto"/>
                <w:sz w:val="20"/>
                <w:szCs w:val="20"/>
              </w:rPr>
            </w:pPr>
            <w:r w:rsidRPr="002D3E61">
              <w:rPr>
                <w:b w:val="0"/>
                <w:bCs w:val="0"/>
                <w:color w:val="auto"/>
                <w:sz w:val="20"/>
                <w:szCs w:val="20"/>
              </w:rPr>
              <w:t>PA</w:t>
            </w:r>
          </w:p>
        </w:tc>
        <w:tc>
          <w:tcPr>
            <w:tcW w:w="0" w:type="auto"/>
            <w:hideMark/>
          </w:tcPr>
          <w:p w14:paraId="1BCA9BC1"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High (Q75)</w:t>
            </w:r>
          </w:p>
        </w:tc>
        <w:tc>
          <w:tcPr>
            <w:tcW w:w="0" w:type="auto"/>
            <w:hideMark/>
          </w:tcPr>
          <w:p w14:paraId="46C60BA9"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4.03</w:t>
            </w:r>
          </w:p>
        </w:tc>
        <w:tc>
          <w:tcPr>
            <w:tcW w:w="0" w:type="auto"/>
            <w:hideMark/>
          </w:tcPr>
          <w:p w14:paraId="36BA365A"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7.57 [out of range]</w:t>
            </w:r>
          </w:p>
        </w:tc>
        <w:tc>
          <w:tcPr>
            <w:tcW w:w="1948" w:type="dxa"/>
            <w:hideMark/>
          </w:tcPr>
          <w:p w14:paraId="20C3DA03" w14:textId="77777777" w:rsidR="00B27CF7" w:rsidRPr="002D3E61"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−0.038</w:t>
            </w:r>
          </w:p>
        </w:tc>
        <w:tc>
          <w:tcPr>
            <w:tcW w:w="1563" w:type="dxa"/>
            <w:hideMark/>
          </w:tcPr>
          <w:p w14:paraId="148F6B3A" w14:textId="77777777" w:rsidR="00B27CF7" w:rsidRPr="00B27CF7" w:rsidRDefault="00B27CF7" w:rsidP="0081454C">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2D3E61">
              <w:rPr>
                <w:color w:val="auto"/>
                <w:sz w:val="20"/>
                <w:szCs w:val="20"/>
              </w:rPr>
              <w:t>Inverted-U</w:t>
            </w:r>
          </w:p>
        </w:tc>
      </w:tr>
    </w:tbl>
    <w:p w14:paraId="7A70227E" w14:textId="77777777" w:rsidR="00B27CF7" w:rsidRPr="00B27CF7" w:rsidRDefault="00B27CF7" w:rsidP="0081454C">
      <w:pPr>
        <w:spacing w:before="80" w:after="80"/>
        <w:rPr>
          <w:i/>
          <w:iCs/>
        </w:rPr>
      </w:pPr>
      <w:r w:rsidRPr="00B27CF7">
        <w:rPr>
          <w:b/>
          <w:bCs/>
          <w:i/>
          <w:iCs/>
          <w:sz w:val="20"/>
          <w:szCs w:val="20"/>
        </w:rPr>
        <w:t>Note.</w:t>
      </w:r>
      <w:r w:rsidRPr="00B27CF7">
        <w:rPr>
          <w:i/>
          <w:iCs/>
          <w:sz w:val="20"/>
          <w:szCs w:val="20"/>
        </w:rPr>
        <w:t xml:space="preserve"> Values converted to the raw 1–5 Likert scale (raw = centered inflection point + construct grand mean; AIP grand mean = 3.024, PA grand mean = 3.157). Effective quadratic coefficient = b₂ + b₇ × DR (centered) for AIP; b₄ + b₉ × DR (centered) for PA. Q25, Q50, Q75 refer to the 25th, 50th, and 75th percentiles of the DR factor score distribution. DR raw values derived from factor score percentiles plus DR grand mean (3.139). "Out of range" indicates the inflection point falls outside the 1–5 scale and should be interpreted with caution.</w:t>
      </w:r>
    </w:p>
    <w:p w14:paraId="21533C79" w14:textId="77777777" w:rsidR="000F5A88" w:rsidRPr="002A247D" w:rsidRDefault="00000000">
      <w:pPr>
        <w:spacing w:before="240" w:line="480" w:lineRule="auto"/>
        <w:rPr>
          <w:b/>
          <w:bCs/>
        </w:rPr>
      </w:pPr>
      <w:r w:rsidRPr="002A247D">
        <w:rPr>
          <w:b/>
          <w:bCs/>
          <w:i/>
          <w:iCs/>
        </w:rPr>
        <w:t>Figure 1</w:t>
      </w:r>
    </w:p>
    <w:p w14:paraId="1143A4F5" w14:textId="77777777" w:rsidR="000F5A88" w:rsidRPr="002A247D" w:rsidRDefault="00000000">
      <w:pPr>
        <w:spacing w:after="120" w:line="480" w:lineRule="auto"/>
        <w:rPr>
          <w:i/>
          <w:iCs/>
        </w:rPr>
      </w:pPr>
      <w:r w:rsidRPr="002A247D">
        <w:rPr>
          <w:i/>
          <w:iCs/>
        </w:rPr>
        <w:lastRenderedPageBreak/>
        <w:t>Moderated Nonlinear Effects of AIP and PA on FSP at Three DR Levels</w:t>
      </w:r>
    </w:p>
    <w:p w14:paraId="6B1C0AEA" w14:textId="40B553F5" w:rsidR="000F5A88" w:rsidRPr="002A247D" w:rsidRDefault="00E10FE5">
      <w:pPr>
        <w:spacing w:line="480" w:lineRule="auto"/>
        <w:jc w:val="center"/>
      </w:pPr>
      <w:r w:rsidRPr="002A247D">
        <w:rPr>
          <w:noProof/>
        </w:rPr>
        <w:drawing>
          <wp:inline distT="0" distB="0" distL="0" distR="0" wp14:anchorId="0762C628" wp14:editId="7C9CA97C">
            <wp:extent cx="5943600" cy="2456815"/>
            <wp:effectExtent l="0" t="0" r="0" b="635"/>
            <wp:docPr id="15923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93208" name=""/>
                    <pic:cNvPicPr/>
                  </pic:nvPicPr>
                  <pic:blipFill>
                    <a:blip r:embed="rId5"/>
                    <a:stretch>
                      <a:fillRect/>
                    </a:stretch>
                  </pic:blipFill>
                  <pic:spPr>
                    <a:xfrm>
                      <a:off x="0" y="0"/>
                      <a:ext cx="5943600" cy="2456815"/>
                    </a:xfrm>
                    <a:prstGeom prst="rect">
                      <a:avLst/>
                    </a:prstGeom>
                  </pic:spPr>
                </pic:pic>
              </a:graphicData>
            </a:graphic>
          </wp:inline>
        </w:drawing>
      </w:r>
    </w:p>
    <w:p w14:paraId="2DDBB0E4" w14:textId="0C59A894" w:rsidR="000F5A88" w:rsidRPr="002A247D" w:rsidRDefault="00000000">
      <w:pPr>
        <w:spacing w:before="60"/>
        <w:rPr>
          <w:i/>
          <w:iCs/>
        </w:rPr>
      </w:pPr>
      <w:r w:rsidRPr="002A247D">
        <w:rPr>
          <w:b/>
          <w:bCs/>
          <w:i/>
          <w:iCs/>
          <w:sz w:val="20"/>
          <w:szCs w:val="20"/>
        </w:rPr>
        <w:t>Note.</w:t>
      </w:r>
      <w:r w:rsidRPr="002A247D">
        <w:rPr>
          <w:i/>
          <w:iCs/>
          <w:sz w:val="20"/>
          <w:szCs w:val="20"/>
        </w:rPr>
        <w:t xml:space="preserve"> </w:t>
      </w:r>
      <w:r w:rsidR="00E10FE5" w:rsidRPr="002A247D">
        <w:rPr>
          <w:i/>
          <w:iCs/>
          <w:sz w:val="20"/>
          <w:szCs w:val="20"/>
        </w:rPr>
        <w:t>Predicted values are derived from Model C (factor score regression). DR levels correspond to the 25th percentile (Low DR: Q25 = 1.99 on raw scale; solid blue line), 50th percentile (Medium DR: Q50 = 3.03; dashed green line), and 75th percentile (High DR: Q75 = 4.03; dotted red line). Solid circles in Panel A indicate conditional inflection points. The inflection point for AIP is observable within the 1–5 scale range only at high DR (AIP* = 0.08), consistent with the significant AIP² × DR interaction (b = −0.060, p &lt; 0.001). Panel B illustrates the PA–FSP relationship across DR levels; the PA² × DR interaction (b = −0.045, p &lt; 0.001) indicates a shift from convex to concave curvature as DR increases, though inflection points fall outside the observable scale range.</w:t>
      </w:r>
    </w:p>
    <w:p w14:paraId="73664DA9" w14:textId="77777777" w:rsidR="000F5A88" w:rsidRPr="002A247D" w:rsidRDefault="00000000" w:rsidP="003D2E75">
      <w:pPr>
        <w:pStyle w:val="Heading2"/>
        <w:spacing w:before="120" w:after="120"/>
      </w:pPr>
      <w:r w:rsidRPr="002A247D">
        <w:rPr>
          <w:sz w:val="26"/>
          <w:szCs w:val="26"/>
        </w:rPr>
        <w:t>4.5 Power Analysis and Robustness Checks</w:t>
      </w:r>
    </w:p>
    <w:p w14:paraId="1FB9E1EF" w14:textId="77777777" w:rsidR="00CB4F24" w:rsidRPr="00CB4F24" w:rsidRDefault="00CB4F24" w:rsidP="00CB4F24">
      <w:pPr>
        <w:spacing w:line="480" w:lineRule="auto"/>
      </w:pPr>
      <w:r w:rsidRPr="00CB4F24">
        <w:rPr>
          <w:b/>
          <w:bCs/>
        </w:rPr>
        <w:t>Power analysis.</w:t>
      </w:r>
      <w:r w:rsidRPr="00CB4F24">
        <w:t xml:space="preserve"> Post-hoc power analysis (Cohen, 1988) was conducted using the observed </w:t>
      </w:r>
      <w:r w:rsidRPr="00CB4F24">
        <w:rPr>
          <w:i/>
          <w:iCs/>
        </w:rPr>
        <w:t>f</w:t>
      </w:r>
      <w:r w:rsidRPr="00CB4F24">
        <w:t xml:space="preserve">² values from Model C, with </w:t>
      </w:r>
      <w:r w:rsidRPr="00CB4F24">
        <w:rPr>
          <w:i/>
          <w:iCs/>
        </w:rPr>
        <w:t>N</w:t>
      </w:r>
      <w:r w:rsidRPr="00CB4F24">
        <w:t xml:space="preserve"> = 522 and nine predictors (</w:t>
      </w:r>
      <w:r w:rsidRPr="00CB4F24">
        <w:rPr>
          <w:i/>
          <w:iCs/>
        </w:rPr>
        <w:t>df</w:t>
      </w:r>
      <w:r w:rsidRPr="00CB4F24">
        <w:t>residual = 512). Power was high for both critical moderation hypotheses: H3 (</w:t>
      </w:r>
      <w:r w:rsidRPr="00CB4F24">
        <w:rPr>
          <w:i/>
          <w:iCs/>
        </w:rPr>
        <w:t>f</w:t>
      </w:r>
      <w:r w:rsidRPr="00CB4F24">
        <w:t>² = 0.030, power = 0.976) and H4 (</w:t>
      </w:r>
      <w:r w:rsidRPr="00CB4F24">
        <w:rPr>
          <w:i/>
          <w:iCs/>
        </w:rPr>
        <w:t>f</w:t>
      </w:r>
      <w:r w:rsidRPr="00CB4F24">
        <w:t>² = 0.018, power = 0.865). Power was substantially lower for the unconditional quadratic hypotheses: H1 (</w:t>
      </w:r>
      <w:r w:rsidRPr="00CB4F24">
        <w:rPr>
          <w:i/>
          <w:iCs/>
        </w:rPr>
        <w:t>f</w:t>
      </w:r>
      <w:r w:rsidRPr="00CB4F24">
        <w:t>² = 0.000, power = 0.064) and H2 (</w:t>
      </w:r>
      <w:r w:rsidRPr="00CB4F24">
        <w:rPr>
          <w:i/>
          <w:iCs/>
        </w:rPr>
        <w:t>f</w:t>
      </w:r>
      <w:r w:rsidRPr="00CB4F24">
        <w:t xml:space="preserve">² = 0.000, power = 0.052). The minimum detectable effect size at 80% power was </w:t>
      </w:r>
      <w:r w:rsidRPr="00CB4F24">
        <w:rPr>
          <w:i/>
          <w:iCs/>
        </w:rPr>
        <w:t>f</w:t>
      </w:r>
      <w:r w:rsidRPr="00CB4F24">
        <w:t xml:space="preserve">² = 0.016. With </w:t>
      </w:r>
      <w:r w:rsidRPr="00CB4F24">
        <w:rPr>
          <w:i/>
          <w:iCs/>
        </w:rPr>
        <w:t>N</w:t>
      </w:r>
      <w:r w:rsidRPr="00CB4F24">
        <w:t xml:space="preserve"> = 522, the sample exceeds all established power benchmarks for latent variable modeling with small quadratic interaction effects (Wolf et al., 2013; Kline, 2016; Bauer, 2017), and the a priori minimum of </w:t>
      </w:r>
      <w:r w:rsidRPr="00CB4F24">
        <w:rPr>
          <w:i/>
          <w:iCs/>
        </w:rPr>
        <w:t>N</w:t>
      </w:r>
      <w:r w:rsidRPr="00CB4F24">
        <w:t xml:space="preserve"> = 400 required to detect a small interaction effect (</w:t>
      </w:r>
      <w:r w:rsidRPr="00CB4F24">
        <w:rPr>
          <w:i/>
          <w:iCs/>
        </w:rPr>
        <w:t>f</w:t>
      </w:r>
      <w:r w:rsidRPr="00CB4F24">
        <w:t xml:space="preserve">² = 0.02) at 80% power is surpassed. The non-significant results for H1 and H2 should therefore be interpreted as reflecting genuinely negligible unconditional quadratic effects rather </w:t>
      </w:r>
      <w:r w:rsidRPr="00CB4F24">
        <w:lastRenderedPageBreak/>
        <w:t>than insufficient statistical power, given that the observed effect sizes fall well below the minimum detectable threshold.</w:t>
      </w:r>
    </w:p>
    <w:p w14:paraId="391D3EFA" w14:textId="77777777" w:rsidR="00CB4F24" w:rsidRPr="00CB4F24" w:rsidRDefault="00CB4F24" w:rsidP="00CB4F24">
      <w:pPr>
        <w:spacing w:line="480" w:lineRule="auto"/>
      </w:pPr>
      <w:r w:rsidRPr="00CB4F24">
        <w:rPr>
          <w:b/>
          <w:bCs/>
        </w:rPr>
        <w:t>Robustness checks.</w:t>
      </w:r>
      <w:r w:rsidRPr="00CB4F24">
        <w:t xml:space="preserve"> Four checks were performed to evaluate the stability of the Model C findings.</w:t>
      </w:r>
    </w:p>
    <w:p w14:paraId="3205DCA8" w14:textId="77777777" w:rsidR="00CB4F24" w:rsidRPr="00CB4F24" w:rsidRDefault="00CB4F24" w:rsidP="00CB4F24">
      <w:pPr>
        <w:spacing w:line="480" w:lineRule="auto"/>
      </w:pPr>
      <w:r w:rsidRPr="00CB4F24">
        <w:t>First, multivariate outlier detection using Mahalanobis distance (</w:t>
      </w:r>
      <w:r w:rsidRPr="00CB4F24">
        <w:rPr>
          <w:i/>
          <w:iCs/>
        </w:rPr>
        <w:t>p</w:t>
      </w:r>
      <w:r w:rsidRPr="00CB4F24">
        <w:t xml:space="preserve"> &lt; 0.001) identified no influential cases (0 of 522 observations flagged). Re-estimation of Model C on the full sample therefore produced identical results to the main analysis.</w:t>
      </w:r>
    </w:p>
    <w:p w14:paraId="25EED8B9" w14:textId="77777777" w:rsidR="00CB4F24" w:rsidRPr="00CB4F24" w:rsidRDefault="00CB4F24" w:rsidP="00CB4F24">
      <w:pPr>
        <w:spacing w:line="480" w:lineRule="auto"/>
      </w:pPr>
      <w:r w:rsidRPr="00CB4F24">
        <w:t xml:space="preserve">Second, a 70/30 split-sample cross-validation was conducted (calibration </w:t>
      </w:r>
      <w:r w:rsidRPr="00CB4F24">
        <w:rPr>
          <w:i/>
          <w:iCs/>
        </w:rPr>
        <w:t>n</w:t>
      </w:r>
      <w:r w:rsidRPr="00CB4F24">
        <w:t xml:space="preserve"> = 365; holdout </w:t>
      </w:r>
      <w:r w:rsidRPr="00CB4F24">
        <w:rPr>
          <w:i/>
          <w:iCs/>
        </w:rPr>
        <w:t>n</w:t>
      </w:r>
      <w:r w:rsidRPr="00CB4F24">
        <w:t xml:space="preserve"> = 157). In the calibration subsample, the primary linear effects (AIP: </w:t>
      </w:r>
      <w:r w:rsidRPr="00CB4F24">
        <w:rPr>
          <w:i/>
          <w:iCs/>
        </w:rPr>
        <w:t>b</w:t>
      </w:r>
      <w:r w:rsidRPr="00CB4F24">
        <w:t xml:space="preserve"> = −0.336, </w:t>
      </w:r>
      <w:r w:rsidRPr="00CB4F24">
        <w:rPr>
          <w:i/>
          <w:iCs/>
        </w:rPr>
        <w:t>p</w:t>
      </w:r>
      <w:r w:rsidRPr="00CB4F24">
        <w:t xml:space="preserve"> &lt; 0.001; PA: </w:t>
      </w:r>
      <w:r w:rsidRPr="00CB4F24">
        <w:rPr>
          <w:i/>
          <w:iCs/>
        </w:rPr>
        <w:t>b</w:t>
      </w:r>
      <w:r w:rsidRPr="00CB4F24">
        <w:t xml:space="preserve"> = +0.313, </w:t>
      </w:r>
      <w:r w:rsidRPr="00CB4F24">
        <w:rPr>
          <w:i/>
          <w:iCs/>
        </w:rPr>
        <w:t>p</w:t>
      </w:r>
      <w:r w:rsidRPr="00CB4F24">
        <w:t xml:space="preserve"> &lt; 0.001; DR: </w:t>
      </w:r>
      <w:r w:rsidRPr="00CB4F24">
        <w:rPr>
          <w:i/>
          <w:iCs/>
        </w:rPr>
        <w:t>b</w:t>
      </w:r>
      <w:r w:rsidRPr="00CB4F24">
        <w:t xml:space="preserve"> = +0.551, </w:t>
      </w:r>
      <w:r w:rsidRPr="00CB4F24">
        <w:rPr>
          <w:i/>
          <w:iCs/>
        </w:rPr>
        <w:t>p</w:t>
      </w:r>
      <w:r w:rsidRPr="00CB4F24">
        <w:t xml:space="preserve"> &lt; 0.001) and both critical interaction effects (AIP² × DR: </w:t>
      </w:r>
      <w:r w:rsidRPr="00CB4F24">
        <w:rPr>
          <w:i/>
          <w:iCs/>
        </w:rPr>
        <w:t>b</w:t>
      </w:r>
      <w:r w:rsidRPr="00CB4F24">
        <w:t xml:space="preserve"> = −0.054, </w:t>
      </w:r>
      <w:r w:rsidRPr="00CB4F24">
        <w:rPr>
          <w:i/>
          <w:iCs/>
        </w:rPr>
        <w:t>p</w:t>
      </w:r>
      <w:r w:rsidRPr="00CB4F24">
        <w:t xml:space="preserve"> = 0.001; PA² × DR: </w:t>
      </w:r>
      <w:r w:rsidRPr="00CB4F24">
        <w:rPr>
          <w:i/>
          <w:iCs/>
        </w:rPr>
        <w:t>b</w:t>
      </w:r>
      <w:r w:rsidRPr="00CB4F24">
        <w:t xml:space="preserve"> = −0.052, </w:t>
      </w:r>
      <w:r w:rsidRPr="00CB4F24">
        <w:rPr>
          <w:i/>
          <w:iCs/>
        </w:rPr>
        <w:t>p</w:t>
      </w:r>
      <w:r w:rsidRPr="00CB4F24">
        <w:t xml:space="preserve"> = 0.001) all replicated in the expected directions. In the holdout subsample (</w:t>
      </w:r>
      <w:r w:rsidRPr="00CB4F24">
        <w:rPr>
          <w:i/>
          <w:iCs/>
        </w:rPr>
        <w:t>n</w:t>
      </w:r>
      <w:r w:rsidRPr="00CB4F24">
        <w:t xml:space="preserve"> = 157), the primary linear effects also replicated (AIP: </w:t>
      </w:r>
      <w:r w:rsidRPr="00CB4F24">
        <w:rPr>
          <w:i/>
          <w:iCs/>
        </w:rPr>
        <w:t>b</w:t>
      </w:r>
      <w:r w:rsidRPr="00CB4F24">
        <w:t xml:space="preserve"> = −0.441, </w:t>
      </w:r>
      <w:r w:rsidRPr="00CB4F24">
        <w:rPr>
          <w:i/>
          <w:iCs/>
        </w:rPr>
        <w:t>p</w:t>
      </w:r>
      <w:r w:rsidRPr="00CB4F24">
        <w:t xml:space="preserve"> &lt; 0.001; PA: </w:t>
      </w:r>
      <w:r w:rsidRPr="00CB4F24">
        <w:rPr>
          <w:i/>
          <w:iCs/>
        </w:rPr>
        <w:t>b</w:t>
      </w:r>
      <w:r w:rsidRPr="00CB4F24">
        <w:t xml:space="preserve"> = +0.318, </w:t>
      </w:r>
      <w:r w:rsidRPr="00CB4F24">
        <w:rPr>
          <w:i/>
          <w:iCs/>
        </w:rPr>
        <w:t>p</w:t>
      </w:r>
      <w:r w:rsidRPr="00CB4F24">
        <w:t xml:space="preserve"> &lt; 0.001; DR: </w:t>
      </w:r>
      <w:r w:rsidRPr="00CB4F24">
        <w:rPr>
          <w:i/>
          <w:iCs/>
        </w:rPr>
        <w:t>b</w:t>
      </w:r>
      <w:r w:rsidRPr="00CB4F24">
        <w:t xml:space="preserve"> = +0.468, </w:t>
      </w:r>
      <w:r w:rsidRPr="00CB4F24">
        <w:rPr>
          <w:i/>
          <w:iCs/>
        </w:rPr>
        <w:t>p</w:t>
      </w:r>
      <w:r w:rsidRPr="00CB4F24">
        <w:t xml:space="preserve"> &lt; 0.001), and the H3 interaction remained significant (AIP² × DR: </w:t>
      </w:r>
      <w:r w:rsidRPr="00CB4F24">
        <w:rPr>
          <w:i/>
          <w:iCs/>
        </w:rPr>
        <w:t>b</w:t>
      </w:r>
      <w:r w:rsidRPr="00CB4F24">
        <w:t xml:space="preserve"> = −0.083, </w:t>
      </w:r>
      <w:r w:rsidRPr="00CB4F24">
        <w:rPr>
          <w:i/>
          <w:iCs/>
        </w:rPr>
        <w:t>p</w:t>
      </w:r>
      <w:r w:rsidRPr="00CB4F24">
        <w:t xml:space="preserve"> = 0.002). The H4 interaction did not reach conventional significance in the holdout subsample (PA² × DR: </w:t>
      </w:r>
      <w:r w:rsidRPr="00CB4F24">
        <w:rPr>
          <w:i/>
          <w:iCs/>
        </w:rPr>
        <w:t>b</w:t>
      </w:r>
      <w:r w:rsidRPr="00CB4F24">
        <w:t xml:space="preserve"> = −0.037, </w:t>
      </w:r>
      <w:r w:rsidRPr="00CB4F24">
        <w:rPr>
          <w:i/>
          <w:iCs/>
        </w:rPr>
        <w:t>p</w:t>
      </w:r>
      <w:r w:rsidRPr="00CB4F24">
        <w:t xml:space="preserve"> = 0.190), consistent with reduced power in the smaller subsample. These results provide substantial support for the stability of the findings.</w:t>
      </w:r>
    </w:p>
    <w:p w14:paraId="56FCF3D1" w14:textId="77777777" w:rsidR="00CB4F24" w:rsidRPr="00CB4F24" w:rsidRDefault="00CB4F24" w:rsidP="00CB4F24">
      <w:pPr>
        <w:spacing w:line="480" w:lineRule="auto"/>
      </w:pPr>
      <w:r w:rsidRPr="00CB4F24">
        <w:t>Third, the measurement model was re-estimated using WLSMV estimation treating Likert responses as ordinal. Model fit remained acceptable (CFI = 0.982, TLI = 0.979, RMSEA = 0.080, SRMR = 0.068). Standardized loadings showed a mean absolute difference of 0.028 relative to the MLR solution (maximum absolute difference = 0.063). Structural conclusions were unchanged.</w:t>
      </w:r>
    </w:p>
    <w:p w14:paraId="4122851F" w14:textId="77777777" w:rsidR="00CB4F24" w:rsidRPr="00CB4F24" w:rsidRDefault="00CB4F24" w:rsidP="00CB4F24">
      <w:pPr>
        <w:spacing w:line="480" w:lineRule="auto"/>
      </w:pPr>
      <w:r w:rsidRPr="00CB4F24">
        <w:lastRenderedPageBreak/>
        <w:t xml:space="preserve">Fourth, MM-estimator robust regression was applied to Model C. The pattern of significance for all major paths was consistent with the main results, including both critical interaction effects (AIP² × DR: </w:t>
      </w:r>
      <w:r w:rsidRPr="00CB4F24">
        <w:rPr>
          <w:i/>
          <w:iCs/>
        </w:rPr>
        <w:t>b</w:t>
      </w:r>
      <w:r w:rsidRPr="00CB4F24">
        <w:t xml:space="preserve"> = −0.059, </w:t>
      </w:r>
      <w:r w:rsidRPr="00CB4F24">
        <w:rPr>
          <w:i/>
          <w:iCs/>
        </w:rPr>
        <w:t>p</w:t>
      </w:r>
      <w:r w:rsidRPr="00CB4F24">
        <w:t xml:space="preserve"> &lt; 0.001; PA² × DR: </w:t>
      </w:r>
      <w:r w:rsidRPr="00CB4F24">
        <w:rPr>
          <w:i/>
          <w:iCs/>
        </w:rPr>
        <w:t>b</w:t>
      </w:r>
      <w:r w:rsidRPr="00CB4F24">
        <w:t xml:space="preserve"> = −0.047, </w:t>
      </w:r>
      <w:r w:rsidRPr="00CB4F24">
        <w:rPr>
          <w:i/>
          <w:iCs/>
        </w:rPr>
        <w:t>p</w:t>
      </w:r>
      <w:r w:rsidRPr="00CB4F24">
        <w:t xml:space="preserve"> = 0.003). A summary of key coefficients across robustness checks is presented in Table 6.</w:t>
      </w:r>
    </w:p>
    <w:p w14:paraId="6459DB30" w14:textId="77777777" w:rsidR="00CB4F24" w:rsidRPr="00CB4F24" w:rsidRDefault="00CB4F24" w:rsidP="00CB4F24">
      <w:pPr>
        <w:spacing w:line="480" w:lineRule="auto"/>
      </w:pPr>
      <w:r w:rsidRPr="00CB4F24">
        <w:t>Bootstrap BCa confidence intervals based on 2,000 replications (zero bootstrap failures) further corroborated all statistically significant effects reported in Section 4.4.</w:t>
      </w:r>
    </w:p>
    <w:p w14:paraId="75175B1A" w14:textId="77777777" w:rsidR="00CB4F24" w:rsidRPr="00CB4F24" w:rsidRDefault="00CB4F24" w:rsidP="00CB4F24">
      <w:pPr>
        <w:spacing w:before="240" w:line="480" w:lineRule="auto"/>
      </w:pPr>
      <w:r w:rsidRPr="00CB4F24">
        <w:rPr>
          <w:b/>
          <w:bCs/>
        </w:rPr>
        <w:t>Table 6</w:t>
      </w:r>
    </w:p>
    <w:p w14:paraId="1C0EFA1F" w14:textId="77777777" w:rsidR="00CB4F24" w:rsidRPr="00CB4F24" w:rsidRDefault="00CB4F24" w:rsidP="00CB4F24">
      <w:pPr>
        <w:spacing w:before="240" w:line="480" w:lineRule="auto"/>
      </w:pPr>
      <w:r w:rsidRPr="00CB4F24">
        <w:rPr>
          <w:i/>
          <w:iCs/>
        </w:rPr>
        <w:t>Key Coefficients Across Robustness Checks</w:t>
      </w:r>
    </w:p>
    <w:tbl>
      <w:tblPr>
        <w:tblStyle w:val="ListTable6Colorful"/>
        <w:tblW w:w="0" w:type="auto"/>
        <w:tblLook w:val="04A0" w:firstRow="1" w:lastRow="0" w:firstColumn="1" w:lastColumn="0" w:noHBand="0" w:noVBand="1"/>
      </w:tblPr>
      <w:tblGrid>
        <w:gridCol w:w="1556"/>
        <w:gridCol w:w="1525"/>
        <w:gridCol w:w="1705"/>
        <w:gridCol w:w="1525"/>
      </w:tblGrid>
      <w:tr w:rsidR="002A247D" w:rsidRPr="005D310A" w14:paraId="66DB6EDA" w14:textId="77777777" w:rsidTr="005D3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E2C8A" w14:textId="77777777" w:rsidR="00CB4F24" w:rsidRPr="005D310A" w:rsidRDefault="00CB4F24" w:rsidP="00CB4F24">
            <w:pPr>
              <w:spacing w:before="40" w:after="40"/>
              <w:rPr>
                <w:color w:val="auto"/>
                <w:sz w:val="20"/>
                <w:szCs w:val="20"/>
              </w:rPr>
            </w:pPr>
            <w:r w:rsidRPr="005D310A">
              <w:rPr>
                <w:color w:val="auto"/>
                <w:sz w:val="20"/>
                <w:szCs w:val="20"/>
              </w:rPr>
              <w:t>Term</w:t>
            </w:r>
          </w:p>
        </w:tc>
        <w:tc>
          <w:tcPr>
            <w:tcW w:w="0" w:type="auto"/>
            <w:hideMark/>
          </w:tcPr>
          <w:p w14:paraId="201F633B" w14:textId="77777777" w:rsidR="00CB4F24" w:rsidRPr="005D310A" w:rsidRDefault="00CB4F24" w:rsidP="00CB4F24">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Main Model</w:t>
            </w:r>
          </w:p>
        </w:tc>
        <w:tc>
          <w:tcPr>
            <w:tcW w:w="0" w:type="auto"/>
            <w:hideMark/>
          </w:tcPr>
          <w:p w14:paraId="6F2E91A4" w14:textId="77777777" w:rsidR="00CB4F24" w:rsidRPr="005D310A" w:rsidRDefault="00CB4F24" w:rsidP="00CB4F24">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Outlier-Removed</w:t>
            </w:r>
          </w:p>
        </w:tc>
        <w:tc>
          <w:tcPr>
            <w:tcW w:w="0" w:type="auto"/>
            <w:hideMark/>
          </w:tcPr>
          <w:p w14:paraId="68963E28" w14:textId="77777777" w:rsidR="00CB4F24" w:rsidRPr="005D310A" w:rsidRDefault="00CB4F24" w:rsidP="00CB4F24">
            <w:pPr>
              <w:spacing w:before="40" w:after="40"/>
              <w:cnfStyle w:val="100000000000" w:firstRow="1"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MM-Estimator</w:t>
            </w:r>
          </w:p>
        </w:tc>
      </w:tr>
      <w:tr w:rsidR="002A247D" w:rsidRPr="005D310A" w14:paraId="2B33965F" w14:textId="77777777" w:rsidTr="005D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B3897BC" w14:textId="77777777" w:rsidR="00CB4F24" w:rsidRPr="005D310A" w:rsidRDefault="00CB4F24" w:rsidP="00CB4F24">
            <w:pPr>
              <w:spacing w:before="40" w:after="40"/>
              <w:rPr>
                <w:color w:val="auto"/>
                <w:sz w:val="20"/>
                <w:szCs w:val="20"/>
              </w:rPr>
            </w:pPr>
          </w:p>
        </w:tc>
        <w:tc>
          <w:tcPr>
            <w:tcW w:w="0" w:type="auto"/>
            <w:shd w:val="clear" w:color="auto" w:fill="auto"/>
            <w:hideMark/>
          </w:tcPr>
          <w:p w14:paraId="1521C86A"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i/>
                <w:iCs/>
                <w:color w:val="auto"/>
                <w:sz w:val="20"/>
                <w:szCs w:val="20"/>
              </w:rPr>
              <w:t>b</w:t>
            </w:r>
            <w:r w:rsidRPr="005D310A">
              <w:rPr>
                <w:color w:val="auto"/>
                <w:sz w:val="20"/>
                <w:szCs w:val="20"/>
              </w:rPr>
              <w:t xml:space="preserve"> (</w:t>
            </w:r>
            <w:r w:rsidRPr="005D310A">
              <w:rPr>
                <w:i/>
                <w:iCs/>
                <w:color w:val="auto"/>
                <w:sz w:val="20"/>
                <w:szCs w:val="20"/>
              </w:rPr>
              <w:t>p</w:t>
            </w:r>
            <w:r w:rsidRPr="005D310A">
              <w:rPr>
                <w:color w:val="auto"/>
                <w:sz w:val="20"/>
                <w:szCs w:val="20"/>
              </w:rPr>
              <w:t>)</w:t>
            </w:r>
          </w:p>
        </w:tc>
        <w:tc>
          <w:tcPr>
            <w:tcW w:w="0" w:type="auto"/>
            <w:shd w:val="clear" w:color="auto" w:fill="auto"/>
            <w:hideMark/>
          </w:tcPr>
          <w:p w14:paraId="4C123810"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i/>
                <w:iCs/>
                <w:color w:val="auto"/>
                <w:sz w:val="20"/>
                <w:szCs w:val="20"/>
              </w:rPr>
              <w:t>b</w:t>
            </w:r>
            <w:r w:rsidRPr="005D310A">
              <w:rPr>
                <w:color w:val="auto"/>
                <w:sz w:val="20"/>
                <w:szCs w:val="20"/>
              </w:rPr>
              <w:t xml:space="preserve"> (</w:t>
            </w:r>
            <w:r w:rsidRPr="005D310A">
              <w:rPr>
                <w:i/>
                <w:iCs/>
                <w:color w:val="auto"/>
                <w:sz w:val="20"/>
                <w:szCs w:val="20"/>
              </w:rPr>
              <w:t>p</w:t>
            </w:r>
            <w:r w:rsidRPr="005D310A">
              <w:rPr>
                <w:color w:val="auto"/>
                <w:sz w:val="20"/>
                <w:szCs w:val="20"/>
              </w:rPr>
              <w:t>)</w:t>
            </w:r>
          </w:p>
        </w:tc>
        <w:tc>
          <w:tcPr>
            <w:tcW w:w="0" w:type="auto"/>
            <w:shd w:val="clear" w:color="auto" w:fill="auto"/>
            <w:hideMark/>
          </w:tcPr>
          <w:p w14:paraId="71FDA86F"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i/>
                <w:iCs/>
                <w:color w:val="auto"/>
                <w:sz w:val="20"/>
                <w:szCs w:val="20"/>
              </w:rPr>
              <w:t>b</w:t>
            </w:r>
            <w:r w:rsidRPr="005D310A">
              <w:rPr>
                <w:color w:val="auto"/>
                <w:sz w:val="20"/>
                <w:szCs w:val="20"/>
              </w:rPr>
              <w:t xml:space="preserve"> (</w:t>
            </w:r>
            <w:r w:rsidRPr="005D310A">
              <w:rPr>
                <w:i/>
                <w:iCs/>
                <w:color w:val="auto"/>
                <w:sz w:val="20"/>
                <w:szCs w:val="20"/>
              </w:rPr>
              <w:t>p</w:t>
            </w:r>
            <w:r w:rsidRPr="005D310A">
              <w:rPr>
                <w:color w:val="auto"/>
                <w:sz w:val="20"/>
                <w:szCs w:val="20"/>
              </w:rPr>
              <w:t>)</w:t>
            </w:r>
          </w:p>
        </w:tc>
      </w:tr>
      <w:tr w:rsidR="002A247D" w:rsidRPr="005D310A" w14:paraId="52882CAC" w14:textId="77777777" w:rsidTr="005D310A">
        <w:tc>
          <w:tcPr>
            <w:cnfStyle w:val="001000000000" w:firstRow="0" w:lastRow="0" w:firstColumn="1" w:lastColumn="0" w:oddVBand="0" w:evenVBand="0" w:oddHBand="0" w:evenHBand="0" w:firstRowFirstColumn="0" w:firstRowLastColumn="0" w:lastRowFirstColumn="0" w:lastRowLastColumn="0"/>
            <w:tcW w:w="0" w:type="auto"/>
            <w:hideMark/>
          </w:tcPr>
          <w:p w14:paraId="751C91A7" w14:textId="77777777" w:rsidR="00CB4F24" w:rsidRPr="005D310A" w:rsidRDefault="00CB4F24" w:rsidP="00CB4F24">
            <w:pPr>
              <w:spacing w:before="40" w:after="40"/>
              <w:rPr>
                <w:b w:val="0"/>
                <w:bCs w:val="0"/>
                <w:color w:val="auto"/>
                <w:sz w:val="20"/>
                <w:szCs w:val="20"/>
              </w:rPr>
            </w:pPr>
            <w:r w:rsidRPr="005D310A">
              <w:rPr>
                <w:b w:val="0"/>
                <w:bCs w:val="0"/>
                <w:color w:val="auto"/>
                <w:sz w:val="20"/>
                <w:szCs w:val="20"/>
              </w:rPr>
              <w:t>AIP² (H1)</w:t>
            </w:r>
          </w:p>
        </w:tc>
        <w:tc>
          <w:tcPr>
            <w:tcW w:w="0" w:type="auto"/>
            <w:hideMark/>
          </w:tcPr>
          <w:p w14:paraId="640C9705"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−0.006 (0.729)</w:t>
            </w:r>
          </w:p>
        </w:tc>
        <w:tc>
          <w:tcPr>
            <w:tcW w:w="0" w:type="auto"/>
            <w:hideMark/>
          </w:tcPr>
          <w:p w14:paraId="520A95A0"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−0.006 (0.729)</w:t>
            </w:r>
          </w:p>
        </w:tc>
        <w:tc>
          <w:tcPr>
            <w:tcW w:w="0" w:type="auto"/>
            <w:hideMark/>
          </w:tcPr>
          <w:p w14:paraId="7B1AE9CC"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−0.003 (0.893)</w:t>
            </w:r>
          </w:p>
        </w:tc>
      </w:tr>
      <w:tr w:rsidR="002A247D" w:rsidRPr="005D310A" w14:paraId="145DA4B9" w14:textId="77777777" w:rsidTr="005D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D269C2C" w14:textId="77777777" w:rsidR="00CB4F24" w:rsidRPr="005D310A" w:rsidRDefault="00CB4F24" w:rsidP="00CB4F24">
            <w:pPr>
              <w:spacing w:before="40" w:after="40"/>
              <w:rPr>
                <w:b w:val="0"/>
                <w:bCs w:val="0"/>
                <w:color w:val="auto"/>
                <w:sz w:val="20"/>
                <w:szCs w:val="20"/>
              </w:rPr>
            </w:pPr>
            <w:r w:rsidRPr="005D310A">
              <w:rPr>
                <w:b w:val="0"/>
                <w:bCs w:val="0"/>
                <w:color w:val="auto"/>
                <w:sz w:val="20"/>
                <w:szCs w:val="20"/>
              </w:rPr>
              <w:t>PA² (H2)</w:t>
            </w:r>
          </w:p>
        </w:tc>
        <w:tc>
          <w:tcPr>
            <w:tcW w:w="0" w:type="auto"/>
            <w:shd w:val="clear" w:color="auto" w:fill="auto"/>
            <w:hideMark/>
          </w:tcPr>
          <w:p w14:paraId="5D422E15"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color w:val="auto"/>
                <w:sz w:val="20"/>
                <w:szCs w:val="20"/>
              </w:rPr>
              <w:t>+0.002 (0.899)</w:t>
            </w:r>
          </w:p>
        </w:tc>
        <w:tc>
          <w:tcPr>
            <w:tcW w:w="0" w:type="auto"/>
            <w:shd w:val="clear" w:color="auto" w:fill="auto"/>
            <w:hideMark/>
          </w:tcPr>
          <w:p w14:paraId="4EEEBD43"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color w:val="auto"/>
                <w:sz w:val="20"/>
                <w:szCs w:val="20"/>
              </w:rPr>
              <w:t>+0.002 (0.899)</w:t>
            </w:r>
          </w:p>
        </w:tc>
        <w:tc>
          <w:tcPr>
            <w:tcW w:w="0" w:type="auto"/>
            <w:shd w:val="clear" w:color="auto" w:fill="auto"/>
            <w:hideMark/>
          </w:tcPr>
          <w:p w14:paraId="37DF80D1"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color w:val="auto"/>
                <w:sz w:val="20"/>
                <w:szCs w:val="20"/>
              </w:rPr>
              <w:t>+0.000 (0.989)</w:t>
            </w:r>
          </w:p>
        </w:tc>
      </w:tr>
      <w:tr w:rsidR="002A247D" w:rsidRPr="005D310A" w14:paraId="6FE91811" w14:textId="77777777" w:rsidTr="005D310A">
        <w:tc>
          <w:tcPr>
            <w:cnfStyle w:val="001000000000" w:firstRow="0" w:lastRow="0" w:firstColumn="1" w:lastColumn="0" w:oddVBand="0" w:evenVBand="0" w:oddHBand="0" w:evenHBand="0" w:firstRowFirstColumn="0" w:firstRowLastColumn="0" w:lastRowFirstColumn="0" w:lastRowLastColumn="0"/>
            <w:tcW w:w="0" w:type="auto"/>
            <w:hideMark/>
          </w:tcPr>
          <w:p w14:paraId="67851C08" w14:textId="77777777" w:rsidR="00CB4F24" w:rsidRPr="005D310A" w:rsidRDefault="00CB4F24" w:rsidP="00CB4F24">
            <w:pPr>
              <w:spacing w:before="40" w:after="40"/>
              <w:rPr>
                <w:b w:val="0"/>
                <w:bCs w:val="0"/>
                <w:color w:val="auto"/>
                <w:sz w:val="20"/>
                <w:szCs w:val="20"/>
              </w:rPr>
            </w:pPr>
            <w:r w:rsidRPr="005D310A">
              <w:rPr>
                <w:b w:val="0"/>
                <w:bCs w:val="0"/>
                <w:color w:val="auto"/>
                <w:sz w:val="20"/>
                <w:szCs w:val="20"/>
              </w:rPr>
              <w:t>AIP² × DR (H3)</w:t>
            </w:r>
          </w:p>
        </w:tc>
        <w:tc>
          <w:tcPr>
            <w:tcW w:w="0" w:type="auto"/>
            <w:hideMark/>
          </w:tcPr>
          <w:p w14:paraId="78913C0A"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−0.060 (&lt;0.001)</w:t>
            </w:r>
          </w:p>
        </w:tc>
        <w:tc>
          <w:tcPr>
            <w:tcW w:w="0" w:type="auto"/>
            <w:hideMark/>
          </w:tcPr>
          <w:p w14:paraId="76B9435D"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−0.060 (&lt;0.001)</w:t>
            </w:r>
          </w:p>
        </w:tc>
        <w:tc>
          <w:tcPr>
            <w:tcW w:w="0" w:type="auto"/>
            <w:hideMark/>
          </w:tcPr>
          <w:p w14:paraId="3C5A512E"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−0.059 (&lt;0.001)</w:t>
            </w:r>
          </w:p>
        </w:tc>
      </w:tr>
      <w:tr w:rsidR="002A247D" w:rsidRPr="005D310A" w14:paraId="19C77F46" w14:textId="77777777" w:rsidTr="005D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C4D3385" w14:textId="77777777" w:rsidR="00CB4F24" w:rsidRPr="005D310A" w:rsidRDefault="00CB4F24" w:rsidP="00CB4F24">
            <w:pPr>
              <w:spacing w:before="40" w:after="40"/>
              <w:rPr>
                <w:b w:val="0"/>
                <w:bCs w:val="0"/>
                <w:color w:val="auto"/>
                <w:sz w:val="20"/>
                <w:szCs w:val="20"/>
              </w:rPr>
            </w:pPr>
            <w:r w:rsidRPr="005D310A">
              <w:rPr>
                <w:b w:val="0"/>
                <w:bCs w:val="0"/>
                <w:color w:val="auto"/>
                <w:sz w:val="20"/>
                <w:szCs w:val="20"/>
              </w:rPr>
              <w:t>PA² × DR (H4)</w:t>
            </w:r>
          </w:p>
        </w:tc>
        <w:tc>
          <w:tcPr>
            <w:tcW w:w="0" w:type="auto"/>
            <w:shd w:val="clear" w:color="auto" w:fill="auto"/>
            <w:hideMark/>
          </w:tcPr>
          <w:p w14:paraId="18BE4C29"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color w:val="auto"/>
                <w:sz w:val="20"/>
                <w:szCs w:val="20"/>
              </w:rPr>
              <w:t>−0.045 (&lt;0.001)</w:t>
            </w:r>
          </w:p>
        </w:tc>
        <w:tc>
          <w:tcPr>
            <w:tcW w:w="0" w:type="auto"/>
            <w:shd w:val="clear" w:color="auto" w:fill="auto"/>
            <w:hideMark/>
          </w:tcPr>
          <w:p w14:paraId="577C8860"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color w:val="auto"/>
                <w:sz w:val="20"/>
                <w:szCs w:val="20"/>
              </w:rPr>
              <w:t>−0.045 (&lt;0.001)</w:t>
            </w:r>
          </w:p>
        </w:tc>
        <w:tc>
          <w:tcPr>
            <w:tcW w:w="0" w:type="auto"/>
            <w:shd w:val="clear" w:color="auto" w:fill="auto"/>
            <w:hideMark/>
          </w:tcPr>
          <w:p w14:paraId="5F88AFA7" w14:textId="77777777" w:rsidR="00CB4F24" w:rsidRPr="005D310A" w:rsidRDefault="00CB4F24" w:rsidP="00CB4F24">
            <w:pPr>
              <w:spacing w:before="40" w:after="40"/>
              <w:cnfStyle w:val="000000100000" w:firstRow="0" w:lastRow="0" w:firstColumn="0" w:lastColumn="0" w:oddVBand="0" w:evenVBand="0" w:oddHBand="1" w:evenHBand="0" w:firstRowFirstColumn="0" w:firstRowLastColumn="0" w:lastRowFirstColumn="0" w:lastRowLastColumn="0"/>
              <w:rPr>
                <w:color w:val="auto"/>
                <w:sz w:val="20"/>
                <w:szCs w:val="20"/>
              </w:rPr>
            </w:pPr>
            <w:r w:rsidRPr="005D310A">
              <w:rPr>
                <w:color w:val="auto"/>
                <w:sz w:val="20"/>
                <w:szCs w:val="20"/>
              </w:rPr>
              <w:t>−0.047 (0.003)</w:t>
            </w:r>
          </w:p>
        </w:tc>
      </w:tr>
      <w:tr w:rsidR="002A247D" w:rsidRPr="002A247D" w14:paraId="1EE864AB" w14:textId="77777777" w:rsidTr="005D310A">
        <w:tc>
          <w:tcPr>
            <w:cnfStyle w:val="001000000000" w:firstRow="0" w:lastRow="0" w:firstColumn="1" w:lastColumn="0" w:oddVBand="0" w:evenVBand="0" w:oddHBand="0" w:evenHBand="0" w:firstRowFirstColumn="0" w:firstRowLastColumn="0" w:lastRowFirstColumn="0" w:lastRowLastColumn="0"/>
            <w:tcW w:w="0" w:type="auto"/>
            <w:hideMark/>
          </w:tcPr>
          <w:p w14:paraId="156A5F99" w14:textId="77777777" w:rsidR="00CB4F24" w:rsidRPr="005D310A" w:rsidRDefault="00CB4F24" w:rsidP="00CB4F24">
            <w:pPr>
              <w:spacing w:before="40" w:after="40"/>
              <w:rPr>
                <w:b w:val="0"/>
                <w:bCs w:val="0"/>
                <w:color w:val="auto"/>
                <w:sz w:val="20"/>
                <w:szCs w:val="20"/>
              </w:rPr>
            </w:pPr>
            <w:r w:rsidRPr="005D310A">
              <w:rPr>
                <w:b w:val="0"/>
                <w:bCs w:val="0"/>
                <w:color w:val="auto"/>
                <w:sz w:val="20"/>
                <w:szCs w:val="20"/>
              </w:rPr>
              <w:t>DR → FSP (H5)</w:t>
            </w:r>
          </w:p>
        </w:tc>
        <w:tc>
          <w:tcPr>
            <w:tcW w:w="0" w:type="auto"/>
            <w:hideMark/>
          </w:tcPr>
          <w:p w14:paraId="2CE228C8"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+0.521 (&lt;0.001)</w:t>
            </w:r>
          </w:p>
        </w:tc>
        <w:tc>
          <w:tcPr>
            <w:tcW w:w="0" w:type="auto"/>
            <w:hideMark/>
          </w:tcPr>
          <w:p w14:paraId="7B433CF8" w14:textId="77777777" w:rsidR="00CB4F24" w:rsidRPr="005D310A"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+0.521 (&lt;0.001)</w:t>
            </w:r>
          </w:p>
        </w:tc>
        <w:tc>
          <w:tcPr>
            <w:tcW w:w="0" w:type="auto"/>
            <w:hideMark/>
          </w:tcPr>
          <w:p w14:paraId="5D86FEC3" w14:textId="77777777" w:rsidR="00CB4F24" w:rsidRPr="00CB4F24" w:rsidRDefault="00CB4F24" w:rsidP="00CB4F24">
            <w:pPr>
              <w:spacing w:before="40" w:after="40"/>
              <w:cnfStyle w:val="000000000000" w:firstRow="0" w:lastRow="0" w:firstColumn="0" w:lastColumn="0" w:oddVBand="0" w:evenVBand="0" w:oddHBand="0" w:evenHBand="0" w:firstRowFirstColumn="0" w:firstRowLastColumn="0" w:lastRowFirstColumn="0" w:lastRowLastColumn="0"/>
              <w:rPr>
                <w:color w:val="auto"/>
                <w:sz w:val="20"/>
                <w:szCs w:val="20"/>
              </w:rPr>
            </w:pPr>
            <w:r w:rsidRPr="005D310A">
              <w:rPr>
                <w:color w:val="auto"/>
                <w:sz w:val="20"/>
                <w:szCs w:val="20"/>
              </w:rPr>
              <w:t>+0.523 (&lt;0.001)</w:t>
            </w:r>
          </w:p>
        </w:tc>
      </w:tr>
    </w:tbl>
    <w:p w14:paraId="546AC831" w14:textId="77777777" w:rsidR="00CB4F24" w:rsidRPr="00CB4F24" w:rsidRDefault="00CB4F24" w:rsidP="00CB4F24">
      <w:pPr>
        <w:spacing w:before="80" w:after="80"/>
        <w:rPr>
          <w:sz w:val="20"/>
          <w:szCs w:val="20"/>
        </w:rPr>
      </w:pPr>
      <w:r w:rsidRPr="00CB4F24">
        <w:rPr>
          <w:b/>
          <w:bCs/>
          <w:i/>
          <w:iCs/>
          <w:sz w:val="20"/>
          <w:szCs w:val="20"/>
        </w:rPr>
        <w:t>Note.</w:t>
      </w:r>
      <w:r w:rsidRPr="00CB4F24">
        <w:rPr>
          <w:sz w:val="20"/>
          <w:szCs w:val="20"/>
        </w:rPr>
        <w:t xml:space="preserve"> </w:t>
      </w:r>
      <w:r w:rsidRPr="00CB4F24">
        <w:rPr>
          <w:i/>
          <w:iCs/>
          <w:sz w:val="20"/>
          <w:szCs w:val="20"/>
        </w:rPr>
        <w:t>N = 522 for Main Model and Outlier-removed (zero outliers detected). MM = MM-estimator robust regression. Split-sample cross-validation results reported in text.</w:t>
      </w:r>
    </w:p>
    <w:p w14:paraId="7792EB9C" w14:textId="1ED3B831" w:rsidR="000F5A88" w:rsidRPr="002A247D" w:rsidRDefault="00CE441D" w:rsidP="00D53BCE">
      <w:pPr>
        <w:pStyle w:val="Heading1"/>
        <w:spacing w:before="240" w:after="120"/>
      </w:pPr>
      <w:r w:rsidRPr="002A247D">
        <w:rPr>
          <w:caps w:val="0"/>
          <w:sz w:val="28"/>
          <w:szCs w:val="28"/>
        </w:rPr>
        <w:t>5. Discussion</w:t>
      </w:r>
    </w:p>
    <w:p w14:paraId="086E34F1" w14:textId="77777777" w:rsidR="000F5A88" w:rsidRPr="002A247D" w:rsidRDefault="00000000" w:rsidP="00A12898">
      <w:pPr>
        <w:pStyle w:val="Heading2"/>
        <w:spacing w:before="120" w:after="120"/>
      </w:pPr>
      <w:r w:rsidRPr="002A247D">
        <w:rPr>
          <w:sz w:val="26"/>
          <w:szCs w:val="26"/>
        </w:rPr>
        <w:t>5.1 Summary of Key Findings</w:t>
      </w:r>
    </w:p>
    <w:p w14:paraId="1708973B" w14:textId="77777777" w:rsidR="00161516" w:rsidRPr="00161516" w:rsidRDefault="00161516" w:rsidP="00161516">
      <w:pPr>
        <w:spacing w:line="480" w:lineRule="auto"/>
      </w:pPr>
      <w:r w:rsidRPr="00161516">
        <w:t>The central aim of this study was to determine whether the relationships between AI integration pressure, pedagogical autonomy, and faculty sustainable performance follow nonlinear patterns, and whether digital resilience shapes those patterns as a continuous boundary condition. The findings yield a theoretically coherent and empirically robust picture that departs from the dominant linear assumption in JD-R research in an instructive way.</w:t>
      </w:r>
    </w:p>
    <w:p w14:paraId="3F9E781E" w14:textId="77777777" w:rsidR="00161516" w:rsidRPr="00161516" w:rsidRDefault="00161516" w:rsidP="00161516">
      <w:pPr>
        <w:spacing w:line="480" w:lineRule="auto"/>
      </w:pPr>
      <w:r w:rsidRPr="00161516">
        <w:t xml:space="preserve">Quadratic main effects for AIP and PA were non-significant (H1 and H2 not supported), indicating that demand–resource nonlinearity does not operate unconditionally in this sample. </w:t>
      </w:r>
      <w:r w:rsidRPr="00161516">
        <w:lastRenderedPageBreak/>
        <w:t>The observed effect sizes for both quadratic terms were negligible (</w:t>
      </w:r>
      <w:r w:rsidRPr="00161516">
        <w:rPr>
          <w:i/>
          <w:iCs/>
        </w:rPr>
        <w:t>f</w:t>
      </w:r>
      <w:r w:rsidRPr="00161516">
        <w:t xml:space="preserve">² &lt; 0.001), falling well below the minimum detectable threshold, which suggests that the absence of unconditional curvilinearity reflects a genuine empirical pattern rather than insufficient statistical power. However, digital resilience significantly moderated both the quadratic AIP–FSP relationship (H3 supported: </w:t>
      </w:r>
      <w:r w:rsidRPr="00161516">
        <w:rPr>
          <w:i/>
          <w:iCs/>
        </w:rPr>
        <w:t>b</w:t>
      </w:r>
      <w:r w:rsidRPr="00161516">
        <w:t xml:space="preserve"> = −0.060, </w:t>
      </w:r>
      <w:r w:rsidRPr="00161516">
        <w:rPr>
          <w:i/>
          <w:iCs/>
        </w:rPr>
        <w:t>p</w:t>
      </w:r>
      <w:r w:rsidRPr="00161516">
        <w:t xml:space="preserve"> &lt; 0.001) and the quadratic PA–FSP relationship (H4 supported: </w:t>
      </w:r>
      <w:r w:rsidRPr="00161516">
        <w:rPr>
          <w:i/>
          <w:iCs/>
        </w:rPr>
        <w:t>b</w:t>
      </w:r>
      <w:r w:rsidRPr="00161516">
        <w:t xml:space="preserve"> = −0.045, </w:t>
      </w:r>
      <w:r w:rsidRPr="00161516">
        <w:rPr>
          <w:i/>
          <w:iCs/>
        </w:rPr>
        <w:t>p</w:t>
      </w:r>
      <w:r w:rsidRPr="00161516">
        <w:t xml:space="preserve"> &lt; 0.001), producing conditional nonlinearity in both cases. The functional form of the demand–performance curve shifted from U-shaped or convex at low DR to inverted-U or concave at high DR for AIP and PA respectively. This pattern — where nonlinearity is absent in the aggregate but emerges when the moderator is taken into account — is theoretically meaningful and would have been invisible to analyses that assume linearity or test nonlinearity only as a main effect. DR also emerged as the strongest direct predictor of FSP across all model specifications (H5 supported: </w:t>
      </w:r>
      <w:r w:rsidRPr="00161516">
        <w:rPr>
          <w:i/>
          <w:iCs/>
        </w:rPr>
        <w:t>b</w:t>
      </w:r>
      <w:r w:rsidRPr="00161516">
        <w:t xml:space="preserve"> = +0.521, </w:t>
      </w:r>
      <w:r w:rsidRPr="00161516">
        <w:rPr>
          <w:i/>
          <w:iCs/>
        </w:rPr>
        <w:t>p</w:t>
      </w:r>
      <w:r w:rsidRPr="00161516">
        <w:t xml:space="preserve"> &lt; 0.001), outperforming both AIP and PA in explanatory magnitude.</w:t>
      </w:r>
    </w:p>
    <w:p w14:paraId="3324F657" w14:textId="6A8F2BE2" w:rsidR="00161516" w:rsidRPr="002A247D" w:rsidRDefault="00161516" w:rsidP="00161516">
      <w:pPr>
        <w:pStyle w:val="Heading2"/>
        <w:spacing w:before="120" w:after="120"/>
        <w:rPr>
          <w:b w:val="0"/>
          <w:bCs w:val="0"/>
        </w:rPr>
      </w:pPr>
      <w:r w:rsidRPr="002A247D">
        <w:rPr>
          <w:sz w:val="26"/>
          <w:szCs w:val="26"/>
        </w:rPr>
        <w:t>5.2 Theoretical Contributions</w:t>
      </w:r>
    </w:p>
    <w:p w14:paraId="3B353B6F" w14:textId="6566C874" w:rsidR="00161516" w:rsidRPr="00161516" w:rsidRDefault="00161516" w:rsidP="00161516">
      <w:pPr>
        <w:pStyle w:val="Heading3"/>
      </w:pPr>
      <w:r w:rsidRPr="00161516">
        <w:t>5.2.1 Extending the Job Demands-Resources Model: Evidence of Conditional Nonlinearity</w:t>
      </w:r>
    </w:p>
    <w:p w14:paraId="0435F715" w14:textId="77777777" w:rsidR="00161516" w:rsidRPr="00161516" w:rsidRDefault="00161516" w:rsidP="00161516">
      <w:pPr>
        <w:spacing w:line="480" w:lineRule="auto"/>
      </w:pPr>
      <w:r w:rsidRPr="00161516">
        <w:t>This study contributes to the JD-R literature by demonstrating that curvilinear demand–performance dynamics, while not detectable as unconditional main effects, emerge robustly as conditional on individual digital resilience. The significant negative AIP² × DR interaction (</w:t>
      </w:r>
      <w:r w:rsidRPr="00161516">
        <w:rPr>
          <w:i/>
          <w:iCs/>
        </w:rPr>
        <w:t>b</w:t>
      </w:r>
      <w:r w:rsidRPr="00161516">
        <w:t xml:space="preserve"> = −0.060, </w:t>
      </w:r>
      <w:r w:rsidRPr="00161516">
        <w:rPr>
          <w:i/>
          <w:iCs/>
        </w:rPr>
        <w:t>p</w:t>
      </w:r>
      <w:r w:rsidRPr="00161516">
        <w:t xml:space="preserve"> &lt; 0.001) and PA² × DR interaction (</w:t>
      </w:r>
      <w:r w:rsidRPr="00161516">
        <w:rPr>
          <w:i/>
          <w:iCs/>
        </w:rPr>
        <w:t>b</w:t>
      </w:r>
      <w:r w:rsidRPr="00161516">
        <w:t xml:space="preserve"> = −0.045, </w:t>
      </w:r>
      <w:r w:rsidRPr="00161516">
        <w:rPr>
          <w:i/>
          <w:iCs/>
        </w:rPr>
        <w:t>p</w:t>
      </w:r>
      <w:r w:rsidRPr="00161516">
        <w:t xml:space="preserve"> &lt; 0.001) indicate that DR alters both the inflection point and the functional form of the demand–performance curves — a finding that goes beyond conventional buffering effects documented in prior JD-R research (Lesener et al., 2019). Whereas buffering implies that resources reduce the slope of a linear demand–outcome relationship, the present results imply that DR changes the shape of the relationships themselves. </w:t>
      </w:r>
      <w:r w:rsidRPr="00161516">
        <w:lastRenderedPageBreak/>
        <w:t>This distinction has substantive consequences: it suggests that the same level of AI integration pressure, or the same degree of pedagogical autonomy, carries qualitatively different performance implications depending on an individual's resilience level. The finding thus extends Conservation of Resources theory (Hobfoll, 1989) by showing that personal adaptive resources can restructure demand–performance dynamics rather than simply attenuating them.</w:t>
      </w:r>
    </w:p>
    <w:p w14:paraId="255492D5" w14:textId="77777777" w:rsidR="00161516" w:rsidRPr="00161516" w:rsidRDefault="00161516" w:rsidP="00161516">
      <w:pPr>
        <w:spacing w:line="480" w:lineRule="auto"/>
      </w:pPr>
      <w:r w:rsidRPr="00161516">
        <w:t>The conditional nature of curvilinearity also clarifies why prior JD-R studies that tested for nonlinear main effects without accounting for moderators have produced inconsistent results. When resilience levels are heterogeneous within a sample — as they are in any naturalistic survey — opposing curvatures at low and high DR cancel in the aggregate, producing the appearance of linearity. Only by explicitly modelling DR as a continuous moderator of the quadratic terms does the underlying nonlinear structure become detectable. This methodological insight has broad implications for demand–resource research beyond the AI adoption context.</w:t>
      </w:r>
    </w:p>
    <w:p w14:paraId="3891C3AE" w14:textId="77777777" w:rsidR="00161516" w:rsidRPr="00161516" w:rsidRDefault="00161516" w:rsidP="00161516">
      <w:pPr>
        <w:pStyle w:val="Heading3"/>
      </w:pPr>
      <w:r w:rsidRPr="00161516">
        <w:t>5.2.2 Digital Resilience as the Dominant Performance Resource</w:t>
      </w:r>
    </w:p>
    <w:p w14:paraId="4B0CBCEE" w14:textId="77777777" w:rsidR="00161516" w:rsidRPr="00161516" w:rsidRDefault="00161516" w:rsidP="00161516">
      <w:pPr>
        <w:spacing w:line="480" w:lineRule="auto"/>
      </w:pPr>
      <w:r w:rsidRPr="00161516">
        <w:t xml:space="preserve">DR emerged as the strongest predictor of FSP (β = 0.572), a result that warrants attention beyond its statistical significance. In the JD-R literature, job resources typically explain performance incrementally over and above demands; rarely does a single resource variable account for more variance than the combined demand and resource main effects. That DR outperformed both AIP and PA in the full moderated nonlinear model — with a standardized coefficient nearly 33% larger than that of PA and 32% larger in absolute magnitude than AIP — positions it as a higher-order resource in Hobfoll's (1989) resource caravan framework, one that mobilizes and amplifies the value of other resources. This finding also clarifies an important conceptual distinction: DR differs from technology self-efficacy in that resilience captures recovery and adaptive reorientation after technological adversity, not merely pre-adversity confidence in tool use. In </w:t>
      </w:r>
      <w:r w:rsidRPr="00161516">
        <w:lastRenderedPageBreak/>
        <w:t>volatile AI adoption contexts where tools change rapidly and failure modes are unpredictable, this recovery capacity may represent a more consequential individual difference than skill-based efficacy beliefs.</w:t>
      </w:r>
    </w:p>
    <w:p w14:paraId="42B8E4AE" w14:textId="77777777" w:rsidR="00161516" w:rsidRPr="00161516" w:rsidRDefault="00161516" w:rsidP="00161516">
      <w:pPr>
        <w:pStyle w:val="Heading3"/>
      </w:pPr>
      <w:r w:rsidRPr="00161516">
        <w:t>5.2.3 Methodological Contribution</w:t>
      </w:r>
    </w:p>
    <w:p w14:paraId="4A29C878" w14:textId="77777777" w:rsidR="00161516" w:rsidRPr="00161516" w:rsidRDefault="00161516" w:rsidP="00161516">
      <w:pPr>
        <w:spacing w:line="480" w:lineRule="auto"/>
      </w:pPr>
      <w:r w:rsidRPr="00161516">
        <w:t>The application of the MNLFA two-stage factor score regression pipeline addresses a methodological gap in educational technology research, where nonlinear moderation hypotheses are typically either untested or evaluated through multigroup comparisons that impose categorical splits on continuous moderators. By treating DR as a continuous latent moderator, this approach preserves all between-person variation in resilience levels and estimates how the demand–performance curves shift continuously across the full DR range — a precision that multigroup SEM cannot achieve without dramatically larger per-group samples (Bauer &amp; Curran, 2005). The successful convergence of the model, the zero bootstrap failure rate across 2,000 replications, the replication of key effects in both the calibration and holdout subsamples of the split-sample validation, and the consistency of results across four robustness checks collectively demonstrate the practical utility of this pipeline for researchers in educational technology and organizational behavior who seek to test theoretically motivated nonlinear interaction hypotheses at the latent variable level.</w:t>
      </w:r>
    </w:p>
    <w:p w14:paraId="3FFC7497" w14:textId="77777777" w:rsidR="00161516" w:rsidRPr="00161516" w:rsidRDefault="00161516" w:rsidP="00161516">
      <w:pPr>
        <w:pStyle w:val="Heading2"/>
        <w:spacing w:before="120" w:after="120"/>
      </w:pPr>
      <w:r w:rsidRPr="00161516">
        <w:rPr>
          <w:sz w:val="26"/>
          <w:szCs w:val="26"/>
        </w:rPr>
        <w:t>5.3 Practical Implications</w:t>
      </w:r>
    </w:p>
    <w:p w14:paraId="5311AC41" w14:textId="77777777" w:rsidR="00161516" w:rsidRPr="00161516" w:rsidRDefault="00161516" w:rsidP="00161516">
      <w:pPr>
        <w:spacing w:line="480" w:lineRule="auto"/>
      </w:pPr>
      <w:r w:rsidRPr="00161516">
        <w:t>The findings carry several actionable implications for Vietnamese universities and comparable institutions navigating rapid AI adoption.</w:t>
      </w:r>
    </w:p>
    <w:p w14:paraId="680A2CED" w14:textId="77777777" w:rsidR="00161516" w:rsidRPr="00161516" w:rsidRDefault="00161516" w:rsidP="00161516">
      <w:pPr>
        <w:spacing w:line="480" w:lineRule="auto"/>
      </w:pPr>
      <w:r w:rsidRPr="00161516">
        <w:t xml:space="preserve">First, universities should invest in structured digital resilience-building programs as a core component of faculty development. The strong direct effect of DR on FSP (β = 0.572) suggests that interventions targeting resilience — such as facilitated reflection on technological setbacks, </w:t>
      </w:r>
      <w:r w:rsidRPr="00161516">
        <w:lastRenderedPageBreak/>
        <w:t>peer troubleshooting communities, and training in cognitive reframing of tool failures — are likely to produce performance gains independently of specific AI tool competencies. The conditional nonlinearity findings reinforce this priority: at low DR levels, even moderate AI integration pressure suppresses performance and high pedagogical autonomy fails to yield its expected motivational benefits, making resilience-building the most upstream lever available to institutions.</w:t>
      </w:r>
    </w:p>
    <w:p w14:paraId="696A6ED7" w14:textId="77777777" w:rsidR="00161516" w:rsidRPr="00161516" w:rsidRDefault="00161516" w:rsidP="00161516">
      <w:pPr>
        <w:spacing w:line="480" w:lineRule="auto"/>
      </w:pPr>
      <w:r w:rsidRPr="00161516">
        <w:t>Second, uniform high-pressure AI adoption mandates should be reconsidered. The consistently negative linear effect of AIP across all model specifications (</w:t>
      </w:r>
      <w:r w:rsidRPr="00161516">
        <w:rPr>
          <w:i/>
          <w:iCs/>
        </w:rPr>
        <w:t>b</w:t>
      </w:r>
      <w:r w:rsidRPr="00161516">
        <w:t xml:space="preserve"> = −0.362, </w:t>
      </w:r>
      <w:r w:rsidRPr="00161516">
        <w:rPr>
          <w:i/>
          <w:iCs/>
        </w:rPr>
        <w:t>p</w:t>
      </w:r>
      <w:r w:rsidRPr="00161516">
        <w:t xml:space="preserve"> &lt; 0.001) indicates that pressure-based implementation strategies harm performance for the majority of faculty at current DR levels. The conditional inflection point analysis further shows that the AIP–FSP curve transitions to an inverted-U — where moderate pressure enhances performance — only at high DR levels (Q75 = 4.03 on the raw scale). For the majority of faculty operating at low to medium DR, increasing adoption pressure yields no performance benefit and may actively deplete resources. A differentiated approach — lighter adoption timelines and additional support for low-DR faculty, alongside greater challenge and autonomy for high-DR colleagues — would better match intervention intensity to individual adaptive capacity.</w:t>
      </w:r>
    </w:p>
    <w:p w14:paraId="332B19C7" w14:textId="77777777" w:rsidR="00161516" w:rsidRPr="00161516" w:rsidRDefault="00161516" w:rsidP="00161516">
      <w:pPr>
        <w:spacing w:line="480" w:lineRule="auto"/>
      </w:pPr>
      <w:r w:rsidRPr="00161516">
        <w:t xml:space="preserve">Third, preserving and expanding pedagogical autonomy remains a structurally sound strategy, but its benefits are not unconditional. The positive linear PA–FSP relationship was stable across all model specifications, and the conditional PA² × DR interaction indicates that high-DR faculty are better positioned to sustain performance gains at elevated autonomy levels. For low-DR faculty, very high autonomy may impose decision-making burdens that offset its motivational advantages. Institutions should therefore pair autonomy-granting policies with targeted resilience </w:t>
      </w:r>
      <w:r w:rsidRPr="00161516">
        <w:lastRenderedPageBreak/>
        <w:t>support to ensure that the benefits of instructional discretion are accessible across the full range of faculty resilience levels.</w:t>
      </w:r>
    </w:p>
    <w:p w14:paraId="1788C1CF" w14:textId="77777777" w:rsidR="00161516" w:rsidRPr="00161516" w:rsidRDefault="00161516" w:rsidP="00161516">
      <w:pPr>
        <w:pStyle w:val="Heading2"/>
        <w:spacing w:before="120" w:after="120"/>
      </w:pPr>
      <w:r w:rsidRPr="00161516">
        <w:rPr>
          <w:sz w:val="26"/>
          <w:szCs w:val="26"/>
        </w:rPr>
        <w:t>5.4 Limitations</w:t>
      </w:r>
    </w:p>
    <w:p w14:paraId="747FE5DB" w14:textId="77777777" w:rsidR="00161516" w:rsidRPr="00161516" w:rsidRDefault="00161516" w:rsidP="00161516">
      <w:pPr>
        <w:spacing w:line="480" w:lineRule="auto"/>
      </w:pPr>
      <w:r w:rsidRPr="00161516">
        <w:t xml:space="preserve">Several limitations bear on the interpretation of these findings. First, the cross-sectional design precludes causal inference; the direction of the DR–FSP relationship in particular cannot be established from the present data, as high-performing faculty may also develop higher resilience over time. Second, all constructs were self-reported within a single survey administration. The CFA-based common method factor test indicated a non-trivial fit improvement upon adding a common method factor (ΔCFI = −0.035), suggesting that common method variance may have inflated observed relationships to some degree, despite the Harman single-factor test result falling below the 50% threshold. Third, the measurement model demonstrated acceptable rather than excellent fit (CFI = 0.930, RMSEA = 0.077), which may partly reflect genuine multidimensionality within constructs — particularly AIP, whose broader conceptual scope relative to the other scales is reflected in its somewhat lower and more variable factor loadings. Fourth, continuous DIF testing identified significant measurement non-invariance in 10 of 20 items, including four FSP items whose DIF pattern was not attributable to tautological artifact, representing a substantive measurement limitation. Fifth, although the sample was geographically and institutionally diverse within Vietnam, it relied on convenience and snowball sampling, which limits generalizability to other national contexts, disciplinary compositions, and institutional types. Sixth, although the analytic sample of </w:t>
      </w:r>
      <w:r w:rsidRPr="00161516">
        <w:rPr>
          <w:i/>
          <w:iCs/>
        </w:rPr>
        <w:t>N</w:t>
      </w:r>
      <w:r w:rsidRPr="00161516">
        <w:t xml:space="preserve"> = 522 provided high power for the critical H3 and H4 moderation effects (</w:t>
      </w:r>
      <w:r w:rsidRPr="00161516">
        <w:rPr>
          <w:i/>
          <w:iCs/>
        </w:rPr>
        <w:t>f</w:t>
      </w:r>
      <w:r w:rsidRPr="00161516">
        <w:t>² = 0.030 and 0.018, respectively), power remained negligible for H1 and H2 (</w:t>
      </w:r>
      <w:r w:rsidRPr="00161516">
        <w:rPr>
          <w:i/>
          <w:iCs/>
        </w:rPr>
        <w:t>f</w:t>
      </w:r>
      <w:r w:rsidRPr="00161516">
        <w:t>² &lt; 0.001 for both), reflecting genuinely small unconditional quadratic effects rather than a power deficit.</w:t>
      </w:r>
    </w:p>
    <w:p w14:paraId="69A20395" w14:textId="77777777" w:rsidR="00161516" w:rsidRPr="00161516" w:rsidRDefault="00161516" w:rsidP="00161516">
      <w:pPr>
        <w:pStyle w:val="Heading2"/>
        <w:spacing w:before="120" w:after="120"/>
      </w:pPr>
      <w:r w:rsidRPr="00161516">
        <w:rPr>
          <w:sz w:val="26"/>
          <w:szCs w:val="26"/>
        </w:rPr>
        <w:lastRenderedPageBreak/>
        <w:t>5.5 Future Research Directions</w:t>
      </w:r>
    </w:p>
    <w:p w14:paraId="0770633E" w14:textId="77777777" w:rsidR="00161516" w:rsidRPr="00161516" w:rsidRDefault="00161516" w:rsidP="00161516">
      <w:pPr>
        <w:spacing w:line="480" w:lineRule="auto"/>
      </w:pPr>
      <w:r w:rsidRPr="00161516">
        <w:t>Several directions emerge from these findings. Longitudinal designs with at least three measurement waves would allow examination of how the AIP–FSP and PA–FSP curves evolve as faculty accumulate AI experience and resilience develops over time. Larger and more diverse samples spanning multiple national contexts would enable subgroup comparisons by discipline, career stage, and institutional type, and would clarify whether the conditional nonlinearity observed here is context-specific or a more general feature of AI-driven technostress dynamics. Cross-national comparative research contrasting centralized, high-pressure adoption contexts such as Vietnam with more decentralized systems would be particularly informative in this regard. Development of DR and FSP scale items with more clearly differentiated facets — and testing against external rather than self-referential moderators — would address the measurement non-invariance limitations identified in the DIF analysis. Finally, experimental and quasi-experimental designs that manipulate resilience-building interventions would provide stronger causal evidence for the DR–FSP pathway and inform the design of targeted faculty development programs.</w:t>
      </w:r>
    </w:p>
    <w:p w14:paraId="159BD6C4" w14:textId="74527C92" w:rsidR="000F5A88" w:rsidRPr="002A247D" w:rsidRDefault="00CE441D" w:rsidP="00D53BCE">
      <w:pPr>
        <w:pStyle w:val="Heading1"/>
        <w:spacing w:before="240" w:after="120"/>
      </w:pPr>
      <w:r w:rsidRPr="002A247D">
        <w:rPr>
          <w:caps w:val="0"/>
          <w:sz w:val="28"/>
          <w:szCs w:val="28"/>
        </w:rPr>
        <w:t>6. Conclusion</w:t>
      </w:r>
    </w:p>
    <w:p w14:paraId="3E70F0C3" w14:textId="77777777" w:rsidR="003976BE" w:rsidRPr="003976BE" w:rsidRDefault="003976BE" w:rsidP="003976BE">
      <w:pPr>
        <w:spacing w:line="480" w:lineRule="auto"/>
      </w:pPr>
      <w:r w:rsidRPr="003976BE">
        <w:t>The proliferation of AI tools in higher education has created a new class of occupational demand for faculty — one characterized by rapid obsolescence, role ambiguity, and continuous adaptation pressure. This study asked whether the relationship between that demand and faculty performance follows the nonlinear patterns predicted by established psychological theory, and whether digital resilience shapes those patterns as a continuous boundary condition. The answer is instructive: nonlinearity is real, but it is conditional.</w:t>
      </w:r>
    </w:p>
    <w:p w14:paraId="0DD1375E" w14:textId="77777777" w:rsidR="003976BE" w:rsidRPr="003976BE" w:rsidRDefault="003976BE" w:rsidP="003976BE">
      <w:pPr>
        <w:spacing w:line="480" w:lineRule="auto"/>
      </w:pPr>
      <w:r w:rsidRPr="003976BE">
        <w:lastRenderedPageBreak/>
        <w:t xml:space="preserve">Quadratic main effects for AI integration pressure and pedagogical autonomy were not detectable in the aggregate (H1 and H2 not supported), and the negligible observed effect sizes suggest this reflects a genuine empirical pattern rather than a power deficit. Yet digital resilience significantly moderated both the quadratic AIP–FSP relationship and the quadratic PA–FSP relationship (H3 and H4 supported), shifting the demand–performance curves from U-shaped or convex at low resilience levels to inverted-U or concave at high resilience levels. This conditional nonlinearity would have been invisible to analyses that assume linearity or test curvilinearity only as an unconditional main effect. Equally important, digital resilience emerged as the strongest direct predictor of faculty sustainable performance across all model specifications (H5 supported: </w:t>
      </w:r>
      <w:r w:rsidRPr="003976BE">
        <w:rPr>
          <w:i/>
          <w:iCs/>
        </w:rPr>
        <w:t>b</w:t>
      </w:r>
      <w:r w:rsidRPr="003976BE">
        <w:t xml:space="preserve"> = +0.521, β = +0.572, </w:t>
      </w:r>
      <w:r w:rsidRPr="003976BE">
        <w:rPr>
          <w:i/>
          <w:iCs/>
        </w:rPr>
        <w:t>p</w:t>
      </w:r>
      <w:r w:rsidRPr="003976BE">
        <w:t xml:space="preserve"> &lt; 0.001), outperforming both AI integration pressure and pedagogical autonomy in explanatory magnitude and remaining stable across four robustness checks and 2,000 bootstrap replications.</w:t>
      </w:r>
    </w:p>
    <w:p w14:paraId="2E45D26A" w14:textId="77777777" w:rsidR="003976BE" w:rsidRPr="003976BE" w:rsidRDefault="003976BE" w:rsidP="003976BE">
      <w:pPr>
        <w:spacing w:line="480" w:lineRule="auto"/>
      </w:pPr>
      <w:r w:rsidRPr="003976BE">
        <w:t xml:space="preserve">These results extend the Job Demands-Resources model by demonstrating that demand–resource dynamics in AI-intensive educational contexts are not uniformly linear or curvilinear, but conditionally nonlinear, with digital resilience acting as a pivotal individual boundary condition that reorganizes — rather than merely attenuates — the performance consequences of AI adoption pressure and instructional autonomy. The finding that DR modulates both the shape and inflection point of these relationships simultaneously supports Conservation of Resources theory's proposition that adaptive personal resources restructure how demands and other resources translate into performance outcomes, rather than simply buffering against their costs. Methodologically, the MNLFA two-stage factor score regression pipeline provides a replicable template for testing continuous moderated nonlinearity at the latent variable level, addressing a </w:t>
      </w:r>
      <w:r w:rsidRPr="003976BE">
        <w:lastRenderedPageBreak/>
        <w:t>gap in educational technology research where such hypotheses are rarely tested with the precision they theoretically warrant.</w:t>
      </w:r>
    </w:p>
    <w:p w14:paraId="47A5E800" w14:textId="77777777" w:rsidR="003976BE" w:rsidRPr="003976BE" w:rsidRDefault="003976BE" w:rsidP="003976BE">
      <w:pPr>
        <w:spacing w:line="480" w:lineRule="auto"/>
      </w:pPr>
      <w:r w:rsidRPr="003976BE">
        <w:t>For institutions navigating accelerated AI adoption, the findings point toward a clear reorientation of strategy: the question is not how much pressure to apply, but how much resilience faculty bring to that pressure — and how much autonomy they retain in determining their own path through it. Resilience-building programs, differentiated adoption timelines calibrated to individual DR levels, and preserved pedagogical autonomy represent a more evidence-consistent path toward sustainable faculty performance in an era of irreversible AI integration. These priorities are not merely administratively convenient; they are theoretically grounded in the finding that digital resilience is the resource that makes all other demand–resource dynamics work differently.</w:t>
      </w:r>
    </w:p>
    <w:p w14:paraId="71771FF1" w14:textId="0F2E9BE0" w:rsidR="000F5A88" w:rsidRPr="002A247D" w:rsidRDefault="00930E5E" w:rsidP="00D53BCE">
      <w:pPr>
        <w:pStyle w:val="Heading1"/>
        <w:spacing w:before="240" w:after="120"/>
      </w:pPr>
      <w:r w:rsidRPr="002A247D">
        <w:rPr>
          <w:caps w:val="0"/>
          <w:sz w:val="28"/>
          <w:szCs w:val="28"/>
        </w:rPr>
        <w:t>References</w:t>
      </w:r>
    </w:p>
    <w:p w14:paraId="6F915FAB" w14:textId="77777777" w:rsidR="000F5A88" w:rsidRPr="002A247D" w:rsidRDefault="00000000">
      <w:pPr>
        <w:spacing w:line="480" w:lineRule="auto"/>
        <w:ind w:left="720" w:hanging="720"/>
      </w:pPr>
      <w:r w:rsidRPr="002A247D">
        <w:t>Bakker, A. B., &amp; Demerouti, E. (2007). The job demands-resources model: State of the art. Journal of Managerial Psychology, 22(3), 309–328. https://doi.org/10.1108/02683940710733115</w:t>
      </w:r>
    </w:p>
    <w:p w14:paraId="7F48057F" w14:textId="77777777" w:rsidR="000F5A88" w:rsidRPr="002A247D" w:rsidRDefault="00000000">
      <w:pPr>
        <w:spacing w:line="480" w:lineRule="auto"/>
        <w:ind w:left="720" w:hanging="720"/>
      </w:pPr>
      <w:r w:rsidRPr="002A247D">
        <w:t>Bauer, D. J. (2017). A more general model for testing measurement invariance and differential item functioning. Psychological Methods, 22(3), 507–526. https://doi.org/10.1037/met0000077</w:t>
      </w:r>
    </w:p>
    <w:p w14:paraId="0C6ED8D6" w14:textId="77777777" w:rsidR="000F5A88" w:rsidRPr="002A247D" w:rsidRDefault="00000000">
      <w:pPr>
        <w:spacing w:line="480" w:lineRule="auto"/>
        <w:ind w:left="720" w:hanging="720"/>
      </w:pPr>
      <w:r w:rsidRPr="002A247D">
        <w:t>Bauer, D. J., &amp; Curran, P. J. (2005). Probing interactions in fixed and multilevel regression: Inferential and graphical techniques. Multivariate Behavioral Research, 40(3), 373–400. https://doi.org/10.1207/s15327906mbr4003_5</w:t>
      </w:r>
    </w:p>
    <w:p w14:paraId="6201E8E6" w14:textId="77777777" w:rsidR="000F5A88" w:rsidRPr="002A247D" w:rsidRDefault="00000000">
      <w:pPr>
        <w:spacing w:line="480" w:lineRule="auto"/>
        <w:ind w:left="720" w:hanging="720"/>
      </w:pPr>
      <w:r w:rsidRPr="002A247D">
        <w:lastRenderedPageBreak/>
        <w:t>Brislin, R. W. (1980). Translation and content analysis of oral and written materials. In H. C. Triandis &amp; J. W. Berry (Eds.), Handbook of cross-cultural psychology (Vol. 2, pp. 389–444). Allyn &amp; Bacon.</w:t>
      </w:r>
    </w:p>
    <w:p w14:paraId="78A8C05D" w14:textId="77777777" w:rsidR="000F5A88" w:rsidRPr="002A247D" w:rsidRDefault="00000000">
      <w:pPr>
        <w:spacing w:line="480" w:lineRule="auto"/>
        <w:ind w:left="720" w:hanging="720"/>
      </w:pPr>
      <w:r w:rsidRPr="002A247D">
        <w:t>Cohen, J. (1988). Statistical power analysis for the behavioral sciences (2nd ed.). Lawrence Erlbaum Associates.</w:t>
      </w:r>
    </w:p>
    <w:p w14:paraId="055852CD" w14:textId="77777777" w:rsidR="000F5A88" w:rsidRPr="002A247D" w:rsidRDefault="00000000">
      <w:pPr>
        <w:spacing w:line="480" w:lineRule="auto"/>
        <w:ind w:left="720" w:hanging="720"/>
      </w:pPr>
      <w:r w:rsidRPr="002A247D">
        <w:t>Deci, E. L., &amp; Ryan, R. M. (2000). The “what” and “why” of goal pursuits: Human needs and the self-determination of behavior. Psychological Inquiry, 11(4), 227–268. https://doi.org/10.1207/S15327965PLI1104_01</w:t>
      </w:r>
    </w:p>
    <w:p w14:paraId="7E7C96D0" w14:textId="77777777" w:rsidR="000F5A88" w:rsidRPr="002A247D" w:rsidRDefault="00000000">
      <w:pPr>
        <w:spacing w:line="480" w:lineRule="auto"/>
        <w:ind w:left="720" w:hanging="720"/>
      </w:pPr>
      <w:r w:rsidRPr="002A247D">
        <w:t>Devlieger, I., Mayer, A., &amp; Rosseel, Y. (2016). Hypothesis testing using factor score regression: A comparison of four methods. Educational and Psychological Measurement, 76(5), 741–770. https://doi.org/10.1177/0013164415607618</w:t>
      </w:r>
    </w:p>
    <w:p w14:paraId="3A1F78DE" w14:textId="77777777" w:rsidR="000F5A88" w:rsidRPr="002A247D" w:rsidRDefault="00000000">
      <w:pPr>
        <w:spacing w:line="480" w:lineRule="auto"/>
        <w:ind w:left="720" w:hanging="720"/>
      </w:pPr>
      <w:r w:rsidRPr="002A247D">
        <w:t>Fornell, C., &amp; Larcker, D. F. (1981). Evaluating structural equation models with unobservable variables and measurement error. Journal of Marketing Research, 18(1), 39–50. https://doi.org/10.1177/002224378101800104</w:t>
      </w:r>
    </w:p>
    <w:p w14:paraId="3AA17F93" w14:textId="77777777" w:rsidR="000F5A88" w:rsidRPr="002A247D" w:rsidRDefault="00000000">
      <w:pPr>
        <w:spacing w:line="480" w:lineRule="auto"/>
        <w:ind w:left="720" w:hanging="720"/>
      </w:pPr>
      <w:r w:rsidRPr="002A247D">
        <w:t>Hackman, J. R., &amp; Oldham, G. R. (1975). Development of the Job Diagnostic Survey. Journal of Applied Psychology, 60(2), 159–170. https://doi.org/10.1037/h0076546</w:t>
      </w:r>
    </w:p>
    <w:p w14:paraId="256D5617" w14:textId="77777777" w:rsidR="000F5A88" w:rsidRPr="002A247D" w:rsidRDefault="00000000">
      <w:pPr>
        <w:spacing w:line="480" w:lineRule="auto"/>
        <w:ind w:left="720" w:hanging="720"/>
      </w:pPr>
      <w:r w:rsidRPr="002A247D">
        <w:t>Hobfoll, S. E. (1989). Conservation of resources: A new attempt at conceptualizing stress. American Psychologist, 44(3), 513–524. https://doi.org/10.1037/0003-066X.44.3.513</w:t>
      </w:r>
    </w:p>
    <w:p w14:paraId="1D87F567" w14:textId="77777777" w:rsidR="000F5A88" w:rsidRPr="002A247D" w:rsidRDefault="00000000">
      <w:pPr>
        <w:spacing w:line="480" w:lineRule="auto"/>
        <w:ind w:left="720" w:hanging="720"/>
      </w:pPr>
      <w:r w:rsidRPr="002A247D">
        <w:t>Hu, L., &amp; Bentler, P. M. (1999). Cutoff criteria for fit indexes in covariance structure analysis: Conventional criteria versus new alternatives. Structural Equation Modeling: A Multidisciplinary Journal, 6(1), 1–55. https://doi.org/10.1080/10705519909540118</w:t>
      </w:r>
    </w:p>
    <w:p w14:paraId="7F21B6AF" w14:textId="77777777" w:rsidR="000F5A88" w:rsidRPr="002A247D" w:rsidRDefault="00000000">
      <w:pPr>
        <w:spacing w:line="480" w:lineRule="auto"/>
        <w:ind w:left="720" w:hanging="720"/>
      </w:pPr>
      <w:r w:rsidRPr="002A247D">
        <w:t xml:space="preserve">Ji, T., de Jonge, J., Peeters, M. C. W., &amp; Taris, T. W. (2021). Employee sustainable performance (E-super): Theoretical conceptualization, scale development, and psychometric </w:t>
      </w:r>
      <w:r w:rsidRPr="002A247D">
        <w:lastRenderedPageBreak/>
        <w:t>properties. International Journal of Environmental Research and Public Health, 18(17), 9140. https://doi.org/10.3390/ijerph18179140</w:t>
      </w:r>
    </w:p>
    <w:p w14:paraId="48630E4D" w14:textId="77777777" w:rsidR="000F5A88" w:rsidRPr="002A247D" w:rsidRDefault="00000000">
      <w:pPr>
        <w:spacing w:line="480" w:lineRule="auto"/>
        <w:ind w:left="720" w:hanging="720"/>
      </w:pPr>
      <w:r w:rsidRPr="002A247D">
        <w:t>Kline, R. B. (2016). Principles and practice of structural equation modeling (4th ed.). Guilford Press.</w:t>
      </w:r>
    </w:p>
    <w:p w14:paraId="79F2DC73" w14:textId="77777777" w:rsidR="000F5A88" w:rsidRPr="002A247D" w:rsidRDefault="00000000">
      <w:pPr>
        <w:spacing w:line="480" w:lineRule="auto"/>
        <w:ind w:left="720" w:hanging="720"/>
      </w:pPr>
      <w:r w:rsidRPr="002A247D">
        <w:t>Lesener, T., Gusy, B., &amp; Wolter, C. (2019). The job demands-resources model: A meta-analytic review of longitudinal studies. Work &amp; Stress, 33(1), 76–103. https://doi.org/10.1080/02678373.2018.1529065</w:t>
      </w:r>
    </w:p>
    <w:p w14:paraId="1F055CCC" w14:textId="77777777" w:rsidR="000F5A88" w:rsidRPr="002A247D" w:rsidRDefault="00000000">
      <w:pPr>
        <w:spacing w:line="480" w:lineRule="auto"/>
        <w:ind w:left="720" w:hanging="720"/>
      </w:pPr>
      <w:r w:rsidRPr="002A247D">
        <w:t>Lindell, M. K., &amp; Whitney, D. J. (2001). Accounting for common method variance in cross-sectional research designs. Journal of Applied Psychology, 86(1), 114–121. https://doi.org/10.1037/0021-9010.86.1.114</w:t>
      </w:r>
    </w:p>
    <w:p w14:paraId="5BAA889C" w14:textId="77777777" w:rsidR="000F5A88" w:rsidRPr="002A247D" w:rsidRDefault="00000000">
      <w:pPr>
        <w:spacing w:line="480" w:lineRule="auto"/>
        <w:ind w:left="720" w:hanging="720"/>
      </w:pPr>
      <w:r w:rsidRPr="002A247D">
        <w:t>Long, J. S., &amp; Ervin, L. H. (2000). Using heteroskedasticity consistent standard errors in the linear regression model. The American Statistician, 54(3), 217–224. https://doi.org/10.1080/00031305.2000.10474549</w:t>
      </w:r>
    </w:p>
    <w:p w14:paraId="3090FD7C" w14:textId="77777777" w:rsidR="000F5A88" w:rsidRPr="002A247D" w:rsidRDefault="00000000">
      <w:pPr>
        <w:spacing w:line="480" w:lineRule="auto"/>
        <w:ind w:left="720" w:hanging="720"/>
      </w:pPr>
      <w:r w:rsidRPr="002A247D">
        <w:t>Longo, M., Mura, M., &amp; Bonoli, A. (2021). Sustainable work performance: A conceptual framework and empirical investigation. Sustainability, 13(4), 2156. https://doi.org/10.3390/su13042156</w:t>
      </w:r>
    </w:p>
    <w:p w14:paraId="0EE0F8E6" w14:textId="77777777" w:rsidR="000F5A88" w:rsidRPr="002A247D" w:rsidRDefault="00000000">
      <w:pPr>
        <w:spacing w:line="480" w:lineRule="auto"/>
        <w:ind w:left="720" w:hanging="720"/>
      </w:pPr>
      <w:r w:rsidRPr="002A247D">
        <w:t>Makrakis, V. (2024). Teachers’ resilience scale for sustainability enabled by ICT. Sustainability, 16(17), 7679. https://doi.org/10.3390/su16177679</w:t>
      </w:r>
    </w:p>
    <w:p w14:paraId="67B953AA" w14:textId="77777777" w:rsidR="000F5A88" w:rsidRPr="002A247D" w:rsidRDefault="000F5A88">
      <w:pPr>
        <w:spacing w:line="480" w:lineRule="auto"/>
      </w:pPr>
    </w:p>
    <w:p w14:paraId="4BCB7EDE" w14:textId="77777777" w:rsidR="000F5A88" w:rsidRPr="002A247D" w:rsidRDefault="00000000">
      <w:pPr>
        <w:spacing w:line="480" w:lineRule="auto"/>
        <w:ind w:left="720" w:hanging="720"/>
      </w:pPr>
      <w:r w:rsidRPr="002A247D">
        <w:t>Ministry of Education and Training, Vietnam. (2023). Chỉ thị về việc đẩy mạnh ứng dụng công nghệ thông tin và chuyển đổi số trong giáo dục và đào tạo giai đoạn 2023–2025 [Directive on promoting information technology application and digital transformation in education and training 2023–2025]. https://moet.gov.vn</w:t>
      </w:r>
    </w:p>
    <w:p w14:paraId="14EF57C6" w14:textId="77777777" w:rsidR="000F5A88" w:rsidRPr="002A247D" w:rsidRDefault="00000000">
      <w:pPr>
        <w:spacing w:line="480" w:lineRule="auto"/>
        <w:ind w:left="720" w:hanging="720"/>
      </w:pPr>
      <w:r w:rsidRPr="002A247D">
        <w:lastRenderedPageBreak/>
        <w:t>Muse, L. A., Harris, S. G., &amp; Feild, H. S. (2003). Has the inverted-U theory of stress and job performance had a fair test? Human Performance, 16(4), 349–364. https://doi.org/10.1207/S15327043HUP1604_2</w:t>
      </w:r>
    </w:p>
    <w:p w14:paraId="5136E8A4" w14:textId="77777777" w:rsidR="000F5A88" w:rsidRPr="002A247D" w:rsidRDefault="00000000">
      <w:pPr>
        <w:spacing w:line="480" w:lineRule="auto"/>
        <w:ind w:left="720" w:hanging="720"/>
      </w:pPr>
      <w:r w:rsidRPr="002A247D">
        <w:t>Podsakoff, P. M., MacKenzie, S. B., Lee, J. Y., &amp; Podsakoff, N. P. (2003). Common method biases in behavioral research: A critical review of the literature and recommended remedies. Journal of Applied Psychology, 88(5), 879–903. https://doi.org/10.1037/0021-9010.88.5.879</w:t>
      </w:r>
    </w:p>
    <w:p w14:paraId="6B6A19FD" w14:textId="77777777" w:rsidR="000F5A88" w:rsidRPr="002A247D" w:rsidRDefault="00000000">
      <w:pPr>
        <w:spacing w:line="480" w:lineRule="auto"/>
        <w:ind w:left="720" w:hanging="720"/>
      </w:pPr>
      <w:r w:rsidRPr="002A247D">
        <w:t>Rosseel, Y. (2012). lavaan: An R package for structural equation modeling. Journal of Statistical Software, 48(2), 1–36. https://doi.org/10.18637/jss.v048.i02</w:t>
      </w:r>
    </w:p>
    <w:p w14:paraId="5B542132" w14:textId="77777777" w:rsidR="000F5A88" w:rsidRPr="002A247D" w:rsidRDefault="00000000">
      <w:pPr>
        <w:spacing w:line="480" w:lineRule="auto"/>
        <w:ind w:left="720" w:hanging="720"/>
      </w:pPr>
      <w:r w:rsidRPr="002A247D">
        <w:t>Schaufeli, W. B., Bakker, A. B., &amp; Salanova, M. (2006). The measurement of work engagement with a short questionnaire: A cross-national study. Educational and Psychological Measurement, 66(4), 701–716. https://doi.org/10.1177/0013164405282471</w:t>
      </w:r>
    </w:p>
    <w:p w14:paraId="6B0509D4" w14:textId="77777777" w:rsidR="000F5A88" w:rsidRPr="002A247D" w:rsidRDefault="00000000">
      <w:pPr>
        <w:spacing w:line="480" w:lineRule="auto"/>
        <w:ind w:left="720" w:hanging="720"/>
      </w:pPr>
      <w:r w:rsidRPr="002A247D">
        <w:t>Sun, H., Liu, Y., &amp; Wang, X. (2022). Digital resilience among individuals in school education context: Scale development and validation. Frontiers in Psychiatry, 13, 858515. https://doi.org/10.3389/fpsyt.2022.858515</w:t>
      </w:r>
    </w:p>
    <w:p w14:paraId="13EB06C8" w14:textId="77777777" w:rsidR="000F5A88" w:rsidRPr="002A247D" w:rsidRDefault="00000000">
      <w:pPr>
        <w:spacing w:line="480" w:lineRule="auto"/>
        <w:ind w:left="720" w:hanging="720"/>
      </w:pPr>
      <w:r w:rsidRPr="002A247D">
        <w:t>Tarafdar, M., Tu, Q., Ragu-Nathan, B. S., &amp; Ragu-Nathan, T. S. (2007). The impact of technostress on role stress and productivity. Journal of Management Information Systems, 24(1), 301–328. https://doi.org/10.2753/MIS0742-1222240109</w:t>
      </w:r>
    </w:p>
    <w:p w14:paraId="72E19B8F" w14:textId="77777777" w:rsidR="000F5A88" w:rsidRPr="002A247D" w:rsidRDefault="00000000">
      <w:pPr>
        <w:spacing w:line="480" w:lineRule="auto"/>
        <w:ind w:left="720" w:hanging="720"/>
      </w:pPr>
      <w:r w:rsidRPr="002A247D">
        <w:t>Wolf, E. J., Harrington, K. M., Clark, S. L., &amp; Miller, M. W. (2013). Sample size requirements for structural equation models. Educational and Psychological Measurement, 73(6), 913–934. https://doi.org/10.1177/0013164413495237</w:t>
      </w:r>
    </w:p>
    <w:p w14:paraId="3D2BAE78" w14:textId="24082BB5" w:rsidR="000F5A88" w:rsidRPr="002A247D" w:rsidRDefault="00000000" w:rsidP="00F9422F">
      <w:pPr>
        <w:spacing w:line="480" w:lineRule="auto"/>
        <w:ind w:left="720" w:hanging="720"/>
        <w:rPr>
          <w:i/>
          <w:iCs/>
          <w:sz w:val="20"/>
          <w:szCs w:val="20"/>
        </w:rPr>
      </w:pPr>
      <w:r w:rsidRPr="002A247D">
        <w:lastRenderedPageBreak/>
        <w:t>Yerkes, R. M., &amp; Dodson, J. D. (1908). The relation of strength of stimulus to rapidity of habit-formation. Journal of Comparative Neurology and Psychology, 18(5), 459–482. https://doi.org/10.1002/cne.920180503</w:t>
      </w:r>
    </w:p>
    <w:sectPr w:rsidR="000F5A88" w:rsidRPr="002A24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00116"/>
    <w:multiLevelType w:val="hybridMultilevel"/>
    <w:tmpl w:val="98240ABC"/>
    <w:lvl w:ilvl="0" w:tplc="1CC638BA">
      <w:start w:val="1"/>
      <w:numFmt w:val="bullet"/>
      <w:lvlText w:val="●"/>
      <w:lvlJc w:val="left"/>
      <w:pPr>
        <w:ind w:left="720" w:hanging="360"/>
      </w:pPr>
    </w:lvl>
    <w:lvl w:ilvl="1" w:tplc="BDFC0B80">
      <w:start w:val="1"/>
      <w:numFmt w:val="bullet"/>
      <w:lvlText w:val="○"/>
      <w:lvlJc w:val="left"/>
      <w:pPr>
        <w:ind w:left="1440" w:hanging="360"/>
      </w:pPr>
    </w:lvl>
    <w:lvl w:ilvl="2" w:tplc="787CD138">
      <w:start w:val="1"/>
      <w:numFmt w:val="bullet"/>
      <w:lvlText w:val="■"/>
      <w:lvlJc w:val="left"/>
      <w:pPr>
        <w:ind w:left="2160" w:hanging="360"/>
      </w:pPr>
    </w:lvl>
    <w:lvl w:ilvl="3" w:tplc="FE72DF36">
      <w:start w:val="1"/>
      <w:numFmt w:val="bullet"/>
      <w:lvlText w:val="●"/>
      <w:lvlJc w:val="left"/>
      <w:pPr>
        <w:ind w:left="2880" w:hanging="360"/>
      </w:pPr>
    </w:lvl>
    <w:lvl w:ilvl="4" w:tplc="B0F2A75C">
      <w:start w:val="1"/>
      <w:numFmt w:val="bullet"/>
      <w:lvlText w:val="○"/>
      <w:lvlJc w:val="left"/>
      <w:pPr>
        <w:ind w:left="3600" w:hanging="360"/>
      </w:pPr>
    </w:lvl>
    <w:lvl w:ilvl="5" w:tplc="2904C7E4">
      <w:start w:val="1"/>
      <w:numFmt w:val="bullet"/>
      <w:lvlText w:val="■"/>
      <w:lvlJc w:val="left"/>
      <w:pPr>
        <w:ind w:left="4320" w:hanging="360"/>
      </w:pPr>
    </w:lvl>
    <w:lvl w:ilvl="6" w:tplc="08F61C94">
      <w:start w:val="1"/>
      <w:numFmt w:val="bullet"/>
      <w:lvlText w:val="●"/>
      <w:lvlJc w:val="left"/>
      <w:pPr>
        <w:ind w:left="5040" w:hanging="360"/>
      </w:pPr>
    </w:lvl>
    <w:lvl w:ilvl="7" w:tplc="E38ACB6C">
      <w:start w:val="1"/>
      <w:numFmt w:val="bullet"/>
      <w:lvlText w:val="●"/>
      <w:lvlJc w:val="left"/>
      <w:pPr>
        <w:ind w:left="5760" w:hanging="360"/>
      </w:pPr>
    </w:lvl>
    <w:lvl w:ilvl="8" w:tplc="62085DB8">
      <w:start w:val="1"/>
      <w:numFmt w:val="bullet"/>
      <w:lvlText w:val="●"/>
      <w:lvlJc w:val="left"/>
      <w:pPr>
        <w:ind w:left="6480" w:hanging="360"/>
      </w:pPr>
    </w:lvl>
  </w:abstractNum>
  <w:num w:numId="1" w16cid:durableId="604506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88"/>
    <w:rsid w:val="00006E69"/>
    <w:rsid w:val="0002686B"/>
    <w:rsid w:val="0003708F"/>
    <w:rsid w:val="00063688"/>
    <w:rsid w:val="00084392"/>
    <w:rsid w:val="000A2819"/>
    <w:rsid w:val="000D6F60"/>
    <w:rsid w:val="000F5A88"/>
    <w:rsid w:val="00121E9F"/>
    <w:rsid w:val="00161516"/>
    <w:rsid w:val="00164AF4"/>
    <w:rsid w:val="0017369A"/>
    <w:rsid w:val="00180359"/>
    <w:rsid w:val="0018226F"/>
    <w:rsid w:val="001D6837"/>
    <w:rsid w:val="001E4DC3"/>
    <w:rsid w:val="002077AC"/>
    <w:rsid w:val="00215A70"/>
    <w:rsid w:val="0024536D"/>
    <w:rsid w:val="00250164"/>
    <w:rsid w:val="002A247D"/>
    <w:rsid w:val="002A3BA7"/>
    <w:rsid w:val="002D3E61"/>
    <w:rsid w:val="002F4608"/>
    <w:rsid w:val="00324264"/>
    <w:rsid w:val="00355991"/>
    <w:rsid w:val="003976BE"/>
    <w:rsid w:val="003D2E75"/>
    <w:rsid w:val="00435533"/>
    <w:rsid w:val="00521804"/>
    <w:rsid w:val="00532885"/>
    <w:rsid w:val="005D310A"/>
    <w:rsid w:val="005E447A"/>
    <w:rsid w:val="005F6C6D"/>
    <w:rsid w:val="006C1911"/>
    <w:rsid w:val="00703E8B"/>
    <w:rsid w:val="00722E8D"/>
    <w:rsid w:val="007C77C5"/>
    <w:rsid w:val="0081454C"/>
    <w:rsid w:val="00842613"/>
    <w:rsid w:val="00846B78"/>
    <w:rsid w:val="00850937"/>
    <w:rsid w:val="008633C3"/>
    <w:rsid w:val="00894DAC"/>
    <w:rsid w:val="008C0A04"/>
    <w:rsid w:val="00930E5E"/>
    <w:rsid w:val="00990FEB"/>
    <w:rsid w:val="00A12898"/>
    <w:rsid w:val="00A5121C"/>
    <w:rsid w:val="00AE63B8"/>
    <w:rsid w:val="00B111BF"/>
    <w:rsid w:val="00B27CF7"/>
    <w:rsid w:val="00B327FE"/>
    <w:rsid w:val="00B62FC4"/>
    <w:rsid w:val="00C04400"/>
    <w:rsid w:val="00C35CF8"/>
    <w:rsid w:val="00CB4F24"/>
    <w:rsid w:val="00CE441D"/>
    <w:rsid w:val="00D53BCE"/>
    <w:rsid w:val="00D72624"/>
    <w:rsid w:val="00DD64F2"/>
    <w:rsid w:val="00DE2900"/>
    <w:rsid w:val="00DF436C"/>
    <w:rsid w:val="00E10FE5"/>
    <w:rsid w:val="00E44404"/>
    <w:rsid w:val="00ED2C1B"/>
    <w:rsid w:val="00EE4717"/>
    <w:rsid w:val="00F508D0"/>
    <w:rsid w:val="00F84D60"/>
    <w:rsid w:val="00F94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882A"/>
  <w15:docId w15:val="{E765BDB8-C749-4202-B331-9D00FF4DE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line="480" w:lineRule="auto"/>
      <w:outlineLvl w:val="0"/>
    </w:pPr>
    <w:rPr>
      <w:b/>
      <w:bCs/>
      <w:caps/>
    </w:rPr>
  </w:style>
  <w:style w:type="paragraph" w:styleId="Heading2">
    <w:name w:val="heading 2"/>
    <w:uiPriority w:val="9"/>
    <w:unhideWhenUsed/>
    <w:qFormat/>
    <w:pPr>
      <w:spacing w:before="480" w:line="480" w:lineRule="auto"/>
      <w:outlineLvl w:val="1"/>
    </w:pPr>
    <w:rPr>
      <w:b/>
      <w:bCs/>
    </w:rPr>
  </w:style>
  <w:style w:type="paragraph" w:styleId="Heading3">
    <w:name w:val="heading 3"/>
    <w:uiPriority w:val="9"/>
    <w:unhideWhenUsed/>
    <w:qFormat/>
    <w:pPr>
      <w:spacing w:before="24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6Colorful">
    <w:name w:val="List Table 6 Colorful"/>
    <w:basedOn w:val="TableNormal"/>
    <w:uiPriority w:val="51"/>
    <w:rsid w:val="002A3BA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neNumber">
    <w:name w:val="line number"/>
    <w:basedOn w:val="DefaultParagraphFont"/>
    <w:uiPriority w:val="99"/>
    <w:semiHidden/>
    <w:unhideWhenUsed/>
    <w:rsid w:val="00DD6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35</Pages>
  <Words>9275</Words>
  <Characters>52874</Characters>
  <Application>Microsoft Office Word</Application>
  <DocSecurity>0</DocSecurity>
  <Lines>440</Lines>
  <Paragraphs>124</Paragraphs>
  <ScaleCrop>false</ScaleCrop>
  <Company/>
  <LinksUpToDate>false</LinksUpToDate>
  <CharactersWithSpaces>62025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Editor</cp:lastModifiedBy>
  <cp:revision>61</cp:revision>
  <dcterms:created xsi:type="dcterms:W3CDTF">2026-05-06T10:50:00Z</dcterms:created>
  <dcterms:modified xsi:type="dcterms:W3CDTF">2026-05-07T14:28:00Z</dcterms:modified>
</cp:coreProperties>
</file>