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1A"/>
          <w:sz w:val="56"/>
        </w:rPr>
        <w:t>INVOICE</w:t>
      </w:r>
    </w:p>
    <w:p>
      <w:pPr>
        <w:spacing w:before="40" w:after="40"/>
        <w:pBdr>
          <w:bottom w:val="single" w:sz="12" w:color="ec4899" w:space="1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2880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color w:val="888888"/>
                <w:sz w:val="16"/>
              </w:rPr>
              <w:t>INVOICE NO.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color w:val="2563EB"/>
                <w:sz w:val="20"/>
              </w:rPr>
              <w:t>INV-2024-0347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color w:val="888888"/>
                <w:sz w:val="16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2024-03-15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color w:val="888888"/>
                <w:sz w:val="16"/>
              </w:rPr>
              <w:t>DUE 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2024-04-14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986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FROM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1A1A"/>
                <w:sz w:val="24"/>
              </w:rPr>
              <w:t>Nexus Digital Studio</w:t>
            </w:r>
          </w:p>
          <w:p>
            <w:pPr>
              <w:spacing w:after="20"/>
            </w:pPr>
            <w:r>
              <w:rPr>
                <w:rFonts w:ascii="Calibri" w:hAnsi="Calibri"/>
                <w:color w:val="555555"/>
                <w:sz w:val="18"/>
              </w:rPr>
              <w:t>2850 Wilshire Blvd, Suite 400, Los Angeles, CA 90010</w:t>
            </w:r>
          </w:p>
          <w:p>
            <w:pPr>
              <w:spacing w:after="20"/>
            </w:pPr>
            <w:r>
              <w:rPr>
                <w:rFonts w:ascii="Calibri" w:hAnsi="Calibri"/>
                <w:color w:val="555555"/>
                <w:sz w:val="18"/>
              </w:rPr>
              <w:t>billing@nexusstudio.co</w:t>
            </w:r>
          </w:p>
          <w:p>
            <w:pPr>
              <w:spacing w:after="20"/>
            </w:pPr>
            <w:r>
              <w:rPr>
                <w:rFonts w:ascii="Calibri" w:hAnsi="Calibri"/>
                <w:color w:val="555555"/>
                <w:sz w:val="18"/>
              </w:rPr>
              <w:t>(310) 555-8821</w:t>
            </w:r>
          </w:p>
        </w:tc>
        <w:tc>
          <w:tcPr>
            <w:tcW w:type="dxa" w:w="4986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BILL TO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1A1A"/>
                <w:sz w:val="24"/>
              </w:rPr>
              <w:t>Apex Ventures LLC</w:t>
            </w:r>
          </w:p>
          <w:p>
            <w:pPr>
              <w:spacing w:after="20"/>
            </w:pPr>
            <w:r>
              <w:rPr>
                <w:rFonts w:ascii="Calibri" w:hAnsi="Calibri"/>
                <w:color w:val="555555"/>
                <w:sz w:val="18"/>
              </w:rPr>
              <w:t>1200 Park Avenue, New York, NY 10128</w:t>
            </w:r>
          </w:p>
          <w:p>
            <w:pPr>
              <w:spacing w:after="20"/>
            </w:pPr>
            <w:r>
              <w:rPr>
                <w:rFonts w:ascii="Calibri" w:hAnsi="Calibri"/>
                <w:color w:val="555555"/>
                <w:sz w:val="18"/>
              </w:rPr>
              <w:t>accounts@apexventures.com</w:t>
            </w:r>
          </w:p>
          <w:p>
            <w:pPr>
              <w:spacing w:after="20"/>
            </w:pPr>
            <w:r>
              <w:rPr>
                <w:rFonts w:ascii="Calibri" w:hAnsi="Calibri"/>
                <w:color w:val="555555"/>
                <w:sz w:val="18"/>
              </w:rPr>
              <w:t>(212) 555-4400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608"/>
            <w:shd w:val="clear" w:color="auto" w:fill="1A1A1A"/>
          </w:tcPr>
          <w:p>
            <w:pPr>
              <w:spacing w:before="120" w:after="1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152"/>
            <w:shd w:val="clear" w:color="auto" w:fill="1A1A1A"/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QTY</w:t>
            </w:r>
          </w:p>
        </w:tc>
        <w:tc>
          <w:tcPr>
            <w:tcW w:type="dxa" w:w="1728"/>
            <w:shd w:val="clear" w:color="auto" w:fill="1A1A1A"/>
          </w:tcPr>
          <w:p>
            <w:pPr>
              <w:spacing w:before="120" w:after="1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RATE</w:t>
            </w:r>
          </w:p>
        </w:tc>
        <w:tc>
          <w:tcPr>
            <w:tcW w:type="dxa" w:w="1728"/>
            <w:shd w:val="clear" w:color="auto" w:fill="1A1A1A"/>
          </w:tcPr>
          <w:p>
            <w:pPr>
              <w:spacing w:before="120" w:after="1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4608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Brand Identity Design — Logo, color palette, typography</w:t>
            </w:r>
          </w:p>
        </w:tc>
        <w:tc>
          <w:tcPr>
            <w:tcW w:type="dxa" w:w="1152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before="80" w:after="80"/>
              <w:jc w:val="right"/>
            </w:pPr>
            <w:r/>
            <w:r>
              <w:rPr>
                <w:rFonts w:ascii="Calibri" w:hAnsi="Calibri"/>
                <w:color w:val="1A1A1A"/>
                <w:sz w:val="18"/>
              </w:rPr>
              <w:t>$4,500.00</w:t>
            </w:r>
          </w:p>
        </w:tc>
        <w:tc>
          <w:tcPr>
            <w:tcW w:type="dxa" w:w="1728"/>
          </w:tcPr>
          <w:p>
            <w:pPr>
              <w:spacing w:before="80" w:after="80"/>
              <w:jc w:val="right"/>
            </w:pPr>
            <w:r/>
            <w:r>
              <w:rPr>
                <w:rFonts w:ascii="Calibri" w:hAnsi="Calibri"/>
                <w:color w:val="1A1A1A"/>
                <w:sz w:val="18"/>
              </w:rPr>
              <w:t>$4,500.00</w:t>
            </w:r>
          </w:p>
        </w:tc>
      </w:tr>
      <w:tr>
        <w:tc>
          <w:tcPr>
            <w:tcW w:type="dxa" w:w="4608"/>
            <w:shd w:val="clear" w:color="auto" w:fill="F5F5F5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Website Design (UI/UX) — 12 pages, responsive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1728"/>
            <w:shd w:val="clear" w:color="auto" w:fill="F5F5F5"/>
          </w:tcPr>
          <w:p>
            <w:pPr>
              <w:spacing w:before="80" w:after="80"/>
              <w:jc w:val="right"/>
            </w:pPr>
            <w:r/>
            <w:r>
              <w:rPr>
                <w:rFonts w:ascii="Calibri" w:hAnsi="Calibri"/>
                <w:color w:val="1A1A1A"/>
                <w:sz w:val="18"/>
              </w:rPr>
              <w:t>$8,000.00</w:t>
            </w:r>
          </w:p>
        </w:tc>
        <w:tc>
          <w:tcPr>
            <w:tcW w:type="dxa" w:w="1728"/>
            <w:shd w:val="clear" w:color="auto" w:fill="F5F5F5"/>
          </w:tcPr>
          <w:p>
            <w:pPr>
              <w:spacing w:before="80" w:after="80"/>
              <w:jc w:val="right"/>
            </w:pPr>
            <w:r/>
            <w:r>
              <w:rPr>
                <w:rFonts w:ascii="Calibri" w:hAnsi="Calibri"/>
                <w:color w:val="1A1A1A"/>
                <w:sz w:val="18"/>
              </w:rPr>
              <w:t>$8,000.00</w:t>
            </w:r>
          </w:p>
        </w:tc>
      </w:tr>
      <w:tr>
        <w:tc>
          <w:tcPr>
            <w:tcW w:type="dxa" w:w="4608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Frontend Development — React + Next.js build</w:t>
            </w:r>
          </w:p>
        </w:tc>
        <w:tc>
          <w:tcPr>
            <w:tcW w:type="dxa" w:w="1152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color w:val="1A1A1A"/>
                <w:sz w:val="18"/>
              </w:rPr>
              <w:t>80</w:t>
            </w:r>
          </w:p>
        </w:tc>
        <w:tc>
          <w:tcPr>
            <w:tcW w:type="dxa" w:w="1728"/>
          </w:tcPr>
          <w:p>
            <w:pPr>
              <w:spacing w:before="80" w:after="80"/>
              <w:jc w:val="right"/>
            </w:pPr>
            <w:r/>
            <w:r>
              <w:rPr>
                <w:rFonts w:ascii="Calibri" w:hAnsi="Calibri"/>
                <w:color w:val="1A1A1A"/>
                <w:sz w:val="18"/>
              </w:rPr>
              <w:t>$125.00</w:t>
            </w:r>
          </w:p>
        </w:tc>
        <w:tc>
          <w:tcPr>
            <w:tcW w:type="dxa" w:w="1728"/>
          </w:tcPr>
          <w:p>
            <w:pPr>
              <w:spacing w:before="80" w:after="80"/>
              <w:jc w:val="right"/>
            </w:pPr>
            <w:r/>
            <w:r>
              <w:rPr>
                <w:rFonts w:ascii="Calibri" w:hAnsi="Calibri"/>
                <w:color w:val="1A1A1A"/>
                <w:sz w:val="18"/>
              </w:rPr>
              <w:t>$10,000.00</w:t>
            </w:r>
          </w:p>
        </w:tc>
      </w:tr>
      <w:tr>
        <w:tc>
          <w:tcPr>
            <w:tcW w:type="dxa" w:w="4608"/>
            <w:shd w:val="clear" w:color="auto" w:fill="F5F5F5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CMS Integration — Sanity CMS setup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1728"/>
            <w:shd w:val="clear" w:color="auto" w:fill="F5F5F5"/>
          </w:tcPr>
          <w:p>
            <w:pPr>
              <w:spacing w:before="80" w:after="80"/>
              <w:jc w:val="right"/>
            </w:pPr>
            <w:r/>
            <w:r>
              <w:rPr>
                <w:rFonts w:ascii="Calibri" w:hAnsi="Calibri"/>
                <w:color w:val="1A1A1A"/>
                <w:sz w:val="18"/>
              </w:rPr>
              <w:t>$2,500.00</w:t>
            </w:r>
          </w:p>
        </w:tc>
        <w:tc>
          <w:tcPr>
            <w:tcW w:type="dxa" w:w="1728"/>
            <w:shd w:val="clear" w:color="auto" w:fill="F5F5F5"/>
          </w:tcPr>
          <w:p>
            <w:pPr>
              <w:spacing w:before="80" w:after="80"/>
              <w:jc w:val="right"/>
            </w:pPr>
            <w:r/>
            <w:r>
              <w:rPr>
                <w:rFonts w:ascii="Calibri" w:hAnsi="Calibri"/>
                <w:color w:val="1A1A1A"/>
                <w:sz w:val="18"/>
              </w:rPr>
              <w:t>$2,500.00</w:t>
            </w:r>
          </w:p>
        </w:tc>
      </w:tr>
      <w:tr>
        <w:tc>
          <w:tcPr>
            <w:tcW w:type="dxa" w:w="4608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QA &amp; Launch Support — Testing and deployment</w:t>
            </w:r>
          </w:p>
        </w:tc>
        <w:tc>
          <w:tcPr>
            <w:tcW w:type="dxa" w:w="1152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color w:val="1A1A1A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spacing w:before="80" w:after="80"/>
              <w:jc w:val="right"/>
            </w:pPr>
            <w:r/>
            <w:r>
              <w:rPr>
                <w:rFonts w:ascii="Calibri" w:hAnsi="Calibri"/>
                <w:color w:val="1A1A1A"/>
                <w:sz w:val="18"/>
              </w:rPr>
              <w:t>$100.00</w:t>
            </w:r>
          </w:p>
        </w:tc>
        <w:tc>
          <w:tcPr>
            <w:tcW w:type="dxa" w:w="1728"/>
          </w:tcPr>
          <w:p>
            <w:pPr>
              <w:spacing w:before="80" w:after="80"/>
              <w:jc w:val="right"/>
            </w:pPr>
            <w:r/>
            <w:r>
              <w:rPr>
                <w:rFonts w:ascii="Calibri" w:hAnsi="Calibri"/>
                <w:color w:val="1A1A1A"/>
                <w:sz w:val="18"/>
              </w:rPr>
              <w:t>$2,000.00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$27,000.00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Discount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-$1,000.00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Tax (8.75%)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$2,362.50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A1A1A"/>
                <w:sz w:val="22"/>
              </w:rPr>
              <w:t>TOTAL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2563EB"/>
                <w:sz w:val="28"/>
              </w:rPr>
              <w:t>$28,362.50</w:t>
            </w:r>
          </w:p>
        </w:tc>
      </w:tr>
    </w:tbl>
    <w:p/>
    <w:p>
      <w:pPr>
        <w:spacing w:before="40" w:after="40"/>
        <w:pBdr>
          <w:bottom w:val="single" w:sz="4" w:color="e0e0e0" w:space="1"/>
        </w:pBdr>
      </w:pPr>
    </w:p>
    <w:p>
      <w:r>
        <w:rPr>
          <w:rFonts w:ascii="Calibri" w:hAnsi="Calibri"/>
          <w:b/>
          <w:color w:val="555555"/>
          <w:sz w:val="18"/>
        </w:rPr>
        <w:t xml:space="preserve">Notes: </w:t>
      </w:r>
      <w:r>
        <w:rPr>
          <w:rFonts w:ascii="Calibri" w:hAnsi="Calibri"/>
          <w:color w:val="555555"/>
          <w:sz w:val="18"/>
        </w:rPr>
        <w:t>Payment due within 30 days. Late payments subject to 1.5% monthly interest.</w:t>
      </w:r>
    </w:p>
    <w:p>
      <w:r>
        <w:rPr>
          <w:rFonts w:ascii="Calibri" w:hAnsi="Calibri"/>
          <w:b/>
          <w:color w:val="555555"/>
          <w:sz w:val="18"/>
        </w:rPr>
        <w:t xml:space="preserve">Payment Methods: </w:t>
      </w:r>
      <w:r>
        <w:rPr>
          <w:rFonts w:ascii="Calibri" w:hAnsi="Calibri"/>
          <w:color w:val="555555"/>
          <w:sz w:val="18"/>
        </w:rPr>
        <w:t>Wire transfer, ACH, or check payable to Nexus Digital Studio</w:t>
      </w:r>
    </w:p>
    <w:p>
      <w:pPr>
        <w:spacing w:before="400"/>
      </w:pPr>
    </w:p>
    <w:p>
      <w:pPr>
        <w:spacing w:before="40" w:after="40"/>
        <w:pBdr>
          <w:bottom w:val="single" w:sz="2" w:color="e0e0e0" w:space="1"/>
        </w:pBdr>
      </w:pPr>
    </w:p>
    <w:p>
      <w:pPr>
        <w:jc w:val="center"/>
      </w:pPr>
      <w:r>
        <w:rPr>
          <w:rFonts w:ascii="Calibri" w:hAnsi="Calibri"/>
          <w:color w:val="888888"/>
          <w:sz w:val="14"/>
        </w:rPr>
        <w:t>Generated by GoFarther AI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