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w:t>
      </w:r>
    </w:p>
    <w:p>
      <w:pPr>
        <w:pStyle w:val="FirstParagraph"/>
      </w:pPr>
      <w:r>
        <w:t xml:space="preserve">The math package stores auxiliary functions that are mathematical. Functions mentioned here are functions that might be useful for developers who are looking for functions that may be directly useful in their own bikipy pipeline.</w:t>
      </w:r>
    </w:p>
    <w:bookmarkStart w:id="21" w:name="point-in-parallelogram"/>
    <w:p>
      <w:pPr>
        <w:pStyle w:val="Heading1"/>
      </w:pPr>
      <w:r>
        <w:t xml:space="preserve">Point in parallelogram</w:t>
      </w:r>
    </w:p>
    <w:p>
      <w:pPr>
        <w:pStyle w:val="FirstParagraph"/>
      </w:pPr>
      <w:r>
        <w:t xml:space="preserve">Function path</w:t>
      </w:r>
      <w:r>
        <w:t xml:space="preserve"> </w:t>
      </w:r>
      <w:r>
        <w:rPr>
          <w:rStyle w:val="VerbatimChar"/>
        </w:rPr>
        <w:t xml:space="preserve">bikipy.math.point_in_parallelogram.point_in_parallelogram</w:t>
      </w:r>
      <w:r>
        <w:t xml:space="preserve">.</w:t>
      </w:r>
    </w:p>
    <w:p>
      <w:pPr>
        <w:pStyle w:val="BodyText"/>
      </w:pPr>
      <w:r>
        <w:t xml:space="preserve">Let</w:t>
      </w:r>
      <w:r>
        <w:t xml:space="preserve"> </w:t>
      </w:r>
      <m:oMath>
        <m:r>
          <m:t>A</m:t>
        </m:r>
        <m:r>
          <m:t>B</m:t>
        </m:r>
        <m:r>
          <m:t>C</m:t>
        </m:r>
        <m:r>
          <m:t>D</m:t>
        </m:r>
      </m:oMath>
      <w:r>
        <w:t xml:space="preserve"> </w:t>
      </w:r>
      <w:r>
        <w:t xml:space="preserve">be our parallelogram,</w:t>
      </w:r>
      <w:r>
        <w:t xml:space="preserve"> </w:t>
      </w:r>
      <m:oMath>
        <m:r>
          <m:t>A</m:t>
        </m:r>
      </m:oMath>
      <w:r>
        <w:t xml:space="preserve"> </w:t>
      </w:r>
      <w:r>
        <w:t xml:space="preserve">the origin of our coordinate system. Then, the vectors</w:t>
      </w:r>
      <w:r>
        <w:t xml:space="preserve"> </w:t>
      </w:r>
      <m:oMath>
        <m:acc>
          <m:accPr>
            <m:chr m:val="⃗"/>
          </m:accPr>
          <m:e>
            <m:r>
              <m:t>A</m:t>
            </m:r>
            <m:r>
              <m:t>B</m:t>
            </m:r>
          </m:e>
        </m:acc>
        <m:r>
          <m:rPr>
            <m:sty m:val="p"/>
          </m:rPr>
          <m:t>=</m:t>
        </m:r>
        <m:r>
          <m:rPr>
            <m:sty m:val="b"/>
          </m:rPr>
          <m:t>a</m:t>
        </m:r>
        <m:r>
          <m:rPr>
            <m:sty m:val="p"/>
          </m:rPr>
          <m:t>=</m:t>
        </m:r>
        <m:d>
          <m:dPr>
            <m:begChr m:val="("/>
            <m:endChr m:val=")"/>
            <m:sepChr m:val=""/>
            <m:grow/>
          </m:dPr>
          <m:e>
            <m:sSub>
              <m:e>
                <m:r>
                  <m:t>a</m:t>
                </m:r>
              </m:e>
              <m:sub>
                <m:r>
                  <m:t>x</m:t>
                </m:r>
              </m:sub>
            </m:sSub>
            <m:r>
              <m:rPr>
                <m:sty m:val="p"/>
              </m:rPr>
              <m:t>,</m:t>
            </m:r>
            <m:sSub>
              <m:e>
                <m:r>
                  <m:t>a</m:t>
                </m:r>
              </m:e>
              <m:sub>
                <m:r>
                  <m:t>y</m:t>
                </m:r>
              </m:sub>
            </m:sSub>
          </m:e>
        </m:d>
      </m:oMath>
      <w:r>
        <w:t xml:space="preserve"> </w:t>
      </w:r>
      <w:r>
        <w:t xml:space="preserve">and</w:t>
      </w:r>
      <w:r>
        <w:t xml:space="preserve"> </w:t>
      </w:r>
      <m:oMath>
        <m:acc>
          <m:accPr>
            <m:chr m:val="⃗"/>
          </m:accPr>
          <m:e>
            <m:r>
              <m:t>A</m:t>
            </m:r>
            <m:r>
              <m:t>D</m:t>
            </m:r>
          </m:e>
        </m:acc>
        <m:r>
          <m:rPr>
            <m:sty m:val="p"/>
          </m:rPr>
          <m:t>=</m:t>
        </m:r>
        <m:r>
          <m:rPr>
            <m:sty m:val="b"/>
          </m:rPr>
          <m:t>b</m:t>
        </m:r>
        <m:r>
          <m:rPr>
            <m:sty m:val="p"/>
          </m:rPr>
          <m:t>=</m:t>
        </m:r>
        <m:d>
          <m:dPr>
            <m:begChr m:val="("/>
            <m:endChr m:val=")"/>
            <m:sepChr m:val=""/>
            <m:grow/>
          </m:dPr>
          <m:e>
            <m:sSub>
              <m:e>
                <m:r>
                  <m:t>b</m:t>
                </m:r>
              </m:e>
              <m:sub>
                <m:r>
                  <m:t>x</m:t>
                </m:r>
              </m:sub>
            </m:sSub>
            <m:r>
              <m:rPr>
                <m:sty m:val="p"/>
              </m:rPr>
              <m:t>,</m:t>
            </m:r>
            <m:sSub>
              <m:e>
                <m:r>
                  <m:t>b</m:t>
                </m:r>
              </m:e>
              <m:sub>
                <m:r>
                  <m:t>y</m:t>
                </m:r>
              </m:sub>
            </m:sSub>
          </m:e>
        </m:d>
      </m:oMath>
      <w:r>
        <w:t xml:space="preserve"> </w:t>
      </w:r>
      <w:r>
        <w:t xml:space="preserve">define the parallelogram. Then, the vectors</w:t>
      </w:r>
      <w:r>
        <w:t xml:space="preserve"> </w:t>
      </w:r>
      <m:oMath>
        <m:r>
          <m:rPr>
            <m:sty m:val="b"/>
          </m:rPr>
          <m:t>a</m:t>
        </m:r>
        <m:r>
          <m:rPr>
            <m:sty m:val="b"/>
          </m:rPr>
          <m:t>′</m:t>
        </m:r>
        <m:r>
          <m:rPr>
            <m:sty m:val="p"/>
          </m:rPr>
          <m:t>=</m:t>
        </m:r>
        <m:d>
          <m:dPr>
            <m:begChr m:val="("/>
            <m:endChr m:val=")"/>
            <m:sepChr m:val=""/>
            <m:grow/>
          </m:dPr>
          <m:e>
            <m:r>
              <m:rPr>
                <m:sty m:val="p"/>
              </m:rPr>
              <m:t>−</m:t>
            </m:r>
            <m:sSub>
              <m:e>
                <m:r>
                  <m:t>a</m:t>
                </m:r>
              </m:e>
              <m:sub>
                <m:r>
                  <m:t>y</m:t>
                </m:r>
              </m:sub>
            </m:sSub>
            <m:r>
              <m:rPr>
                <m:sty m:val="p"/>
              </m:rPr>
              <m:t>,</m:t>
            </m:r>
            <m:sSub>
              <m:e>
                <m:r>
                  <m:t>a</m:t>
                </m:r>
              </m:e>
              <m:sub>
                <m:r>
                  <m:t>x</m:t>
                </m:r>
              </m:sub>
            </m:sSub>
          </m:e>
        </m:d>
      </m:oMath>
      <w:r>
        <w:t xml:space="preserve"> </w:t>
      </w:r>
      <w:r>
        <w:t xml:space="preserve">and</w:t>
      </w:r>
      <w:r>
        <w:t xml:space="preserve"> </w:t>
      </w:r>
      <m:oMath>
        <m:r>
          <m:rPr>
            <m:sty m:val="b"/>
          </m:rPr>
          <m:t>b</m:t>
        </m:r>
        <m:r>
          <m:rPr>
            <m:sty m:val="b"/>
          </m:rPr>
          <m:t>′</m:t>
        </m:r>
        <m:r>
          <m:rPr>
            <m:sty m:val="p"/>
          </m:rPr>
          <m:t>=</m:t>
        </m:r>
        <m:d>
          <m:dPr>
            <m:begChr m:val="("/>
            <m:endChr m:val=")"/>
            <m:sepChr m:val=""/>
            <m:grow/>
          </m:dPr>
          <m:e>
            <m:r>
              <m:rPr>
                <m:sty m:val="p"/>
              </m:rPr>
              <m:t>−</m:t>
            </m:r>
            <m:sSub>
              <m:e>
                <m:r>
                  <m:t>b</m:t>
                </m:r>
              </m:e>
              <m:sub>
                <m:r>
                  <m:t>y</m:t>
                </m:r>
              </m:sub>
            </m:sSub>
            <m:r>
              <m:rPr>
                <m:sty m:val="p"/>
              </m:rPr>
              <m:t>,</m:t>
            </m:r>
            <m:sSub>
              <m:e>
                <m:r>
                  <m:t>b</m:t>
                </m:r>
              </m:e>
              <m:sub>
                <m:r>
                  <m:t>x</m:t>
                </m:r>
              </m:sub>
            </m:sSub>
          </m:e>
        </m:d>
      </m:oMath>
      <w:r>
        <w:t xml:space="preserve"> </w:t>
      </w:r>
      <w:r>
        <w:t xml:space="preserve">are orthogonal to</w:t>
      </w:r>
      <w:r>
        <w:t xml:space="preserve"> </w:t>
      </w:r>
      <m:oMath>
        <m:r>
          <m:rPr>
            <m:sty m:val="b"/>
          </m:rPr>
          <m:t>a</m:t>
        </m:r>
      </m:oMath>
      <w:r>
        <w:t xml:space="preserve"> </w:t>
      </w:r>
      <w:r>
        <w:t xml:space="preserve">and</w:t>
      </w:r>
      <w:r>
        <w:t xml:space="preserve"> </w:t>
      </w:r>
      <m:oMath>
        <m:r>
          <m:rPr>
            <m:sty m:val="b"/>
          </m:rPr>
          <m:t>b</m:t>
        </m:r>
      </m:oMath>
      <w:r>
        <w:t xml:space="preserve">. Moreover, we need to make sure that they are in the right direction. We can do that with the dot product:</w:t>
      </w:r>
    </w:p>
    <w:p>
      <w:pPr>
        <w:pStyle w:val="BodyText"/>
      </w:pPr>
      <m:oMathPara>
        <m:oMathParaPr>
          <m:jc m:val="center"/>
        </m:oMathParaPr>
        <m:oMath>
          <m:r>
            <m:rPr>
              <m:sty m:val="b"/>
            </m:rPr>
            <m:t>a</m:t>
          </m:r>
          <m:r>
            <m:rPr>
              <m:sty m:val="b"/>
            </m:rPr>
            <m:t>″</m:t>
          </m:r>
          <m:r>
            <m:rPr>
              <m:sty m:val="p"/>
            </m:rPr>
            <m:t>=</m:t>
          </m:r>
          <m:r>
            <m:rPr>
              <m:nor/>
              <m:sty m:val="p"/>
            </m:rPr>
            <m:t>sign</m:t>
          </m:r>
          <m:d>
            <m:dPr>
              <m:begChr m:val="("/>
              <m:endChr m:val=")"/>
              <m:sepChr m:val=""/>
              <m:grow/>
            </m:dPr>
            <m:e>
              <m:r>
                <m:rPr>
                  <m:sty m:val="b"/>
                </m:rPr>
                <m:t>a</m:t>
              </m:r>
              <m:r>
                <m:rPr>
                  <m:sty m:val="b"/>
                </m:rPr>
                <m:t>′</m:t>
              </m:r>
              <m:r>
                <m:rPr>
                  <m:sty m:val="p"/>
                </m:rPr>
                <m:t>⋅</m:t>
              </m:r>
              <m:r>
                <m:rPr>
                  <m:sty m:val="b"/>
                </m:rPr>
                <m:t>b</m:t>
              </m:r>
            </m:e>
          </m:d>
          <m:r>
            <m:rPr>
              <m:sty m:val="b"/>
            </m:rPr>
            <m:t>a</m:t>
          </m:r>
          <m:r>
            <m:rPr>
              <m:sty m:val="b"/>
            </m:rPr>
            <m:t>′</m:t>
          </m:r>
          <m:r>
            <m:rPr>
              <m:sty m:val="p"/>
            </m:rPr>
            <m:t>,</m:t>
          </m:r>
          <m:r>
            <m:t> </m:t>
          </m:r>
          <m:r>
            <m:rPr>
              <m:sty m:val="b"/>
            </m:rPr>
            <m:t>b</m:t>
          </m:r>
          <m:r>
            <m:rPr>
              <m:sty m:val="b"/>
            </m:rPr>
            <m:t>″</m:t>
          </m:r>
          <m:r>
            <m:rPr>
              <m:sty m:val="p"/>
            </m:rPr>
            <m:t>=</m:t>
          </m:r>
          <m:r>
            <m:rPr>
              <m:nor/>
              <m:sty m:val="p"/>
            </m:rPr>
            <m:t>sign</m:t>
          </m:r>
          <m:d>
            <m:dPr>
              <m:begChr m:val="("/>
              <m:endChr m:val=")"/>
              <m:sepChr m:val=""/>
              <m:grow/>
            </m:dPr>
            <m:e>
              <m:r>
                <m:rPr>
                  <m:sty m:val="b"/>
                </m:rPr>
                <m:t>a</m:t>
              </m:r>
              <m:r>
                <m:rPr>
                  <m:sty m:val="p"/>
                </m:rPr>
                <m:t>⋅</m:t>
              </m:r>
              <m:r>
                <m:rPr>
                  <m:sty m:val="b"/>
                </m:rPr>
                <m:t>b</m:t>
              </m:r>
              <m:r>
                <m:rPr>
                  <m:sty m:val="b"/>
                </m:rPr>
                <m:t>′</m:t>
              </m:r>
            </m:e>
          </m:d>
          <m:r>
            <m:rPr>
              <m:sty m:val="b"/>
            </m:rPr>
            <m:t>b</m:t>
          </m:r>
          <m:r>
            <m:rPr>
              <m:sty m:val="b"/>
            </m:rPr>
            <m:t>′</m:t>
          </m:r>
        </m:oMath>
      </m:oMathPara>
    </w:p>
    <w:p>
      <w:pPr>
        <w:pStyle w:val="FirstParagraph"/>
      </w:pPr>
      <w:r>
        <w:t xml:space="preserve">All</w:t>
      </w:r>
      <w:r>
        <w:t xml:space="preserve"> </w:t>
      </w:r>
      <m:oMath>
        <m:r>
          <m:t>p</m:t>
        </m:r>
      </m:oMath>
      <w:r>
        <w:t xml:space="preserve"> </w:t>
      </w:r>
      <w:r>
        <w:t xml:space="preserve">satisfying</w:t>
      </w:r>
    </w:p>
    <w:p>
      <w:pPr>
        <w:pStyle w:val="BodyText"/>
      </w:pPr>
      <m:oMathPara>
        <m:oMathParaPr>
          <m:jc m:val="center"/>
        </m:oMathParaPr>
        <m:oMath>
          <m:r>
            <m:t>0</m:t>
          </m:r>
          <m:r>
            <m:rPr>
              <m:sty m:val="p"/>
            </m:rPr>
            <m:t>≤</m:t>
          </m:r>
          <m:r>
            <m:rPr>
              <m:sty m:val="b"/>
            </m:rPr>
            <m:t>a</m:t>
          </m:r>
          <m:r>
            <m:rPr>
              <m:sty m:val="b"/>
            </m:rPr>
            <m:t>″</m:t>
          </m:r>
          <m:r>
            <m:rPr>
              <m:sty m:val="p"/>
            </m:rPr>
            <m:t>⋅</m:t>
          </m:r>
          <m:r>
            <m:t>p</m:t>
          </m:r>
          <m:r>
            <m:rPr>
              <m:sty m:val="p"/>
            </m:rPr>
            <m:t>≤</m:t>
          </m:r>
          <m:r>
            <m:rPr>
              <m:sty m:val="b"/>
            </m:rPr>
            <m:t>a</m:t>
          </m:r>
          <m:r>
            <m:rPr>
              <m:sty m:val="b"/>
            </m:rPr>
            <m:t>″</m:t>
          </m:r>
          <m:r>
            <m:rPr>
              <m:sty m:val="p"/>
            </m:rPr>
            <m:t>⋅</m:t>
          </m:r>
          <m:r>
            <m:rPr>
              <m:sty m:val="b"/>
            </m:rPr>
            <m:t>b</m:t>
          </m:r>
        </m:oMath>
      </m:oMathPara>
    </w:p>
    <w:p>
      <w:pPr>
        <w:pStyle w:val="FirstParagraph"/>
      </w:pPr>
      <w:r>
        <w:t xml:space="preserve">lie in the area between the parallel line segments</w:t>
      </w:r>
      <w:r>
        <w:t xml:space="preserve"> </w:t>
      </w:r>
      <m:oMath>
        <m:r>
          <m:t>A</m:t>
        </m:r>
        <m:r>
          <m:t>B</m:t>
        </m:r>
      </m:oMath>
      <w:r>
        <w:t xml:space="preserve"> </w:t>
      </w:r>
      <w:r>
        <w:t xml:space="preserve">and</w:t>
      </w:r>
      <w:r>
        <w:t xml:space="preserve"> </w:t>
      </w:r>
      <m:oMath>
        <m:r>
          <m:t>C</m:t>
        </m:r>
        <m:r>
          <m:t>D</m:t>
        </m:r>
      </m:oMath>
      <w:r>
        <w:t xml:space="preserve">, and the</w:t>
      </w:r>
      <w:r>
        <w:t xml:space="preserve"> </w:t>
      </w:r>
      <m:oMath>
        <m:r>
          <m:t>p</m:t>
        </m:r>
      </m:oMath>
      <w:r>
        <w:t xml:space="preserve"> </w:t>
      </w:r>
      <w:r>
        <w:t xml:space="preserve">satisfying</w:t>
      </w:r>
    </w:p>
    <w:p>
      <w:pPr>
        <w:pStyle w:val="BodyText"/>
      </w:pPr>
      <m:oMathPara>
        <m:oMathParaPr>
          <m:jc m:val="center"/>
        </m:oMathParaPr>
        <m:oMath>
          <m:r>
            <m:t>0</m:t>
          </m:r>
          <m:r>
            <m:rPr>
              <m:sty m:val="p"/>
            </m:rPr>
            <m:t>≤</m:t>
          </m:r>
          <m:r>
            <m:rPr>
              <m:sty m:val="b"/>
            </m:rPr>
            <m:t>b</m:t>
          </m:r>
          <m:r>
            <m:rPr>
              <m:sty m:val="b"/>
            </m:rPr>
            <m:t>″</m:t>
          </m:r>
          <m:r>
            <m:rPr>
              <m:sty m:val="p"/>
            </m:rPr>
            <m:t>⋅</m:t>
          </m:r>
          <m:r>
            <m:t>p</m:t>
          </m:r>
          <m:r>
            <m:rPr>
              <m:sty m:val="p"/>
            </m:rPr>
            <m:t>≤</m:t>
          </m:r>
          <m:r>
            <m:rPr>
              <m:sty m:val="b"/>
            </m:rPr>
            <m:t>b</m:t>
          </m:r>
          <m:r>
            <m:rPr>
              <m:sty m:val="b"/>
            </m:rPr>
            <m:t>″</m:t>
          </m:r>
          <m:r>
            <m:rPr>
              <m:sty m:val="p"/>
            </m:rPr>
            <m:t>⋅</m:t>
          </m:r>
          <m:r>
            <m:rPr>
              <m:sty m:val="b"/>
            </m:rPr>
            <m:t>a</m:t>
          </m:r>
        </m:oMath>
      </m:oMathPara>
    </w:p>
    <w:p>
      <w:pPr>
        <w:pStyle w:val="FirstParagraph"/>
      </w:pPr>
      <w:r>
        <w:t xml:space="preserve">lie in the area between the line segments</w:t>
      </w:r>
      <w:r>
        <w:t xml:space="preserve"> </w:t>
      </w:r>
      <m:oMath>
        <m:r>
          <m:t>A</m:t>
        </m:r>
        <m:r>
          <m:t>D</m:t>
        </m:r>
      </m:oMath>
      <w:r>
        <w:t xml:space="preserve"> </w:t>
      </w:r>
      <w:r>
        <w:t xml:space="preserve">and</w:t>
      </w:r>
      <w:r>
        <w:t xml:space="preserve"> </w:t>
      </w:r>
      <m:oMath>
        <m:r>
          <m:t>B</m:t>
        </m:r>
        <m:r>
          <m:t>C</m:t>
        </m:r>
      </m:oMath>
      <w:r>
        <w:t xml:space="preserve">.</w:t>
      </w:r>
    </w:p>
    <w:p>
      <w:pPr>
        <w:pStyle w:val="BodyText"/>
      </w:pPr>
      <w:r>
        <w:t xml:space="preserve">The two equalities put together are the criterion for</w:t>
      </w:r>
      <w:r>
        <w:t xml:space="preserve"> </w:t>
      </w:r>
      <m:oMath>
        <m:r>
          <m:t>p</m:t>
        </m:r>
      </m:oMath>
      <w:r>
        <w:t xml:space="preserve"> </w:t>
      </w:r>
      <w:r>
        <w:t xml:space="preserve">being in the area spanned by the parallelogram.</w:t>
      </w:r>
    </w:p>
    <w:bookmarkStart w:id="20" w:name="rectangle"/>
    <w:p>
      <w:pPr>
        <w:pStyle w:val="Heading2"/>
      </w:pPr>
      <w:r>
        <w:t xml:space="preserve">Rectangle</w:t>
      </w:r>
    </w:p>
    <w:p>
      <w:pPr>
        <w:pStyle w:val="FirstParagraph"/>
      </w:pPr>
      <w:r>
        <w:t xml:space="preserve">There is also a special case in which the parallelogram is a rectangle as there is a faster way for computing the solution in this special case:</w:t>
      </w:r>
    </w:p>
    <w:p>
      <w:pPr>
        <w:pStyle w:val="BodyText"/>
      </w:pPr>
      <m:oMathPara>
        <m:oMathParaPr>
          <m:jc m:val="center"/>
        </m:oMathParaPr>
        <m:oMath>
          <m:m>
            <m:mPr>
              <m:baseJc m:val="center"/>
              <m:plcHide m:val="1"/>
              <m:mcs>
                <m:mc>
                  <m:mcPr>
                    <m:mcJc m:val="right"/>
                    <m:count m:val="1"/>
                  </m:mcPr>
                </m:mc>
              </m:mcs>
            </m:mPr>
            <m:mr>
              <m:e>
                <m:acc>
                  <m:accPr>
                    <m:chr m:val="̂"/>
                  </m:accPr>
                  <m:e>
                    <m:r>
                      <m:rPr>
                        <m:sty m:val="b"/>
                      </m:rPr>
                      <m:t>a</m:t>
                    </m:r>
                  </m:e>
                </m:acc>
                <m:r>
                  <m:rPr>
                    <m:sty m:val="b"/>
                  </m:rPr>
                  <m:t>″</m:t>
                </m:r>
                <m:r>
                  <m:rPr>
                    <m:sty m:val="p"/>
                  </m:rPr>
                  <m:t>=</m:t>
                </m:r>
                <m:acc>
                  <m:accPr>
                    <m:chr m:val="̂"/>
                  </m:accPr>
                  <m:e>
                    <m:r>
                      <m:rPr>
                        <m:sty m:val="b"/>
                      </m:rPr>
                      <m:t>b</m:t>
                    </m:r>
                  </m:e>
                </m:acc>
              </m:e>
            </m:mr>
            <m:mr>
              <m:e>
                <m:acc>
                  <m:accPr>
                    <m:chr m:val="̂"/>
                  </m:accPr>
                  <m:e>
                    <m:r>
                      <m:rPr>
                        <m:sty m:val="b"/>
                      </m:rPr>
                      <m:t>b</m:t>
                    </m:r>
                  </m:e>
                </m:acc>
                <m:r>
                  <m:rPr>
                    <m:sty m:val="b"/>
                  </m:rPr>
                  <m:t>″</m:t>
                </m:r>
                <m:r>
                  <m:rPr>
                    <m:sty m:val="p"/>
                  </m:rPr>
                  <m:t>=</m:t>
                </m:r>
                <m:acc>
                  <m:accPr>
                    <m:chr m:val="̂"/>
                  </m:accPr>
                  <m:e>
                    <m:r>
                      <m:rPr>
                        <m:sty m:val="b"/>
                      </m:rPr>
                      <m:t>a</m:t>
                    </m:r>
                  </m:e>
                </m:acc>
              </m:e>
            </m:mr>
          </m:m>
        </m:oMath>
      </m:oMathPara>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dc:title>
  <dc:creator/>
  <cp:keywords/>
  <dcterms:created xsi:type="dcterms:W3CDTF">2021-06-28T07:49:48Z</dcterms:created>
  <dcterms:modified xsi:type="dcterms:W3CDTF">2021-06-28T07:49:48Z</dcterms:modified>
</cp:coreProperties>
</file>

<file path=docProps/custom.xml><?xml version="1.0" encoding="utf-8"?>
<Properties xmlns="http://schemas.openxmlformats.org/officeDocument/2006/custom-properties" xmlns:vt="http://schemas.openxmlformats.org/officeDocument/2006/docPropsVTypes"/>
</file>