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color w:val="1f3864"/>
          <w:sz w:val="34"/>
          <w:szCs w:val="34"/>
          <w:rtl w:val="0"/>
        </w:rPr>
        <w:t xml:space="preserve">INFORME TÉCNICO DE DESARROLLO</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color w:val="2e5496"/>
          <w:sz w:val="28"/>
          <w:szCs w:val="28"/>
          <w:rtl w:val="0"/>
        </w:rPr>
        <w:t xml:space="preserve">Construcción de un sistema predictivo y explicable del Índice SNED a partir de fuentes públicas del Estado de Chile</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i w:val="1"/>
          <w:iCs w:val="1"/>
          <w:sz w:val="24"/>
          <w:szCs w:val="24"/>
          <w:rtl w:val="0"/>
        </w:rPr>
        <w:t xml:space="preserve">Desde la extracción de datos hasta el modelamiento comparativo de arquitecturas</w:t>
      </w:r>
      <w:r w:rsidDel="00000000" w:rsidR="00000000" w:rsidRPr="00000000">
        <w:rPr>
          <w:rtl w:val="0"/>
        </w:rPr>
      </w:r>
    </w:p>
    <w:p w:rsidR="00000000" w:rsidDel="00000000" w:rsidP="00000000" w:rsidRDefault="00000000" w:rsidRPr="00000000" w14:paraId="00000004">
      <w:pPr>
        <w:spacing w:after="1000" w:lineRule="auto"/>
        <w:jc w:val="center"/>
        <w:rPr/>
      </w:pPr>
      <w:r w:rsidDel="00000000" w:rsidR="00000000" w:rsidRPr="00000000">
        <w:rPr>
          <w:sz w:val="22"/>
          <w:szCs w:val="22"/>
          <w:rtl w:val="0"/>
        </w:rPr>
        <w:t xml:space="preserve">Memoria de título — Ingeniería en Informática</w:t>
      </w:r>
      <w:r w:rsidDel="00000000" w:rsidR="00000000" w:rsidRPr="00000000">
        <w:rPr>
          <w:rtl w:val="0"/>
        </w:rPr>
      </w:r>
    </w:p>
    <w:p w:rsidR="00000000" w:rsidDel="00000000" w:rsidP="00000000" w:rsidRDefault="00000000" w:rsidRPr="00000000" w14:paraId="00000005">
      <w:pPr>
        <w:spacing w:after="160" w:line="300" w:lineRule="auto"/>
        <w:jc w:val="both"/>
        <w:rPr/>
      </w:pPr>
      <w:r w:rsidDel="00000000" w:rsidR="00000000" w:rsidRPr="00000000">
        <w:rPr>
          <w:sz w:val="22"/>
          <w:szCs w:val="22"/>
          <w:rtl w:val="0"/>
        </w:rPr>
        <w:t xml:space="preserve">Este informe documenta de manera integral el procedimiento técnico ejecutado para construir un sistema de predicción y explicación del Índice del Sistema Nacional de Evaluación del Desempeño (SNED), comprendiendo la integración de once fuentes públicas del Estado de Chile, el análisis exploratorio de datos, la corrección de un defecto arquitectónico en la unidad de análisis, el entrenamiento de siete modelos de regresión, la implementación de técnicas de inteligencia artificial explicable, la comparación estadística de tres arquitecturas de aprendizaje automático y el diseño de la base de datos normalizada de soporte. Cada decisión metodológica se fundamenta en la literatura especializada mediante citación en formato APA séptima edición.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before="360" w:lineRule="auto"/>
        <w:rPr/>
      </w:pPr>
      <w:r w:rsidDel="00000000" w:rsidR="00000000" w:rsidRPr="00000000">
        <w:rPr>
          <w:rtl w:val="0"/>
        </w:rPr>
        <w:t xml:space="preserve">1. Introducción y propósito del informe</w:t>
      </w:r>
    </w:p>
    <w:p w:rsidR="00000000" w:rsidDel="00000000" w:rsidP="00000000" w:rsidRDefault="00000000" w:rsidRPr="00000000" w14:paraId="00000008">
      <w:pPr>
        <w:spacing w:after="160" w:line="300" w:lineRule="auto"/>
        <w:jc w:val="both"/>
        <w:rPr/>
      </w:pPr>
      <w:r w:rsidDel="00000000" w:rsidR="00000000" w:rsidRPr="00000000">
        <w:rPr>
          <w:sz w:val="22"/>
          <w:szCs w:val="22"/>
          <w:rtl w:val="0"/>
        </w:rPr>
        <w:t xml:space="preserve">El Sistema Nacional de Evaluación del Desempeño de los Establecimientos Educacionales Subvencionados constituye el mecanismo mediante el cual el Estado de Chile asigna la Subvención por Desempeño de Excelencia. Su cálculo se realiza mediante un índice compuesto —denominado INDICER— que agrega seis factores ponderados y que determina, dentro de agrupaciones de establecimientos comparables llamadas Grupos Homogéneos, qué instituciones acceden al 100 % o al 60 % del beneficio económico.</w:t>
      </w:r>
      <w:r w:rsidDel="00000000" w:rsidR="00000000" w:rsidRPr="00000000">
        <w:rPr>
          <w:rtl w:val="0"/>
        </w:rPr>
      </w:r>
    </w:p>
    <w:p w:rsidR="00000000" w:rsidDel="00000000" w:rsidP="00000000" w:rsidRDefault="00000000" w:rsidRPr="00000000" w14:paraId="00000009">
      <w:pPr>
        <w:spacing w:after="160" w:line="300" w:lineRule="auto"/>
        <w:jc w:val="both"/>
        <w:rPr/>
      </w:pPr>
      <w:r w:rsidDel="00000000" w:rsidR="00000000" w:rsidRPr="00000000">
        <w:rPr>
          <w:sz w:val="22"/>
          <w:szCs w:val="22"/>
          <w:rtl w:val="0"/>
        </w:rPr>
        <w:t xml:space="preserve">La opacidad operativa de este cálculo para los equipos directivos motiva el presente desarrollo. Aunque el Estado publica tanto los resultados del proceso como una amplia colección de bases de datos educacionales, la reconstrucción del índice a partir de esas fuentes exige un trabajo de integración, alineación temporal y modelamiento que excede las capacidades técnicas habituales de un establecimiento educacional. El proyecto aborda esa asimetría informativa.</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sz w:val="22"/>
          <w:szCs w:val="22"/>
          <w:rtl w:val="0"/>
        </w:rPr>
        <w:t xml:space="preserve">El presente informe documenta el procedimiento completo en ocho fases secuenciales, desde la extracción de datos crudos hasta el diseño de la persistencia. Su propósito es doble: constituir el registro metodológico auditable del desarrollo y explicitar la fundamentación bibliográfica de cada decisión técnica adoptada, de modo que el trabajo resulte replicable y evaluable.</w:t>
      </w:r>
      <w:r w:rsidDel="00000000" w:rsidR="00000000" w:rsidRPr="00000000">
        <w:rPr>
          <w:rtl w:val="0"/>
        </w:rPr>
      </w:r>
    </w:p>
    <w:p w:rsidR="00000000" w:rsidDel="00000000" w:rsidP="00000000" w:rsidRDefault="00000000" w:rsidRPr="00000000" w14:paraId="0000000B">
      <w:pPr>
        <w:pStyle w:val="Heading2"/>
        <w:spacing w:after="160" w:before="280" w:lineRule="auto"/>
        <w:rPr/>
      </w:pPr>
      <w:r w:rsidDel="00000000" w:rsidR="00000000" w:rsidRPr="00000000">
        <w:rPr>
          <w:rtl w:val="0"/>
        </w:rPr>
        <w:t xml:space="preserve">1.1 Objetivos específicos abordados</w:t>
      </w:r>
    </w:p>
    <w:p w:rsidR="00000000" w:rsidDel="00000000" w:rsidP="00000000" w:rsidRDefault="00000000" w:rsidRPr="00000000" w14:paraId="0000000C">
      <w:pPr>
        <w:spacing w:after="160" w:line="300" w:lineRule="auto"/>
        <w:jc w:val="both"/>
        <w:rPr/>
      </w:pPr>
      <w:r w:rsidDel="00000000" w:rsidR="00000000" w:rsidRPr="00000000">
        <w:rPr>
          <w:sz w:val="22"/>
          <w:szCs w:val="22"/>
          <w:rtl w:val="0"/>
        </w:rPr>
        <w:t xml:space="preserve">El desarrollo documentado responde a cuatro objetivos específicos declarados en el proyecto de memoria. Los tres primeros se encuentran cumplidos al momento de este informe; el cuarto queda planteado para la fase subsiguiente.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460"/>
        <w:gridCol w:w="3300"/>
        <w:tblGridChange w:id="0">
          <w:tblGrid>
            <w:gridCol w:w="600"/>
            <w:gridCol w:w="5460"/>
            <w:gridCol w:w="330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00D">
            <w:pPr>
              <w:spacing w:after="0" w:line="260" w:lineRule="auto"/>
              <w:jc w:val="left"/>
              <w:rPr/>
            </w:pPr>
            <w:r w:rsidDel="00000000" w:rsidR="00000000" w:rsidRPr="00000000">
              <w:rPr>
                <w:b w:val="1"/>
                <w:bCs w:val="1"/>
                <w:sz w:val="19"/>
                <w:szCs w:val="19"/>
                <w:rtl w:val="0"/>
              </w:rPr>
              <w:t xml:space="preserve">N.º</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0E">
            <w:pPr>
              <w:spacing w:after="0" w:line="260" w:lineRule="auto"/>
              <w:jc w:val="left"/>
              <w:rPr/>
            </w:pPr>
            <w:r w:rsidDel="00000000" w:rsidR="00000000" w:rsidRPr="00000000">
              <w:rPr>
                <w:b w:val="1"/>
                <w:bCs w:val="1"/>
                <w:sz w:val="19"/>
                <w:szCs w:val="19"/>
                <w:rtl w:val="0"/>
              </w:rPr>
              <w:t xml:space="preserve">Objetivo específico</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0F">
            <w:pPr>
              <w:spacing w:after="0" w:line="260" w:lineRule="auto"/>
              <w:jc w:val="left"/>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0">
            <w:pPr>
              <w:spacing w:after="0" w:line="260" w:lineRule="auto"/>
              <w:jc w:val="left"/>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spacing w:after="0" w:line="260" w:lineRule="auto"/>
              <w:jc w:val="left"/>
              <w:rPr/>
            </w:pPr>
            <w:r w:rsidDel="00000000" w:rsidR="00000000" w:rsidRPr="00000000">
              <w:rPr>
                <w:b w:val="0"/>
                <w:bCs w:val="0"/>
                <w:sz w:val="19"/>
                <w:szCs w:val="19"/>
                <w:rtl w:val="0"/>
              </w:rPr>
              <w:t xml:space="preserve">Integrar al menos ocho fuentes de datos públicos mediante la llave RBD más año, excluyendo identificadores personales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spacing w:after="0" w:line="260" w:lineRule="auto"/>
              <w:jc w:val="left"/>
              <w:rPr/>
            </w:pPr>
            <w:r w:rsidDel="00000000" w:rsidR="00000000" w:rsidRPr="00000000">
              <w:rPr>
                <w:b w:val="0"/>
                <w:bCs w:val="0"/>
                <w:sz w:val="19"/>
                <w:szCs w:val="19"/>
                <w:rtl w:val="0"/>
              </w:rPr>
              <w:t xml:space="preserve">Cumplido y superado: once fuentes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3">
            <w:pPr>
              <w:spacing w:after="0" w:line="260" w:lineRule="auto"/>
              <w:jc w:val="left"/>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spacing w:after="0" w:line="260" w:lineRule="auto"/>
              <w:jc w:val="left"/>
              <w:rPr/>
            </w:pPr>
            <w:r w:rsidDel="00000000" w:rsidR="00000000" w:rsidRPr="00000000">
              <w:rPr>
                <w:b w:val="0"/>
                <w:bCs w:val="0"/>
                <w:sz w:val="19"/>
                <w:szCs w:val="19"/>
                <w:rtl w:val="0"/>
              </w:rPr>
              <w:t xml:space="preserve">Construir al menos quince variables analíticas consumiendo los Grupos Homogéneos oficiales sin recalcular el agrupamiento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spacing w:after="0" w:line="260" w:lineRule="auto"/>
              <w:jc w:val="left"/>
              <w:rPr/>
            </w:pPr>
            <w:r w:rsidDel="00000000" w:rsidR="00000000" w:rsidRPr="00000000">
              <w:rPr>
                <w:b w:val="0"/>
                <w:bCs w:val="0"/>
                <w:sz w:val="19"/>
                <w:szCs w:val="19"/>
                <w:rtl w:val="0"/>
              </w:rPr>
              <w:t xml:space="preserve">Cumplido y superado: 65 variables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spacing w:after="0" w:line="260" w:lineRule="auto"/>
              <w:jc w:val="left"/>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spacing w:after="0" w:line="260" w:lineRule="auto"/>
              <w:jc w:val="left"/>
              <w:rPr/>
            </w:pPr>
            <w:r w:rsidDel="00000000" w:rsidR="00000000" w:rsidRPr="00000000">
              <w:rPr>
                <w:b w:val="0"/>
                <w:bCs w:val="0"/>
                <w:sz w:val="19"/>
                <w:szCs w:val="19"/>
                <w:rtl w:val="0"/>
              </w:rPr>
              <w:t xml:space="preserve">Entrenar y comparar al menos tres arquitecturas de aprendizaje automático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spacing w:after="0" w:line="260" w:lineRule="auto"/>
              <w:jc w:val="left"/>
              <w:rPr/>
            </w:pPr>
            <w:r w:rsidDel="00000000" w:rsidR="00000000" w:rsidRPr="00000000">
              <w:rPr>
                <w:b w:val="0"/>
                <w:bCs w:val="0"/>
                <w:sz w:val="19"/>
                <w:szCs w:val="19"/>
                <w:rtl w:val="0"/>
              </w:rPr>
              <w:t xml:space="preserve">Cumplido: Random Forest, HistGradientBoosting y perceptrón multicapa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9">
            <w:pPr>
              <w:spacing w:after="0" w:line="260" w:lineRule="auto"/>
              <w:jc w:val="left"/>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spacing w:after="0" w:line="260" w:lineRule="auto"/>
              <w:jc w:val="left"/>
              <w:rPr/>
            </w:pPr>
            <w:r w:rsidDel="00000000" w:rsidR="00000000" w:rsidRPr="00000000">
              <w:rPr>
                <w:b w:val="0"/>
                <w:bCs w:val="0"/>
                <w:sz w:val="19"/>
                <w:szCs w:val="19"/>
                <w:rtl w:val="0"/>
              </w:rPr>
              <w:t xml:space="preserve">Desplegar un prototipo B2B con Dashboard, Simulador y Reporte XAI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spacing w:after="0" w:line="260" w:lineRule="auto"/>
              <w:jc w:val="left"/>
              <w:rPr/>
            </w:pPr>
            <w:r w:rsidDel="00000000" w:rsidR="00000000" w:rsidRPr="00000000">
              <w:rPr>
                <w:b w:val="0"/>
                <w:bCs w:val="0"/>
                <w:sz w:val="19"/>
                <w:szCs w:val="19"/>
                <w:rtl w:val="0"/>
              </w:rPr>
              <w:t xml:space="preserve">Pendiente: fase subsiguiente</w:t>
            </w:r>
            <w:r w:rsidDel="00000000" w:rsidR="00000000" w:rsidRPr="00000000">
              <w:rPr>
                <w:rtl w:val="0"/>
              </w:rPr>
            </w:r>
          </w:p>
        </w:tc>
      </w:tr>
    </w:tbl>
    <w:p w:rsidR="00000000" w:rsidDel="00000000" w:rsidP="00000000" w:rsidRDefault="00000000" w:rsidRPr="00000000" w14:paraId="0000001C">
      <w:pPr>
        <w:spacing w:after="240" w:before="80" w:lineRule="auto"/>
        <w:rPr/>
      </w:pPr>
      <w:r w:rsidDel="00000000" w:rsidR="00000000" w:rsidRPr="00000000">
        <w:rPr>
          <w:i w:val="1"/>
          <w:iCs w:val="1"/>
          <w:sz w:val="18"/>
          <w:szCs w:val="18"/>
          <w:rtl w:val="0"/>
        </w:rPr>
        <w:t xml:space="preserve">Tabla 1. Estado de cumplimiento de los objetivos específicos. Elaboración propia.</w:t>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tl w:val="0"/>
        </w:rPr>
        <w:t xml:space="preserve">2. Marco metodológico de referencia</w:t>
      </w:r>
    </w:p>
    <w:p w:rsidR="00000000" w:rsidDel="00000000" w:rsidP="00000000" w:rsidRDefault="00000000" w:rsidRPr="00000000" w14:paraId="0000001E">
      <w:pPr>
        <w:spacing w:after="160" w:line="300" w:lineRule="auto"/>
        <w:jc w:val="both"/>
        <w:rPr/>
      </w:pPr>
      <w:r w:rsidDel="00000000" w:rsidR="00000000" w:rsidRPr="00000000">
        <w:rPr>
          <w:sz w:val="22"/>
          <w:szCs w:val="22"/>
          <w:rtl w:val="0"/>
        </w:rPr>
        <w:t xml:space="preserve">La totalidad de las decisiones algorítmicas de este desarrollo se fundamenta en la obra </w:t>
      </w:r>
      <w:r w:rsidDel="00000000" w:rsidR="00000000" w:rsidRPr="00000000">
        <w:rPr>
          <w:i w:val="1"/>
          <w:iCs w:val="1"/>
          <w:sz w:val="22"/>
          <w:szCs w:val="22"/>
          <w:rtl w:val="0"/>
        </w:rPr>
        <w:t xml:space="preserve">Hands-On Machine Learning with Scikit-Learn, Keras, and TensorFlow</w:t>
      </w:r>
      <w:r w:rsidDel="00000000" w:rsidR="00000000" w:rsidRPr="00000000">
        <w:rPr>
          <w:sz w:val="22"/>
          <w:szCs w:val="22"/>
          <w:rtl w:val="0"/>
        </w:rPr>
        <w:t xml:space="preserve"> de Géron (2019), adoptada como marco metodológico único con el fin de garantizar coherencia conceptual y trazabilidad de las justificaciones. La elección de una referencia central responde a una consideración de rigor: la literatura de aprendizaje automático aplicado ofrece recomendaciones frecuentemente contradictorias entre autores, de modo que fundamentar cada decisión en un mismo cuerpo doctrinario evita la selección oportunista de argumentos favorables.</w:t>
      </w:r>
      <w:r w:rsidDel="00000000" w:rsidR="00000000" w:rsidRPr="00000000">
        <w:rPr>
          <w:rtl w:val="0"/>
        </w:rPr>
      </w:r>
    </w:p>
    <w:p w:rsidR="00000000" w:rsidDel="00000000" w:rsidP="00000000" w:rsidRDefault="00000000" w:rsidRPr="00000000" w14:paraId="0000001F">
      <w:pPr>
        <w:spacing w:after="160" w:line="300" w:lineRule="auto"/>
        <w:jc w:val="both"/>
        <w:rPr/>
      </w:pPr>
      <w:r w:rsidDel="00000000" w:rsidR="00000000" w:rsidRPr="00000000">
        <w:rPr>
          <w:sz w:val="22"/>
          <w:szCs w:val="22"/>
          <w:rtl w:val="0"/>
        </w:rPr>
        <w:t xml:space="preserve">Cuatro principios extraídos de dicha obra estructuran transversalmente el desarrollo. El primero es el teorema de la ausencia de almuerzo gratuito (Géron, 2019, cap. 1), según el cual ningún algoritmo resulta universalmente superior a otro, de donde se sigue que toda afirmación sobre la superioridad de un modelo exige verificación empírica en el dominio específico. Este principio determina que el proyecto compare arquitecturas en lugar de adoptar una por convención.</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sz w:val="22"/>
          <w:szCs w:val="22"/>
          <w:rtl w:val="0"/>
        </w:rPr>
        <w:t xml:space="preserve">El segundo es la prevención del espionaje de datos, o data snooping (Géron, 2019, cap. 2), que exige que toda transformación de preprocesamiento se ajuste exclusivamente con los datos de entrenamiento y se aplique por transformación a los datos de validación. El incumplimiento de este principio produce métricas optimistas que no anticipan el desempeño real ante datos no observados.</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sz w:val="22"/>
          <w:szCs w:val="22"/>
          <w:rtl w:val="0"/>
        </w:rPr>
        <w:t xml:space="preserve">El tercero es la distinción entre el objetivo de predicción y el objetivo de comprensión del fenómeno (Géron, 2019, cap. 1). Un mismo conjunto de datos admite arquitecturas distintas según cuál de ambos propósitos predomine, lo que en este proyecto se traduce en la construcción deliberada de dos sistemas complementarios: uno orientado a la explicabilidad y otro a la precisión.</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sz w:val="22"/>
          <w:szCs w:val="22"/>
          <w:rtl w:val="0"/>
        </w:rPr>
        <w:t xml:space="preserve">El cuarto es el compromiso entre sesgo y varianza, desarrollado a lo largo de los capítulos 4, 6 y 7 de la obra, que fundamenta tanto la elección de mecanismos de regularización como la interpretación diagnóstica de las curvas de aprendizaje.</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sz w:val="22"/>
          <w:szCs w:val="22"/>
          <w:rtl w:val="0"/>
        </w:rPr>
        <w:t xml:space="preserve">A este marco algorítmico se suman las fuentes normativas y documentales del Estado de Chile, que operan como reglas de negocio de obligado cumplimiento: los documentos técnicos del proceso SNED del Ministerio de Educación, los esquemas de registro de la Superintendencia de Educación y las glosas de la Agencia de Calidad de la Educación.</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before="360" w:lineRule="auto"/>
        <w:rPr/>
      </w:pPr>
      <w:r w:rsidDel="00000000" w:rsidR="00000000" w:rsidRPr="00000000">
        <w:rPr>
          <w:rtl w:val="0"/>
        </w:rPr>
        <w:t xml:space="preserve">3. Fase I: Extracción e ingesta de fuentes públicas</w:t>
      </w:r>
    </w:p>
    <w:p w:rsidR="00000000" w:rsidDel="00000000" w:rsidP="00000000" w:rsidRDefault="00000000" w:rsidRPr="00000000" w14:paraId="00000026">
      <w:pPr>
        <w:pStyle w:val="Heading2"/>
        <w:spacing w:after="160" w:before="280" w:lineRule="auto"/>
        <w:rPr/>
      </w:pPr>
      <w:r w:rsidDel="00000000" w:rsidR="00000000" w:rsidRPr="00000000">
        <w:rPr>
          <w:rtl w:val="0"/>
        </w:rPr>
        <w:t xml:space="preserve">3.1 Criterio de selección de fuentes</w:t>
      </w:r>
    </w:p>
    <w:p w:rsidR="00000000" w:rsidDel="00000000" w:rsidP="00000000" w:rsidRDefault="00000000" w:rsidRPr="00000000" w14:paraId="00000027">
      <w:pPr>
        <w:spacing w:after="160" w:line="300" w:lineRule="auto"/>
        <w:jc w:val="both"/>
        <w:rPr/>
      </w:pPr>
      <w:r w:rsidDel="00000000" w:rsidR="00000000" w:rsidRPr="00000000">
        <w:rPr>
          <w:sz w:val="22"/>
          <w:szCs w:val="22"/>
          <w:rtl w:val="0"/>
        </w:rPr>
        <w:t xml:space="preserve">La selección de fuentes no se realizó por disponibilidad ni por volumen, sino por vinculación documentada con los factores que componen el índice objetivo. Para cada repositorio candidato se formuló una pregunta única: ¿qué subfactor del INDICER alimenta esta fuente, según la documentación oficial del proceso? Aquellas fuentes que no admitieron una respuesta fundamentada fueron descartadas, con independencia de su riqueza informativa.</w:t>
      </w:r>
      <w:r w:rsidDel="00000000" w:rsidR="00000000" w:rsidRPr="00000000">
        <w:rPr>
          <w:rtl w:val="0"/>
        </w:rPr>
      </w:r>
    </w:p>
    <w:p w:rsidR="00000000" w:rsidDel="00000000" w:rsidP="00000000" w:rsidRDefault="00000000" w:rsidRPr="00000000" w14:paraId="00000028">
      <w:pPr>
        <w:spacing w:after="160" w:line="300" w:lineRule="auto"/>
        <w:jc w:val="both"/>
        <w:rPr/>
      </w:pPr>
      <w:r w:rsidDel="00000000" w:rsidR="00000000" w:rsidRPr="00000000">
        <w:rPr>
          <w:sz w:val="22"/>
          <w:szCs w:val="22"/>
          <w:rtl w:val="0"/>
        </w:rPr>
        <w:t xml:space="preserve">Este criterio resultó particularmente relevante al evaluar los repositorios de Datos Abiertos del Ministerio de Educación, donde varias bases de datos aparentemente pertinentes —planes y programas de estudio, jornada escolar completa, financiamiento compartido, subvenciones— no presentaron vínculo documentado con ninguno de los seis factores. Su incorporación habría aumentado la dimensionalidad sin aportar señal, contraviniendo la advertencia sobre la maldición de la dimensionalidad que Géron (2019, cap. 8, p. 216) formula respecto de los conjuntos de datos con muchas variables y pocas observaciones.</w:t>
      </w: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tl w:val="0"/>
        </w:rPr>
        <w:t xml:space="preserve">3.2 Patrón uniforme de ingesta</w:t>
      </w:r>
    </w:p>
    <w:p w:rsidR="00000000" w:rsidDel="00000000" w:rsidP="00000000" w:rsidRDefault="00000000" w:rsidRPr="00000000" w14:paraId="0000002A">
      <w:pPr>
        <w:spacing w:after="160" w:line="300" w:lineRule="auto"/>
        <w:jc w:val="both"/>
        <w:rPr/>
      </w:pPr>
      <w:r w:rsidDel="00000000" w:rsidR="00000000" w:rsidRPr="00000000">
        <w:rPr>
          <w:sz w:val="22"/>
          <w:szCs w:val="22"/>
          <w:rtl w:val="0"/>
        </w:rPr>
        <w:t xml:space="preserve">Se estableció un procedimiento uniforme aplicado a las once fuentes, con el propósito de que los defectos de una ingesta no se propagaran silenciosamente hacia las etapas posteriores. El patrón comprende cinco controles.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Blindaje de la llave. El campo RBD se convierte forzosamente a tipo numérico con coerción de errores, se descartan los registros sin llave válida y se normaliza a cadena de caracteres. Este control detectó filas de totales y metadatos incrustadas en varios archivos Excel oficiales.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Cascada de codificaciones. La lectura de archivos de texto intenta sucesivamente las codificaciones UTF-8 con marca de orden, Latin-1 y Windows-1252, práctica necesaria dado que los repositorios públicos chilenos alternan entre ellas sin documentarlo.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 cardinalidad. Todo cruce se ejecuta con verificación explícita de correspondencia uno a uno, de modo que una duplicación inesperada interrumpe la ejecución en lugar de multiplicar registros silenciosamente.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de control persistentes. Cada fuente procesada se serializa en formato Parquet, evitando la reconstrucción íntegra del flujo ante cada modificación.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Auditoría posterior a cada cruce. Se verifica que el número de filas permanezca invariante y se reporta la cobertura efectiva de las variables incorporadas.</w:t>
      </w:r>
    </w:p>
    <w:p w:rsidR="00000000" w:rsidDel="00000000" w:rsidP="00000000" w:rsidRDefault="00000000" w:rsidRPr="00000000" w14:paraId="00000030">
      <w:pPr>
        <w:spacing w:after="160" w:line="300" w:lineRule="auto"/>
        <w:jc w:val="both"/>
        <w:rPr/>
      </w:pPr>
      <w:r w:rsidDel="00000000" w:rsidR="00000000" w:rsidRPr="00000000">
        <w:rPr>
          <w:sz w:val="22"/>
          <w:szCs w:val="22"/>
          <w:rtl w:val="0"/>
        </w:rPr>
        <w:t xml:space="preserve">Este procedimiento detectó defectos que habrían resultado invisibles en una ingesta directa. Entre ellos, la variable indicadora de ciberacoso de la base de denuncias se encontraba almacenada como cadena de caracteres y no como entero, de modo que la comparación numérica producía sistemáticamente cero coincidencias; y la matrícula total del resumen ministerial venía formateada como texto con separador de miles.</w:t>
      </w:r>
      <w:r w:rsidDel="00000000" w:rsidR="00000000" w:rsidRPr="00000000">
        <w:rPr>
          <w:rtl w:val="0"/>
        </w:rPr>
      </w:r>
    </w:p>
    <w:p w:rsidR="00000000" w:rsidDel="00000000" w:rsidP="00000000" w:rsidRDefault="00000000" w:rsidRPr="00000000" w14:paraId="00000031">
      <w:pPr>
        <w:pStyle w:val="Heading2"/>
        <w:spacing w:after="160" w:before="280" w:lineRule="auto"/>
        <w:rPr/>
      </w:pPr>
      <w:r w:rsidDel="00000000" w:rsidR="00000000" w:rsidRPr="00000000">
        <w:rPr>
          <w:rtl w:val="0"/>
        </w:rPr>
        <w:t xml:space="preserve">3.3 Inventario de fuentes integradas</w:t>
      </w:r>
    </w:p>
    <w:p w:rsidR="00000000" w:rsidDel="00000000" w:rsidP="00000000" w:rsidRDefault="00000000" w:rsidRPr="00000000" w14:paraId="00000032">
      <w:pPr>
        <w:spacing w:after="160" w:line="300" w:lineRule="auto"/>
        <w:jc w:val="both"/>
        <w:rPr/>
      </w:pPr>
      <w:r w:rsidDel="00000000" w:rsidR="00000000" w:rsidRPr="00000000">
        <w:rPr>
          <w:sz w:val="22"/>
          <w:szCs w:val="22"/>
          <w:rtl w:val="0"/>
        </w:rPr>
        <w:t xml:space="preserve">La tabla siguiente consigna las once fuentes efectivamente integradas, su organismo emisor, la ventana temporal utilizada y el factor del índice al que se vinculan.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000"/>
        <w:gridCol w:w="1560"/>
        <w:gridCol w:w="3700"/>
        <w:tblGridChange w:id="0">
          <w:tblGrid>
            <w:gridCol w:w="2100"/>
            <w:gridCol w:w="2000"/>
            <w:gridCol w:w="1560"/>
            <w:gridCol w:w="370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033">
            <w:pPr>
              <w:spacing w:after="0" w:line="260" w:lineRule="auto"/>
              <w:jc w:val="left"/>
              <w:rPr/>
            </w:pPr>
            <w:r w:rsidDel="00000000" w:rsidR="00000000" w:rsidRPr="00000000">
              <w:rPr>
                <w:b w:val="1"/>
                <w:bCs w:val="1"/>
                <w:sz w:val="19"/>
                <w:szCs w:val="19"/>
                <w:rtl w:val="0"/>
              </w:rPr>
              <w:t xml:space="preserve">Fuente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4">
            <w:pPr>
              <w:spacing w:after="0" w:line="260" w:lineRule="auto"/>
              <w:jc w:val="left"/>
              <w:rPr/>
            </w:pPr>
            <w:r w:rsidDel="00000000" w:rsidR="00000000" w:rsidRPr="00000000">
              <w:rPr>
                <w:b w:val="1"/>
                <w:bCs w:val="1"/>
                <w:sz w:val="19"/>
                <w:szCs w:val="19"/>
                <w:rtl w:val="0"/>
              </w:rPr>
              <w:t xml:space="preserve">Organismo</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5">
            <w:pPr>
              <w:spacing w:after="0" w:line="260" w:lineRule="auto"/>
              <w:jc w:val="left"/>
              <w:rPr/>
            </w:pPr>
            <w:r w:rsidDel="00000000" w:rsidR="00000000" w:rsidRPr="00000000">
              <w:rPr>
                <w:b w:val="1"/>
                <w:bCs w:val="1"/>
                <w:sz w:val="19"/>
                <w:szCs w:val="19"/>
                <w:rtl w:val="0"/>
              </w:rPr>
              <w:t xml:space="preserve">Ventana</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6">
            <w:pPr>
              <w:spacing w:after="0" w:line="260" w:lineRule="auto"/>
              <w:jc w:val="left"/>
              <w:rPr/>
            </w:pPr>
            <w:r w:rsidDel="00000000" w:rsidR="00000000" w:rsidRPr="00000000">
              <w:rPr>
                <w:b w:val="1"/>
                <w:bCs w:val="1"/>
                <w:sz w:val="19"/>
                <w:szCs w:val="19"/>
                <w:rtl w:val="0"/>
              </w:rPr>
              <w:t xml:space="preserve">Vinculación con el índice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7">
            <w:pPr>
              <w:spacing w:after="0" w:line="260" w:lineRule="auto"/>
              <w:jc w:val="left"/>
              <w:rPr/>
            </w:pPr>
            <w:r w:rsidDel="00000000" w:rsidR="00000000" w:rsidRPr="00000000">
              <w:rPr>
                <w:b w:val="0"/>
                <w:bCs w:val="0"/>
                <w:sz w:val="19"/>
                <w:szCs w:val="19"/>
                <w:rtl w:val="0"/>
              </w:rPr>
              <w:t xml:space="preserve">SIMCE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spacing w:after="0" w:line="260" w:lineRule="auto"/>
              <w:jc w:val="left"/>
              <w:rPr/>
            </w:pPr>
            <w:r w:rsidDel="00000000" w:rsidR="00000000" w:rsidRPr="00000000">
              <w:rPr>
                <w:b w:val="0"/>
                <w:bCs w:val="0"/>
                <w:sz w:val="19"/>
                <w:szCs w:val="19"/>
                <w:rtl w:val="0"/>
              </w:rPr>
              <w:t xml:space="preserve">Agencia de Calidad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spacing w:after="0" w:line="260" w:lineRule="auto"/>
              <w:jc w:val="left"/>
              <w:rPr/>
            </w:pPr>
            <w:r w:rsidDel="00000000" w:rsidR="00000000" w:rsidRPr="00000000">
              <w:rPr>
                <w:b w:val="0"/>
                <w:bCs w:val="0"/>
                <w:sz w:val="19"/>
                <w:szCs w:val="19"/>
                <w:rtl w:val="0"/>
              </w:rPr>
              <w:t xml:space="preserve">2016 a 2025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spacing w:after="0" w:line="260" w:lineRule="auto"/>
              <w:jc w:val="left"/>
              <w:rPr/>
            </w:pPr>
            <w:r w:rsidDel="00000000" w:rsidR="00000000" w:rsidRPr="00000000">
              <w:rPr>
                <w:b w:val="0"/>
                <w:bCs w:val="0"/>
                <w:sz w:val="19"/>
                <w:szCs w:val="19"/>
                <w:rtl w:val="0"/>
              </w:rPr>
              <w:t xml:space="preserve">Efectividad (37 %) y Superación (28 %)</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B">
            <w:pPr>
              <w:spacing w:after="0" w:line="260" w:lineRule="auto"/>
              <w:jc w:val="left"/>
              <w:rPr/>
            </w:pPr>
            <w:r w:rsidDel="00000000" w:rsidR="00000000" w:rsidRPr="00000000">
              <w:rPr>
                <w:b w:val="0"/>
                <w:bCs w:val="0"/>
                <w:sz w:val="19"/>
                <w:szCs w:val="19"/>
                <w:rtl w:val="0"/>
              </w:rPr>
              <w:t xml:space="preserve">SNED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spacing w:after="0" w:line="260" w:lineRule="auto"/>
              <w:jc w:val="left"/>
              <w:rPr/>
            </w:pPr>
            <w:r w:rsidDel="00000000" w:rsidR="00000000" w:rsidRPr="00000000">
              <w:rPr>
                <w:b w:val="0"/>
                <w:bCs w:val="0"/>
                <w:sz w:val="19"/>
                <w:szCs w:val="19"/>
                <w:rtl w:val="0"/>
              </w:rPr>
              <w:t xml:space="preserve">MINEDUC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spacing w:after="0" w:line="260" w:lineRule="auto"/>
              <w:jc w:val="left"/>
              <w:rPr/>
            </w:pPr>
            <w:r w:rsidDel="00000000" w:rsidR="00000000" w:rsidRPr="00000000">
              <w:rPr>
                <w:b w:val="0"/>
                <w:bCs w:val="0"/>
                <w:sz w:val="19"/>
                <w:szCs w:val="19"/>
                <w:rtl w:val="0"/>
              </w:rPr>
              <w:t xml:space="preserve">2016 a 2025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spacing w:after="0" w:line="260" w:lineRule="auto"/>
              <w:jc w:val="left"/>
              <w:rPr/>
            </w:pPr>
            <w:r w:rsidDel="00000000" w:rsidR="00000000" w:rsidRPr="00000000">
              <w:rPr>
                <w:b w:val="0"/>
                <w:bCs w:val="0"/>
                <w:sz w:val="19"/>
                <w:szCs w:val="19"/>
                <w:rtl w:val="0"/>
              </w:rPr>
              <w:t xml:space="preserve">Variable objetivo y Grupos Homogéneos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260" w:lineRule="auto"/>
              <w:jc w:val="left"/>
              <w:rPr/>
            </w:pPr>
            <w:r w:rsidDel="00000000" w:rsidR="00000000" w:rsidRPr="00000000">
              <w:rPr>
                <w:b w:val="0"/>
                <w:bCs w:val="0"/>
                <w:sz w:val="19"/>
                <w:szCs w:val="19"/>
                <w:rtl w:val="0"/>
              </w:rPr>
              <w:t xml:space="preserve">IDPS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line="260" w:lineRule="auto"/>
              <w:jc w:val="left"/>
              <w:rPr/>
            </w:pPr>
            <w:r w:rsidDel="00000000" w:rsidR="00000000" w:rsidRPr="00000000">
              <w:rPr>
                <w:b w:val="0"/>
                <w:bCs w:val="0"/>
                <w:sz w:val="19"/>
                <w:szCs w:val="19"/>
                <w:rtl w:val="0"/>
              </w:rPr>
              <w:t xml:space="preserve">Agencia de Calidad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spacing w:after="0" w:line="260" w:lineRule="auto"/>
              <w:jc w:val="left"/>
              <w:rPr/>
            </w:pPr>
            <w:r w:rsidDel="00000000" w:rsidR="00000000" w:rsidRPr="00000000">
              <w:rPr>
                <w:b w:val="0"/>
                <w:bCs w:val="0"/>
                <w:sz w:val="19"/>
                <w:szCs w:val="19"/>
                <w:rtl w:val="0"/>
              </w:rPr>
              <w:t xml:space="preserve">2016 a 2025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spacing w:after="0" w:line="260" w:lineRule="auto"/>
              <w:jc w:val="left"/>
              <w:rPr/>
            </w:pPr>
            <w:r w:rsidDel="00000000" w:rsidR="00000000" w:rsidRPr="00000000">
              <w:rPr>
                <w:b w:val="0"/>
                <w:bCs w:val="0"/>
                <w:sz w:val="19"/>
                <w:szCs w:val="19"/>
                <w:rtl w:val="0"/>
              </w:rPr>
              <w:t xml:space="preserve">Aproximación a Integración e Iniciativa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3">
            <w:pPr>
              <w:spacing w:after="0" w:line="260" w:lineRule="auto"/>
              <w:jc w:val="left"/>
              <w:rPr/>
            </w:pPr>
            <w:r w:rsidDel="00000000" w:rsidR="00000000" w:rsidRPr="00000000">
              <w:rPr>
                <w:b w:val="0"/>
                <w:bCs w:val="0"/>
                <w:sz w:val="19"/>
                <w:szCs w:val="19"/>
                <w:rtl w:val="0"/>
              </w:rPr>
              <w:t xml:space="preserve">Denuncias ciudadanas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spacing w:after="0" w:line="260" w:lineRule="auto"/>
              <w:jc w:val="left"/>
              <w:rPr/>
            </w:pPr>
            <w:r w:rsidDel="00000000" w:rsidR="00000000" w:rsidRPr="00000000">
              <w:rPr>
                <w:b w:val="0"/>
                <w:bCs w:val="0"/>
                <w:sz w:val="19"/>
                <w:szCs w:val="19"/>
                <w:rtl w:val="0"/>
              </w:rPr>
              <w:t xml:space="preserve">Superintendencia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5">
            <w:pPr>
              <w:spacing w:after="0" w:line="260" w:lineRule="auto"/>
              <w:jc w:val="left"/>
              <w:rPr/>
            </w:pPr>
            <w:r w:rsidDel="00000000" w:rsidR="00000000" w:rsidRPr="00000000">
              <w:rPr>
                <w:b w:val="0"/>
                <w:bCs w:val="0"/>
                <w:sz w:val="19"/>
                <w:szCs w:val="19"/>
                <w:rtl w:val="0"/>
              </w:rPr>
              <w:t xml:space="preserve">2016 a 2022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0" w:line="260" w:lineRule="auto"/>
              <w:jc w:val="left"/>
              <w:rPr/>
            </w:pPr>
            <w:r w:rsidDel="00000000" w:rsidR="00000000" w:rsidRPr="00000000">
              <w:rPr>
                <w:b w:val="0"/>
                <w:bCs w:val="0"/>
                <w:sz w:val="19"/>
                <w:szCs w:val="19"/>
                <w:rtl w:val="0"/>
              </w:rPr>
              <w:t xml:space="preserve">Clima escolar; antecedente de Mejoramiento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spacing w:after="0" w:line="260" w:lineRule="auto"/>
              <w:jc w:val="left"/>
              <w:rPr/>
            </w:pPr>
            <w:r w:rsidDel="00000000" w:rsidR="00000000" w:rsidRPr="00000000">
              <w:rPr>
                <w:b w:val="0"/>
                <w:bCs w:val="0"/>
                <w:sz w:val="19"/>
                <w:szCs w:val="19"/>
                <w:rtl w:val="0"/>
              </w:rPr>
              <w:t xml:space="preserve">Procesos administrativos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spacing w:after="0" w:line="260" w:lineRule="auto"/>
              <w:jc w:val="left"/>
              <w:rPr/>
            </w:pPr>
            <w:r w:rsidDel="00000000" w:rsidR="00000000" w:rsidRPr="00000000">
              <w:rPr>
                <w:b w:val="0"/>
                <w:bCs w:val="0"/>
                <w:sz w:val="19"/>
                <w:szCs w:val="19"/>
                <w:rtl w:val="0"/>
              </w:rPr>
              <w:t xml:space="preserve">Superintendencia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0" w:line="260" w:lineRule="auto"/>
              <w:jc w:val="left"/>
              <w:rPr/>
            </w:pPr>
            <w:r w:rsidDel="00000000" w:rsidR="00000000" w:rsidRPr="00000000">
              <w:rPr>
                <w:b w:val="0"/>
                <w:bCs w:val="0"/>
                <w:sz w:val="19"/>
                <w:szCs w:val="19"/>
                <w:rtl w:val="0"/>
              </w:rPr>
              <w:t xml:space="preserve">2016 a 2022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spacing w:after="0" w:line="260" w:lineRule="auto"/>
              <w:jc w:val="left"/>
              <w:rPr/>
            </w:pPr>
            <w:r w:rsidDel="00000000" w:rsidR="00000000" w:rsidRPr="00000000">
              <w:rPr>
                <w:b w:val="0"/>
                <w:bCs w:val="0"/>
                <w:sz w:val="19"/>
                <w:szCs w:val="19"/>
                <w:rtl w:val="0"/>
              </w:rPr>
              <w:t xml:space="preserve">Mejoramiento (2 %) e Igualdad, subfactor discriminación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spacing w:after="0" w:line="260" w:lineRule="auto"/>
              <w:jc w:val="left"/>
              <w:rPr/>
            </w:pPr>
            <w:r w:rsidDel="00000000" w:rsidR="00000000" w:rsidRPr="00000000">
              <w:rPr>
                <w:b w:val="0"/>
                <w:bCs w:val="0"/>
                <w:sz w:val="19"/>
                <w:szCs w:val="19"/>
                <w:rtl w:val="0"/>
              </w:rPr>
              <w:t xml:space="preserve">Mediaciones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spacing w:after="0" w:line="260" w:lineRule="auto"/>
              <w:jc w:val="left"/>
              <w:rPr/>
            </w:pPr>
            <w:r w:rsidDel="00000000" w:rsidR="00000000" w:rsidRPr="00000000">
              <w:rPr>
                <w:b w:val="0"/>
                <w:bCs w:val="0"/>
                <w:sz w:val="19"/>
                <w:szCs w:val="19"/>
                <w:rtl w:val="0"/>
              </w:rPr>
              <w:t xml:space="preserve">Superintendencia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spacing w:after="0" w:line="260" w:lineRule="auto"/>
              <w:jc w:val="left"/>
              <w:rPr/>
            </w:pPr>
            <w:r w:rsidDel="00000000" w:rsidR="00000000" w:rsidRPr="00000000">
              <w:rPr>
                <w:b w:val="0"/>
                <w:bCs w:val="0"/>
                <w:sz w:val="19"/>
                <w:szCs w:val="19"/>
                <w:rtl w:val="0"/>
              </w:rPr>
              <w:t xml:space="preserve">2016 a 2022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spacing w:after="0" w:line="260" w:lineRule="auto"/>
              <w:jc w:val="left"/>
              <w:rPr/>
            </w:pPr>
            <w:r w:rsidDel="00000000" w:rsidR="00000000" w:rsidRPr="00000000">
              <w:rPr>
                <w:b w:val="0"/>
                <w:bCs w:val="0"/>
                <w:sz w:val="19"/>
                <w:szCs w:val="19"/>
                <w:rtl w:val="0"/>
              </w:rPr>
              <w:t xml:space="preserve">Convivencia escolar; aproximación a Integración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F">
            <w:pPr>
              <w:spacing w:after="0" w:line="260" w:lineRule="auto"/>
              <w:jc w:val="left"/>
              <w:rPr/>
            </w:pPr>
            <w:r w:rsidDel="00000000" w:rsidR="00000000" w:rsidRPr="00000000">
              <w:rPr>
                <w:b w:val="0"/>
                <w:bCs w:val="0"/>
                <w:sz w:val="19"/>
                <w:szCs w:val="19"/>
                <w:rtl w:val="0"/>
              </w:rPr>
              <w:t xml:space="preserve">Resumen de rendimiento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spacing w:after="0" w:line="260" w:lineRule="auto"/>
              <w:jc w:val="left"/>
              <w:rPr/>
            </w:pPr>
            <w:r w:rsidDel="00000000" w:rsidR="00000000" w:rsidRPr="00000000">
              <w:rPr>
                <w:b w:val="0"/>
                <w:bCs w:val="0"/>
                <w:sz w:val="19"/>
                <w:szCs w:val="19"/>
                <w:rtl w:val="0"/>
              </w:rPr>
              <w:t xml:space="preserve">MINEDUC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spacing w:after="0" w:line="260" w:lineRule="auto"/>
              <w:jc w:val="left"/>
              <w:rPr/>
            </w:pPr>
            <w:r w:rsidDel="00000000" w:rsidR="00000000" w:rsidRPr="00000000">
              <w:rPr>
                <w:b w:val="0"/>
                <w:bCs w:val="0"/>
                <w:sz w:val="19"/>
                <w:szCs w:val="19"/>
                <w:rtl w:val="0"/>
              </w:rPr>
              <w:t xml:space="preserve">2018 a 2019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line="260" w:lineRule="auto"/>
              <w:jc w:val="left"/>
              <w:rPr/>
            </w:pPr>
            <w:r w:rsidDel="00000000" w:rsidR="00000000" w:rsidRPr="00000000">
              <w:rPr>
                <w:b w:val="0"/>
                <w:bCs w:val="0"/>
                <w:sz w:val="19"/>
                <w:szCs w:val="19"/>
                <w:rtl w:val="0"/>
              </w:rPr>
              <w:t xml:space="preserve">Igualdad de Oportunidades, subfactor rendimiento (50 %)</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3">
            <w:pPr>
              <w:spacing w:after="0" w:line="260" w:lineRule="auto"/>
              <w:jc w:val="left"/>
              <w:rPr/>
            </w:pPr>
            <w:r w:rsidDel="00000000" w:rsidR="00000000" w:rsidRPr="00000000">
              <w:rPr>
                <w:b w:val="0"/>
                <w:bCs w:val="0"/>
                <w:sz w:val="19"/>
                <w:szCs w:val="19"/>
                <w:rtl w:val="0"/>
              </w:rPr>
              <w:t xml:space="preserve">Resumen de matrícula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line="260" w:lineRule="auto"/>
              <w:jc w:val="left"/>
              <w:rPr/>
            </w:pPr>
            <w:r w:rsidDel="00000000" w:rsidR="00000000" w:rsidRPr="00000000">
              <w:rPr>
                <w:b w:val="0"/>
                <w:bCs w:val="0"/>
                <w:sz w:val="19"/>
                <w:szCs w:val="19"/>
                <w:rtl w:val="0"/>
              </w:rPr>
              <w:t xml:space="preserve">MINEDUC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line="260" w:lineRule="auto"/>
              <w:jc w:val="left"/>
              <w:rPr/>
            </w:pPr>
            <w:r w:rsidDel="00000000" w:rsidR="00000000" w:rsidRPr="00000000">
              <w:rPr>
                <w:b w:val="0"/>
                <w:bCs w:val="0"/>
                <w:sz w:val="19"/>
                <w:szCs w:val="19"/>
                <w:rtl w:val="0"/>
              </w:rPr>
              <w:t xml:space="preserve">2018 a 2019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6">
            <w:pPr>
              <w:spacing w:after="0" w:line="260" w:lineRule="auto"/>
              <w:jc w:val="left"/>
              <w:rPr/>
            </w:pPr>
            <w:r w:rsidDel="00000000" w:rsidR="00000000" w:rsidRPr="00000000">
              <w:rPr>
                <w:b w:val="0"/>
                <w:bCs w:val="0"/>
                <w:sz w:val="19"/>
                <w:szCs w:val="19"/>
                <w:rtl w:val="0"/>
              </w:rPr>
              <w:t xml:space="preserve">Tamaño institucional; denominador de tasas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7">
            <w:pPr>
              <w:spacing w:after="0" w:line="260" w:lineRule="auto"/>
              <w:jc w:val="left"/>
              <w:rPr/>
            </w:pPr>
            <w:r w:rsidDel="00000000" w:rsidR="00000000" w:rsidRPr="00000000">
              <w:rPr>
                <w:b w:val="0"/>
                <w:bCs w:val="0"/>
                <w:sz w:val="19"/>
                <w:szCs w:val="19"/>
                <w:rtl w:val="0"/>
              </w:rPr>
              <w:t xml:space="preserve">Alumnos prioritarios y SEP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line="260" w:lineRule="auto"/>
              <w:jc w:val="left"/>
              <w:rPr/>
            </w:pPr>
            <w:r w:rsidDel="00000000" w:rsidR="00000000" w:rsidRPr="00000000">
              <w:rPr>
                <w:b w:val="0"/>
                <w:bCs w:val="0"/>
                <w:sz w:val="19"/>
                <w:szCs w:val="19"/>
                <w:rtl w:val="0"/>
              </w:rPr>
              <w:t xml:space="preserve">MINEDUC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spacing w:after="0" w:line="260" w:lineRule="auto"/>
              <w:jc w:val="left"/>
              <w:rPr/>
            </w:pPr>
            <w:r w:rsidDel="00000000" w:rsidR="00000000" w:rsidRPr="00000000">
              <w:rPr>
                <w:b w:val="0"/>
                <w:bCs w:val="0"/>
                <w:sz w:val="19"/>
                <w:szCs w:val="19"/>
                <w:rtl w:val="0"/>
              </w:rPr>
              <w:t xml:space="preserve">2018 a 2019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spacing w:after="0" w:line="260" w:lineRule="auto"/>
              <w:jc w:val="left"/>
              <w:rPr/>
            </w:pPr>
            <w:r w:rsidDel="00000000" w:rsidR="00000000" w:rsidRPr="00000000">
              <w:rPr>
                <w:b w:val="0"/>
                <w:bCs w:val="0"/>
                <w:sz w:val="19"/>
                <w:szCs w:val="19"/>
                <w:rtl w:val="0"/>
              </w:rPr>
              <w:t xml:space="preserve">Vulnerabilidad socioeconómica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B">
            <w:pPr>
              <w:spacing w:after="0" w:line="260" w:lineRule="auto"/>
              <w:jc w:val="left"/>
              <w:rPr/>
            </w:pPr>
            <w:r w:rsidDel="00000000" w:rsidR="00000000" w:rsidRPr="00000000">
              <w:rPr>
                <w:b w:val="0"/>
                <w:bCs w:val="0"/>
                <w:sz w:val="19"/>
                <w:szCs w:val="19"/>
                <w:rtl w:val="0"/>
              </w:rPr>
              <w:t xml:space="preserve">Dotación docente y asistentes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line="260" w:lineRule="auto"/>
              <w:jc w:val="left"/>
              <w:rPr/>
            </w:pPr>
            <w:r w:rsidDel="00000000" w:rsidR="00000000" w:rsidRPr="00000000">
              <w:rPr>
                <w:b w:val="0"/>
                <w:bCs w:val="0"/>
                <w:sz w:val="19"/>
                <w:szCs w:val="19"/>
                <w:rtl w:val="0"/>
              </w:rPr>
              <w:t xml:space="preserve">MINEDUC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line="260" w:lineRule="auto"/>
              <w:jc w:val="left"/>
              <w:rPr/>
            </w:pPr>
            <w:r w:rsidDel="00000000" w:rsidR="00000000" w:rsidRPr="00000000">
              <w:rPr>
                <w:b w:val="0"/>
                <w:bCs w:val="0"/>
                <w:sz w:val="19"/>
                <w:szCs w:val="19"/>
                <w:rtl w:val="0"/>
              </w:rPr>
              <w:t xml:space="preserve">2018 a 2019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line="260" w:lineRule="auto"/>
              <w:jc w:val="left"/>
              <w:rPr/>
            </w:pPr>
            <w:r w:rsidDel="00000000" w:rsidR="00000000" w:rsidRPr="00000000">
              <w:rPr>
                <w:b w:val="0"/>
                <w:bCs w:val="0"/>
                <w:sz w:val="19"/>
                <w:szCs w:val="19"/>
                <w:rtl w:val="0"/>
              </w:rPr>
              <w:t xml:space="preserve">Capacidad de gestión; aproximación a Iniciativa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F">
            <w:pPr>
              <w:spacing w:after="0" w:line="260" w:lineRule="auto"/>
              <w:jc w:val="left"/>
              <w:rPr/>
            </w:pPr>
            <w:r w:rsidDel="00000000" w:rsidR="00000000" w:rsidRPr="00000000">
              <w:rPr>
                <w:b w:val="0"/>
                <w:bCs w:val="0"/>
                <w:sz w:val="19"/>
                <w:szCs w:val="19"/>
                <w:rtl w:val="0"/>
              </w:rPr>
              <w:t xml:space="preserve">IVE-SINAE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spacing w:after="0" w:line="260" w:lineRule="auto"/>
              <w:jc w:val="left"/>
              <w:rPr/>
            </w:pPr>
            <w:r w:rsidDel="00000000" w:rsidR="00000000" w:rsidRPr="00000000">
              <w:rPr>
                <w:b w:val="0"/>
                <w:bCs w:val="0"/>
                <w:sz w:val="19"/>
                <w:szCs w:val="19"/>
                <w:rtl w:val="0"/>
              </w:rPr>
              <w:t xml:space="preserve">JUNAEB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spacing w:after="0" w:line="260" w:lineRule="auto"/>
              <w:jc w:val="left"/>
              <w:rPr/>
            </w:pPr>
            <w:r w:rsidDel="00000000" w:rsidR="00000000" w:rsidRPr="00000000">
              <w:rPr>
                <w:b w:val="0"/>
                <w:bCs w:val="0"/>
                <w:sz w:val="19"/>
                <w:szCs w:val="19"/>
                <w:rtl w:val="0"/>
              </w:rPr>
              <w:t xml:space="preserve">2018 a 2019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2">
            <w:pPr>
              <w:spacing w:after="0" w:line="260" w:lineRule="auto"/>
              <w:jc w:val="left"/>
              <w:rPr/>
            </w:pPr>
            <w:r w:rsidDel="00000000" w:rsidR="00000000" w:rsidRPr="00000000">
              <w:rPr>
                <w:b w:val="0"/>
                <w:bCs w:val="0"/>
                <w:sz w:val="19"/>
                <w:szCs w:val="19"/>
                <w:rtl w:val="0"/>
              </w:rPr>
              <w:t xml:space="preserve">Insumo oficial de los Grupos Homogéneos</w:t>
            </w:r>
            <w:r w:rsidDel="00000000" w:rsidR="00000000" w:rsidRPr="00000000">
              <w:rPr>
                <w:rtl w:val="0"/>
              </w:rPr>
            </w:r>
          </w:p>
        </w:tc>
      </w:tr>
    </w:tbl>
    <w:p w:rsidR="00000000" w:rsidDel="00000000" w:rsidP="00000000" w:rsidRDefault="00000000" w:rsidRPr="00000000" w14:paraId="00000063">
      <w:pPr>
        <w:spacing w:after="240" w:before="80" w:lineRule="auto"/>
        <w:rPr/>
      </w:pPr>
      <w:r w:rsidDel="00000000" w:rsidR="00000000" w:rsidRPr="00000000">
        <w:rPr>
          <w:i w:val="1"/>
          <w:iCs w:val="1"/>
          <w:sz w:val="18"/>
          <w:szCs w:val="18"/>
          <w:rtl w:val="0"/>
        </w:rPr>
        <w:t xml:space="preserve">Tabla 2. Fuentes públicas integradas al conjunto analítico. Elaboración propia.</w:t>
      </w: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tl w:val="0"/>
        </w:rPr>
        <w:t xml:space="preserve">3.4 Fuentes evaluadas y descartadas</w:t>
      </w:r>
    </w:p>
    <w:p w:rsidR="00000000" w:rsidDel="00000000" w:rsidP="00000000" w:rsidRDefault="00000000" w:rsidRPr="00000000" w14:paraId="00000065">
      <w:pPr>
        <w:spacing w:after="160" w:line="300" w:lineRule="auto"/>
        <w:jc w:val="both"/>
        <w:rPr/>
      </w:pPr>
      <w:r w:rsidDel="00000000" w:rsidR="00000000" w:rsidRPr="00000000">
        <w:rPr>
          <w:sz w:val="22"/>
          <w:szCs w:val="22"/>
          <w:rtl w:val="0"/>
        </w:rPr>
        <w:t xml:space="preserve">Tres fuentes fueron evaluadas y descartadas por razones que conviene documentar, dado que la exclusión fundamentada constituye evidencia metodológica tanto como la inclusión.</w:t>
      </w:r>
      <w:r w:rsidDel="00000000" w:rsidR="00000000" w:rsidRPr="00000000">
        <w:rPr>
          <w:rtl w:val="0"/>
        </w:rPr>
      </w:r>
    </w:p>
    <w:p w:rsidR="00000000" w:rsidDel="00000000" w:rsidP="00000000" w:rsidRDefault="00000000" w:rsidRPr="00000000" w14:paraId="00000066">
      <w:pPr>
        <w:spacing w:after="160" w:line="300" w:lineRule="auto"/>
        <w:jc w:val="both"/>
        <w:rPr/>
      </w:pPr>
      <w:r w:rsidDel="00000000" w:rsidR="00000000" w:rsidRPr="00000000">
        <w:rPr>
          <w:sz w:val="22"/>
          <w:szCs w:val="22"/>
          <w:rtl w:val="0"/>
        </w:rPr>
        <w:t xml:space="preserve">Los Cuadros Estadísticos de Solicitudes de Mediación de la Superintendencia de Educación resultaron ser compendios agregados por región, dependencia y nivel, carentes de identificador de establecimiento. La inspección de su estructura interna reveló hojas denominadas "Cuadro 1" a "Cuadro 6" con totales nacionales, imposibilitando cualquier cruce por RBD. No obstante, la revisión del esquema de registro oficial indicaba la existencia de la variable RBD, lo que motivó una búsqueda en repositorios alternativos. Dicha búsqueda localizó el microdato correspondiente en el portal de datos abiertos del Estado, con la variable de identificación presente bajo la denominación EE_RBD_RSIE para los años anteriores a 2018 y RBD desde ese año. La fuente fue finalmente incorporada.</w:t>
      </w:r>
      <w:r w:rsidDel="00000000" w:rsidR="00000000" w:rsidRPr="00000000">
        <w:rPr>
          <w:rtl w:val="0"/>
        </w:rPr>
      </w:r>
    </w:p>
    <w:p w:rsidR="00000000" w:rsidDel="00000000" w:rsidP="00000000" w:rsidRDefault="00000000" w:rsidRPr="00000000" w14:paraId="00000067">
      <w:pPr>
        <w:spacing w:after="160" w:line="300" w:lineRule="auto"/>
        <w:jc w:val="both"/>
        <w:rPr/>
      </w:pPr>
      <w:r w:rsidDel="00000000" w:rsidR="00000000" w:rsidRPr="00000000">
        <w:rPr>
          <w:sz w:val="22"/>
          <w:szCs w:val="22"/>
          <w:rtl w:val="0"/>
        </w:rPr>
        <w:t xml:space="preserve">Las Tasas de Incidencia de Desvinculación fueron descartadas definitivamente por presentar desagregación máxima a nivel comunal, sin identificador de establecimiento ni versión de microdato disponible.</w:t>
      </w:r>
      <w:r w:rsidDel="00000000" w:rsidR="00000000" w:rsidRPr="00000000">
        <w:rPr>
          <w:rtl w:val="0"/>
        </w:rPr>
      </w:r>
    </w:p>
    <w:p w:rsidR="00000000" w:rsidDel="00000000" w:rsidP="00000000" w:rsidRDefault="00000000" w:rsidRPr="00000000" w14:paraId="00000068">
      <w:pPr>
        <w:spacing w:after="160" w:line="300" w:lineRule="auto"/>
        <w:jc w:val="both"/>
        <w:rPr/>
      </w:pPr>
      <w:r w:rsidDel="00000000" w:rsidR="00000000" w:rsidRPr="00000000">
        <w:rPr>
          <w:sz w:val="22"/>
          <w:szCs w:val="22"/>
          <w:rtl w:val="0"/>
        </w:rPr>
        <w:t xml:space="preserve">Los Planes de Mejoramiento Educativo fueron descartados por cobertura temporal: su publicación se inicia en 2023, posterior a la ventana de entrenamiento del modelo.</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tl w:val="0"/>
        </w:rPr>
        <w:t xml:space="preserve">4. Fase II: Alineación temporal y control de fuga de información</w:t>
      </w:r>
    </w:p>
    <w:p w:rsidR="00000000" w:rsidDel="00000000" w:rsidP="00000000" w:rsidRDefault="00000000" w:rsidRPr="00000000" w14:paraId="0000006B">
      <w:pPr>
        <w:spacing w:after="160" w:line="300" w:lineRule="auto"/>
        <w:jc w:val="both"/>
        <w:rPr/>
      </w:pPr>
      <w:r w:rsidDel="00000000" w:rsidR="00000000" w:rsidRPr="00000000">
        <w:rPr>
          <w:sz w:val="22"/>
          <w:szCs w:val="22"/>
          <w:rtl w:val="0"/>
        </w:rPr>
        <w:t xml:space="preserve">Esta fase constituye, junto con la corrección arquitectónica documentada en la Fase IV, la contribución metodológica más relevante del desarrollo. Su objeto es determinar qué mediciones alimentan efectivamente qué ciclo del índice, cuestión que no admite respuesta por inspección directa y cuya resolución errónea invalidaría el modelo completo.</w:t>
      </w:r>
      <w:r w:rsidDel="00000000" w:rsidR="00000000" w:rsidRPr="00000000">
        <w:rPr>
          <w:rtl w:val="0"/>
        </w:rPr>
      </w:r>
    </w:p>
    <w:p w:rsidR="00000000" w:rsidDel="00000000" w:rsidP="00000000" w:rsidRDefault="00000000" w:rsidRPr="00000000" w14:paraId="0000006C">
      <w:pPr>
        <w:pStyle w:val="Heading2"/>
        <w:spacing w:after="160" w:before="280" w:lineRule="auto"/>
        <w:rPr/>
      </w:pPr>
      <w:r w:rsidDel="00000000" w:rsidR="00000000" w:rsidRPr="00000000">
        <w:rPr>
          <w:rtl w:val="0"/>
        </w:rPr>
        <w:t xml:space="preserve">4.1 El congelamiento de la ventana de medición post-pandemia</w:t>
      </w:r>
    </w:p>
    <w:p w:rsidR="00000000" w:rsidDel="00000000" w:rsidP="00000000" w:rsidRDefault="00000000" w:rsidRPr="00000000" w14:paraId="0000006D">
      <w:pPr>
        <w:spacing w:after="160" w:line="300" w:lineRule="auto"/>
        <w:jc w:val="both"/>
        <w:rPr/>
      </w:pPr>
      <w:r w:rsidDel="00000000" w:rsidR="00000000" w:rsidRPr="00000000">
        <w:rPr>
          <w:sz w:val="22"/>
          <w:szCs w:val="22"/>
          <w:rtl w:val="0"/>
        </w:rPr>
        <w:t xml:space="preserve">La suspensión de la aplicación censal del SIMCE durante 2020 y 2021, sumada a la decisión del Consejo Nacional de Educación de retirar consecuencias a la medición de 2022, produjo un fenómeno que la documentación técnica del proceso confirma: tres ciclos consecutivos del SNED —2020-2021, 2022-2023 y 2024-2025— reutilizaron una misma ventana de medición congelada, correspondiente aproximadamente al período 2017 a 2019.</w:t>
      </w:r>
      <w:r w:rsidDel="00000000" w:rsidR="00000000" w:rsidRPr="00000000">
        <w:rPr>
          <w:rtl w:val="0"/>
        </w:rPr>
      </w:r>
    </w:p>
    <w:p w:rsidR="00000000" w:rsidDel="00000000" w:rsidP="00000000" w:rsidRDefault="00000000" w:rsidRPr="00000000" w14:paraId="0000006E">
      <w:pPr>
        <w:spacing w:after="160" w:line="300" w:lineRule="auto"/>
        <w:jc w:val="both"/>
        <w:rPr/>
      </w:pPr>
      <w:r w:rsidDel="00000000" w:rsidR="00000000" w:rsidRPr="00000000">
        <w:rPr>
          <w:sz w:val="22"/>
          <w:szCs w:val="22"/>
          <w:rtl w:val="0"/>
        </w:rPr>
        <w:t xml:space="preserve">Este hallazgo tiene una consecuencia directa sobre el diseño experimental. Un mismo conjunto de mediciones SIMCE explica los resultados de tres ciclos distintos del índice, lo que permite triplicar el número de observaciones sin introducir mediciones espurias, pero exige verificar empíricamente el supuesto en lugar de asumirlo.</w:t>
      </w:r>
      <w:r w:rsidDel="00000000" w:rsidR="00000000" w:rsidRPr="00000000">
        <w:rPr>
          <w:rtl w:val="0"/>
        </w:rPr>
      </w:r>
    </w:p>
    <w:p w:rsidR="00000000" w:rsidDel="00000000" w:rsidP="00000000" w:rsidRDefault="00000000" w:rsidRPr="00000000" w14:paraId="0000006F">
      <w:pPr>
        <w:pStyle w:val="Heading2"/>
        <w:spacing w:after="160" w:before="280" w:lineRule="auto"/>
        <w:rPr/>
      </w:pPr>
      <w:r w:rsidDel="00000000" w:rsidR="00000000" w:rsidRPr="00000000">
        <w:rPr>
          <w:rtl w:val="0"/>
        </w:rPr>
        <w:t xml:space="preserve">4.2 Verificación mediante matriz de correlación</w:t>
      </w:r>
    </w:p>
    <w:p w:rsidR="00000000" w:rsidDel="00000000" w:rsidP="00000000" w:rsidRDefault="00000000" w:rsidRPr="00000000" w14:paraId="00000070">
      <w:pPr>
        <w:spacing w:after="160" w:line="300" w:lineRule="auto"/>
        <w:jc w:val="both"/>
        <w:rPr/>
      </w:pPr>
      <w:r w:rsidDel="00000000" w:rsidR="00000000" w:rsidRPr="00000000">
        <w:rPr>
          <w:sz w:val="22"/>
          <w:szCs w:val="22"/>
          <w:rtl w:val="0"/>
        </w:rPr>
        <w:t xml:space="preserve">Para verificar el supuesto se construyó una matriz de correlación entre cada bienio de medición SIMCE disponible y cada ciclo de premio SNED, calculando el coeficiente de Pearson entre el promedio SIMCE de cuarto básico y el factor de Efectividad de cada ciclo, sobre los establecimientos presentes en ambas fuentes.</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sz w:val="22"/>
          <w:szCs w:val="22"/>
          <w:rtl w:val="0"/>
        </w:rPr>
        <w:t xml:space="preserve">El resultado fue inequívoco. El bienio 2018-2019 presentó correlaciones en torno a 0,82 contra los tres ciclos congelados simultáneamente, mientras que ningún otro bienio superó el valor de 0,50 contra ningún ciclo. Se estableció así el par de entrenamiento válido: mediciones SIMCE del bienio 2018-2019 contra los resultados SNED de los ciclos 2020-2021, 2022-2023 y 2024-2025.</w:t>
      </w:r>
      <w:r w:rsidDel="00000000" w:rsidR="00000000" w:rsidRPr="00000000">
        <w:rPr>
          <w:rtl w:val="0"/>
        </w:rPr>
      </w:r>
    </w:p>
    <w:p w:rsidR="00000000" w:rsidDel="00000000" w:rsidP="00000000" w:rsidRDefault="00000000" w:rsidRPr="00000000" w14:paraId="00000072">
      <w:pPr>
        <w:spacing w:after="160" w:line="300" w:lineRule="auto"/>
        <w:jc w:val="both"/>
        <w:rPr/>
      </w:pPr>
      <w:r w:rsidDel="00000000" w:rsidR="00000000" w:rsidRPr="00000000">
        <w:rPr>
          <w:sz w:val="22"/>
          <w:szCs w:val="22"/>
          <w:rtl w:val="0"/>
        </w:rPr>
        <w:t xml:space="preserve">Con posterioridad se incorporaron los archivos SIMCE de 2016 y 2017 con la hipótesis de que el bienio 2016-2017 pudiera constituir un segundo par de entrenamiento. La verificación refutó la hipótesis: dicho bienio arrojó una correlación máxima de 0,375 contra su propio ciclo homónimo, estadísticamente indistinguible de sus correlaciones contra los restantes ciclos, que oscilaron entre 0,317 y 0,356. Se concluyó que los bienios calendario construidos por conveniencia no reproducen ventanas de cálculo oficiales y no deben emplearse como pares de entrenamiento sin verificación documental específica. El descarte fundamentado de una hipótesis razonable constituye evidencia metodológica de igual valor que su confirmación.</w:t>
      </w: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tl w:val="0"/>
        </w:rPr>
        <w:t xml:space="preserve">4.3 La interrupción de la medición de 2019</w:t>
      </w:r>
    </w:p>
    <w:p w:rsidR="00000000" w:rsidDel="00000000" w:rsidP="00000000" w:rsidRDefault="00000000" w:rsidRPr="00000000" w14:paraId="00000074">
      <w:pPr>
        <w:spacing w:after="160" w:line="300" w:lineRule="auto"/>
        <w:jc w:val="both"/>
        <w:rPr/>
      </w:pPr>
      <w:r w:rsidDel="00000000" w:rsidR="00000000" w:rsidRPr="00000000">
        <w:rPr>
          <w:sz w:val="22"/>
          <w:szCs w:val="22"/>
          <w:rtl w:val="0"/>
        </w:rPr>
        <w:t xml:space="preserve">Durante el diagnóstico de cobertura se detectó un conjunto de establecimientos con resultado SNED pero sin correspondencia en el bienio SIMCE. La investigación documental estableció que el estallido social iniciado el 18 de octubre de 2019 impidió la aplicación de las pruebas de cuarto básico y segundo medio de ese año, aplicándose únicamente el nivel de octavo básico. En consecuencia, la brecha de cobertura no constituye un defecto del procedimiento de ingesta sino una limitación estructural e insalvable del período histórico, que se documenta como tal.</w:t>
      </w:r>
      <w:r w:rsidDel="00000000" w:rsidR="00000000" w:rsidRPr="00000000">
        <w:rPr>
          <w:rtl w:val="0"/>
        </w:rPr>
      </w:r>
    </w:p>
    <w:p w:rsidR="00000000" w:rsidDel="00000000" w:rsidP="00000000" w:rsidRDefault="00000000" w:rsidRPr="00000000" w14:paraId="00000075">
      <w:pPr>
        <w:pStyle w:val="Heading2"/>
        <w:spacing w:after="160" w:before="280" w:lineRule="auto"/>
        <w:rPr/>
      </w:pPr>
      <w:r w:rsidDel="00000000" w:rsidR="00000000" w:rsidRPr="00000000">
        <w:rPr>
          <w:rtl w:val="0"/>
        </w:rPr>
        <w:t xml:space="preserve">4.4 La regla anti-fuga temporal</w:t>
      </w:r>
    </w:p>
    <w:p w:rsidR="00000000" w:rsidDel="00000000" w:rsidP="00000000" w:rsidRDefault="00000000" w:rsidRPr="00000000" w14:paraId="00000076">
      <w:pPr>
        <w:spacing w:after="160" w:line="300" w:lineRule="auto"/>
        <w:jc w:val="both"/>
        <w:rPr/>
      </w:pPr>
      <w:r w:rsidDel="00000000" w:rsidR="00000000" w:rsidRPr="00000000">
        <w:rPr>
          <w:sz w:val="22"/>
          <w:szCs w:val="22"/>
          <w:rtl w:val="0"/>
        </w:rPr>
        <w:t xml:space="preserve">El concepto de fuga de información exigió una precisión conceptual que resultó determinante para el diseño. La formulación inicial —emplear los seis factores ya calculados para predecir el índice— constituye fuga circular manifiesta, dado que el índice es por definición su suma ponderada. Sin embargo, las variables crudas que alimentan cada factor, tales como puntajes de pruebas, tasas de aprobación o conteos de sanciones, no constituyen fuga: son la causa observable que el simulador debe exponer al usuario.</w:t>
      </w:r>
      <w:r w:rsidDel="00000000" w:rsidR="00000000" w:rsidRPr="00000000">
        <w:rPr>
          <w:rtl w:val="0"/>
        </w:rPr>
      </w:r>
    </w:p>
    <w:p w:rsidR="00000000" w:rsidDel="00000000" w:rsidP="00000000" w:rsidRDefault="00000000" w:rsidRPr="00000000" w14:paraId="00000077">
      <w:pPr>
        <w:spacing w:after="160" w:line="300" w:lineRule="auto"/>
        <w:jc w:val="both"/>
        <w:rPr/>
      </w:pPr>
      <w:r w:rsidDel="00000000" w:rsidR="00000000" w:rsidRPr="00000000">
        <w:rPr>
          <w:sz w:val="22"/>
          <w:szCs w:val="22"/>
          <w:rtl w:val="0"/>
        </w:rPr>
        <w:t xml:space="preserve">La distinción operativa quedó establecida en los siguientes términos: se excluyen los resultados calculados por el organismo emisor; se admiten los insumos administrativos que el establecimiento genera mediante su gestión. A ello se añadió una restricción temporal estricta: las variables de contexto provenientes de la Superintendencia deben corresponder a un período anterior a la ventana de medición del ciclo predicho, fijándose la ventana 2016-2017 para el conjunto de entrenamiento y reservándose la ventana 2018-2022 para la validación futura. Esta restricción se codificó posteriormente en el esquema de la base de datos, de modo que su cumplimiento no dependa de la disciplina del programador.</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tl w:val="0"/>
        </w:rPr>
        <w:t xml:space="preserve">5. Fase III: Análisis exploratorio de datos</w:t>
      </w:r>
    </w:p>
    <w:p w:rsidR="00000000" w:rsidDel="00000000" w:rsidP="00000000" w:rsidRDefault="00000000" w:rsidRPr="00000000" w14:paraId="0000007A">
      <w:pPr>
        <w:pStyle w:val="Heading2"/>
        <w:spacing w:after="160" w:before="280" w:lineRule="auto"/>
        <w:rPr/>
      </w:pPr>
      <w:r w:rsidDel="00000000" w:rsidR="00000000" w:rsidRPr="00000000">
        <w:rPr>
          <w:rtl w:val="0"/>
        </w:rPr>
        <w:t xml:space="preserve">5.1 Caracterización de la variable objetivo</w:t>
      </w:r>
    </w:p>
    <w:p w:rsidR="00000000" w:rsidDel="00000000" w:rsidP="00000000" w:rsidRDefault="00000000" w:rsidRPr="00000000" w14:paraId="0000007B">
      <w:pPr>
        <w:spacing w:after="160" w:line="300" w:lineRule="auto"/>
        <w:jc w:val="both"/>
        <w:rPr/>
      </w:pPr>
      <w:r w:rsidDel="00000000" w:rsidR="00000000" w:rsidRPr="00000000">
        <w:rPr>
          <w:sz w:val="22"/>
          <w:szCs w:val="22"/>
          <w:rtl w:val="0"/>
        </w:rPr>
        <w:t xml:space="preserve">El análisis exploratorio del INDICER sobre la tabla consolidada de 7.930 establecimientos arrojó una media de 61,72 puntos con desviación estándar de 5,27, asimetría de −0,164 y curtosis de 0,387. La distribución resulta próxima a la normal, lo que descarta la necesidad de transformaciones de simetrización previas al modelamiento.</w:t>
      </w:r>
      <w:r w:rsidDel="00000000" w:rsidR="00000000" w:rsidRPr="00000000">
        <w:rPr>
          <w:rtl w:val="0"/>
        </w:rPr>
      </w:r>
    </w:p>
    <w:p w:rsidR="00000000" w:rsidDel="00000000" w:rsidP="00000000" w:rsidRDefault="00000000" w:rsidRPr="00000000" w14:paraId="0000007C">
      <w:pPr>
        <w:spacing w:after="160" w:line="300" w:lineRule="auto"/>
        <w:jc w:val="both"/>
        <w:rPr/>
      </w:pPr>
      <w:r w:rsidDel="00000000" w:rsidR="00000000" w:rsidRPr="00000000">
        <w:rPr>
          <w:sz w:val="22"/>
          <w:szCs w:val="22"/>
          <w:rtl w:val="0"/>
        </w:rPr>
        <w:t xml:space="preserve">El dato de mayor relevancia práctica es la compresión del rango: aunque el índice admite teóricamente valores entre 0 y 100, la inmensa mayoría de los establecimientos se concentra entre 55 y 70 puntos. Esta compresión determina la interpretación de las métricas de error: un error cuadrático medio de tres puntos, que resultaría excelente en una escala de 0 a 100, representa más de la mitad de una desviación estándar en la escala efectiva. La elección de reportar simultáneamente el error absoluto medio y la raíz del error cuadrático medio responde a esta consideración, siguiendo la distinción entre las normas ℓ1 y ℓ2 que Géron (2019, cap. 2) establece.</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tl w:val="0"/>
        </w:rPr>
        <w:t xml:space="preserve">5.2 Estructura de correlaciones</w:t>
      </w:r>
    </w:p>
    <w:p w:rsidR="00000000" w:rsidDel="00000000" w:rsidP="00000000" w:rsidRDefault="00000000" w:rsidRPr="00000000" w14:paraId="0000007E">
      <w:pPr>
        <w:spacing w:after="160" w:line="300" w:lineRule="auto"/>
        <w:jc w:val="both"/>
        <w:rPr/>
      </w:pPr>
      <w:r w:rsidDel="00000000" w:rsidR="00000000" w:rsidRPr="00000000">
        <w:rPr>
          <w:sz w:val="22"/>
          <w:szCs w:val="22"/>
          <w:rtl w:val="0"/>
        </w:rPr>
        <w:t xml:space="preserve">La jerarquía de correlaciones con el índice confirmó la coherencia interna del instrumento y reveló un patrón inesperado. El factor de Efectividad encabezó la jerarquía con un coeficiente de 0,840, consistente con su ponderación del 37 %. El factor de Mejoramiento presentó el valor más bajo, 0,091, igualmente consistente con su ponderación del 2 %.</w:t>
      </w:r>
      <w:r w:rsidDel="00000000" w:rsidR="00000000" w:rsidRPr="00000000">
        <w:rPr>
          <w:rtl w:val="0"/>
        </w:rPr>
      </w:r>
    </w:p>
    <w:p w:rsidR="00000000" w:rsidDel="00000000" w:rsidP="00000000" w:rsidRDefault="00000000" w:rsidRPr="00000000" w14:paraId="0000007F">
      <w:pPr>
        <w:spacing w:after="160" w:line="300" w:lineRule="auto"/>
        <w:jc w:val="both"/>
        <w:rPr/>
      </w:pPr>
      <w:r w:rsidDel="00000000" w:rsidR="00000000" w:rsidRPr="00000000">
        <w:rPr>
          <w:sz w:val="22"/>
          <w:szCs w:val="22"/>
          <w:rtl w:val="0"/>
        </w:rPr>
        <w:t xml:space="preserve">El patrón inesperado corresponde a las mediciones de segundo medio, que alcanzaron correlaciones de 0,786 y 0,782 en matemática y lectura respectivamente, superando ampliamente a las de cuarto básico, situadas entre 0,668 y 0,712. La interpretación sustantiva es que los establecimientos que imparten enseñanza media tienden a ser instituciones de mayor tamaño y consolidación, cuya gestión integral se refleja también en factores no académicos.</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tl w:val="0"/>
        </w:rPr>
        <w:t xml:space="preserve">5.3 Segmentación por dependencia, ruralidad y grupo homogéneo</w:t>
      </w:r>
    </w:p>
    <w:p w:rsidR="00000000" w:rsidDel="00000000" w:rsidP="00000000" w:rsidRDefault="00000000" w:rsidRPr="00000000" w14:paraId="00000081">
      <w:pPr>
        <w:spacing w:after="160" w:line="300" w:lineRule="auto"/>
        <w:jc w:val="both"/>
        <w:rPr/>
      </w:pPr>
      <w:r w:rsidDel="00000000" w:rsidR="00000000" w:rsidRPr="00000000">
        <w:rPr>
          <w:sz w:val="22"/>
          <w:szCs w:val="22"/>
          <w:rtl w:val="0"/>
        </w:rPr>
        <w:t xml:space="preserve">El análisis por dependencia administrativa mostró un gradiente ordenado: los establecimientos particulares subvencionados promediaron 62,30 puntos, los municipales 61,46, los de Servicios Locales de Educación 60,77 y los de administración delegada 58,55. Este último grupo, con apenas setenta observaciones, presentó además la menor dispersión, patrón que se documenta como característica del segmento técnico-profesional bajo el Decreto Ley 3166 y no como anomalía.</w:t>
      </w:r>
      <w:r w:rsidDel="00000000" w:rsidR="00000000" w:rsidRPr="00000000">
        <w:rPr>
          <w:rtl w:val="0"/>
        </w:rPr>
      </w:r>
    </w:p>
    <w:p w:rsidR="00000000" w:rsidDel="00000000" w:rsidP="00000000" w:rsidRDefault="00000000" w:rsidRPr="00000000" w14:paraId="00000082">
      <w:pPr>
        <w:spacing w:after="160" w:line="300" w:lineRule="auto"/>
        <w:jc w:val="both"/>
        <w:rPr/>
      </w:pPr>
      <w:r w:rsidDel="00000000" w:rsidR="00000000" w:rsidRPr="00000000">
        <w:rPr>
          <w:sz w:val="22"/>
          <w:szCs w:val="22"/>
          <w:rtl w:val="0"/>
        </w:rPr>
        <w:t xml:space="preserve">La diferencia entre establecimientos urbanos y rurales resultó marginal, 62,16 frente a 61,03 puntos, lo que se explica porque el diseño oficial de los Grupos Homogéneos ya controla la ruralidad al conformar las agrupaciones de comparación.</w:t>
      </w:r>
      <w:r w:rsidDel="00000000" w:rsidR="00000000" w:rsidRPr="00000000">
        <w:rPr>
          <w:rtl w:val="0"/>
        </w:rPr>
      </w:r>
    </w:p>
    <w:p w:rsidR="00000000" w:rsidDel="00000000" w:rsidP="00000000" w:rsidRDefault="00000000" w:rsidRPr="00000000" w14:paraId="00000083">
      <w:pPr>
        <w:spacing w:after="160" w:line="300" w:lineRule="auto"/>
        <w:jc w:val="both"/>
        <w:rPr/>
      </w:pPr>
      <w:r w:rsidDel="00000000" w:rsidR="00000000" w:rsidRPr="00000000">
        <w:rPr>
          <w:sz w:val="22"/>
          <w:szCs w:val="22"/>
          <w:rtl w:val="0"/>
        </w:rPr>
        <w:t xml:space="preserve">El análisis por grupo homogéneo reveló variabilidad sustantiva en la dispersión intragrupo, lo que constituyó la primera evidencia de que esta variable aporta información no redundante con las mediciones estandarizadas.</w:t>
      </w:r>
      <w:r w:rsidDel="00000000" w:rsidR="00000000" w:rsidRPr="00000000">
        <w:rPr>
          <w:rtl w:val="0"/>
        </w:rPr>
      </w:r>
    </w:p>
    <w:p w:rsidR="00000000" w:rsidDel="00000000" w:rsidP="00000000" w:rsidRDefault="00000000" w:rsidRPr="00000000" w14:paraId="00000084">
      <w:pPr>
        <w:pStyle w:val="Heading2"/>
        <w:spacing w:after="160" w:before="280" w:lineRule="auto"/>
        <w:rPr/>
      </w:pPr>
      <w:r w:rsidDel="00000000" w:rsidR="00000000" w:rsidRPr="00000000">
        <w:rPr>
          <w:rtl w:val="0"/>
        </w:rPr>
        <w:t xml:space="preserve">5.4 Identificación de casos discordantes</w:t>
      </w:r>
    </w:p>
    <w:p w:rsidR="00000000" w:rsidDel="00000000" w:rsidP="00000000" w:rsidRDefault="00000000" w:rsidRPr="00000000" w14:paraId="00000085">
      <w:pPr>
        <w:spacing w:after="160" w:line="300" w:lineRule="auto"/>
        <w:jc w:val="both"/>
        <w:rPr/>
      </w:pPr>
      <w:r w:rsidDel="00000000" w:rsidR="00000000" w:rsidRPr="00000000">
        <w:rPr>
          <w:sz w:val="22"/>
          <w:szCs w:val="22"/>
          <w:rtl w:val="0"/>
        </w:rPr>
        <w:t xml:space="preserve">Se ajustó una regresión lineal simple entre el factor de Efectividad y el índice, aislando los establecimientos cuyo residuo excediera dos desviaciones estándar. El procedimiento identificó 44 casos de sobredesempeño y 381 de subdesempeño, asimetría que constituye un hallazgo en sí mismo: resulta considerablemente más frecuente que el índice quede penalizado por factores no académicos a que resulte potenciado por ellos.</w:t>
      </w:r>
      <w:r w:rsidDel="00000000" w:rsidR="00000000" w:rsidRPr="00000000">
        <w:rPr>
          <w:rtl w:val="0"/>
        </w:rPr>
      </w:r>
    </w:p>
    <w:p w:rsidR="00000000" w:rsidDel="00000000" w:rsidP="00000000" w:rsidRDefault="00000000" w:rsidRPr="00000000" w14:paraId="00000086">
      <w:pPr>
        <w:spacing w:after="160" w:line="300" w:lineRule="auto"/>
        <w:jc w:val="both"/>
        <w:rPr/>
      </w:pPr>
      <w:r w:rsidDel="00000000" w:rsidR="00000000" w:rsidRPr="00000000">
        <w:rPr>
          <w:sz w:val="22"/>
          <w:szCs w:val="22"/>
          <w:rtl w:val="0"/>
        </w:rPr>
        <w:t xml:space="preserve">El análisis comparativo de los factores restantes en cada grupo mostró que el sobredesempeño se explica por valores elevados en Integración e Iniciativa —86,97 y 93,82 frente a 67,30 y 78,50 del resto—, correspondientes a establecimientos rurales pequeños con gestión participativa activa pese a bajo logro académico absoluto. El subdesempeño, en cambio, presentó valores de 14,78 y 19,93 en las mismas variables, con numerosos casos de valor exactamente cero.</w:t>
      </w: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tl w:val="0"/>
        </w:rPr>
        <w:t xml:space="preserve">5.5 El hallazgo de la ficha no respondida</w:t>
      </w:r>
    </w:p>
    <w:p w:rsidR="00000000" w:rsidDel="00000000" w:rsidP="00000000" w:rsidRDefault="00000000" w:rsidRPr="00000000" w14:paraId="00000088">
      <w:pPr>
        <w:spacing w:after="160" w:line="300" w:lineRule="auto"/>
        <w:jc w:val="both"/>
        <w:rPr/>
      </w:pPr>
      <w:r w:rsidDel="00000000" w:rsidR="00000000" w:rsidRPr="00000000">
        <w:rPr>
          <w:sz w:val="22"/>
          <w:szCs w:val="22"/>
          <w:rtl w:val="0"/>
        </w:rPr>
        <w:t xml:space="preserve">La presencia de ceros exactos en variables construidas a partir de cuestionarios de opción múltiple resultó sospechosa, dado que un instrumento de este tipo difícilmente produce el mínimo absoluto. Se formuló la hipótesis de que dichos ceros correspondieran a establecimientos que no completaron la Ficha SNED, instrumento de autorreporte que alimenta los factores de Iniciativa e Integración.</w:t>
      </w:r>
      <w:r w:rsidDel="00000000" w:rsidR="00000000" w:rsidRPr="00000000">
        <w:rPr>
          <w:rtl w:val="0"/>
        </w:rPr>
      </w:r>
    </w:p>
    <w:p w:rsidR="00000000" w:rsidDel="00000000" w:rsidP="00000000" w:rsidRDefault="00000000" w:rsidRPr="00000000" w14:paraId="00000089">
      <w:pPr>
        <w:spacing w:after="160" w:line="300" w:lineRule="auto"/>
        <w:jc w:val="both"/>
        <w:rPr/>
      </w:pPr>
      <w:r w:rsidDel="00000000" w:rsidR="00000000" w:rsidRPr="00000000">
        <w:rPr>
          <w:sz w:val="22"/>
          <w:szCs w:val="22"/>
          <w:rtl w:val="0"/>
        </w:rPr>
        <w:t xml:space="preserve">La verificación resultó concluyente. De los 172 establecimientos con valor cero en Integración, 168 presentaron simultáneamente valor cero en Iniciativa, una coincidencia del 97,7 % entre dos indicadores que miden dimensiones conceptualmente distintas. Tal correlación estructural solo se explica por un origen común en el mismo instrumento.</w:t>
      </w:r>
      <w:r w:rsidDel="00000000" w:rsidR="00000000" w:rsidRPr="00000000">
        <w:rPr>
          <w:rtl w:val="0"/>
        </w:rPr>
      </w:r>
    </w:p>
    <w:p w:rsidR="00000000" w:rsidDel="00000000" w:rsidP="00000000" w:rsidRDefault="00000000" w:rsidRPr="00000000" w14:paraId="0000008A">
      <w:pPr>
        <w:spacing w:after="160" w:line="300" w:lineRule="auto"/>
        <w:jc w:val="both"/>
        <w:rPr/>
      </w:pPr>
      <w:r w:rsidDel="00000000" w:rsidR="00000000" w:rsidRPr="00000000">
        <w:rPr>
          <w:sz w:val="22"/>
          <w:szCs w:val="22"/>
          <w:rtl w:val="0"/>
        </w:rPr>
        <w:t xml:space="preserve">La prueba decisiva provino del factor de Efectividad, que no depende de la ficha sino de las mediciones estandarizadas: su valor promedio en el grupo afectado fue de 37,07 frente a 40,16 en el resto, diferencia marginal respecto de la desviación de la variable. Los establecimientos afectados presentaban desempeño académico esencialmente normal. Sin embargo, su índice promedió 52,20 frente a 61,92 del resto, una penalización cercana a diez puntos —aproximadamente dos desviaciones estándar— originada en un trámite administrativo no completado y no en desempeño educativo deficiente.</w:t>
      </w:r>
      <w:r w:rsidDel="00000000" w:rsidR="00000000" w:rsidRPr="00000000">
        <w:rPr>
          <w:rtl w:val="0"/>
        </w:rPr>
      </w:r>
    </w:p>
    <w:p w:rsidR="00000000" w:rsidDel="00000000" w:rsidP="00000000" w:rsidRDefault="00000000" w:rsidRPr="00000000" w14:paraId="0000008B">
      <w:pPr>
        <w:spacing w:after="160" w:line="300" w:lineRule="auto"/>
        <w:jc w:val="both"/>
        <w:rPr/>
      </w:pPr>
      <w:r w:rsidDel="00000000" w:rsidR="00000000" w:rsidRPr="00000000">
        <w:rPr>
          <w:sz w:val="22"/>
          <w:szCs w:val="22"/>
          <w:rtl w:val="0"/>
        </w:rPr>
        <w:t xml:space="preserve">Se decidió excluir dichos casos del conjunto de entrenamiento, conservándolos en la tabla completa mediante una bandera de auditoría. La decisión se validó empíricamente: tras la exclusión, la correlación entre Efectividad e índice ascendió de 0,840 a 0,859 y la del promedio SIMCE de 0,732 a 0,748, mientras la desviación estándar del índice se contrajo de 5,27 a 5,11. El incremento simultáneo de la señal y la reducción del ruido confirman que se retiró varianza espuria y no información legítima.</w:t>
      </w:r>
      <w:r w:rsidDel="00000000" w:rsidR="00000000" w:rsidRPr="00000000">
        <w:rPr>
          <w:rtl w:val="0"/>
        </w:rPr>
      </w:r>
    </w:p>
    <w:p w:rsidR="00000000" w:rsidDel="00000000" w:rsidP="00000000" w:rsidRDefault="00000000" w:rsidRPr="00000000" w14:paraId="0000008C">
      <w:pPr>
        <w:pStyle w:val="Heading2"/>
        <w:spacing w:after="160" w:before="280" w:lineRule="auto"/>
        <w:rPr/>
      </w:pPr>
      <w:r w:rsidDel="00000000" w:rsidR="00000000" w:rsidRPr="00000000">
        <w:rPr>
          <w:rtl w:val="0"/>
        </w:rPr>
        <w:t xml:space="preserve">5.6 Depuración final</w:t>
      </w:r>
    </w:p>
    <w:p w:rsidR="00000000" w:rsidDel="00000000" w:rsidP="00000000" w:rsidRDefault="00000000" w:rsidRPr="00000000" w14:paraId="0000008D">
      <w:pPr>
        <w:spacing w:after="160" w:line="300" w:lineRule="auto"/>
        <w:jc w:val="both"/>
        <w:rPr/>
      </w:pPr>
      <w:r w:rsidDel="00000000" w:rsidR="00000000" w:rsidRPr="00000000">
        <w:rPr>
          <w:sz w:val="22"/>
          <w:szCs w:val="22"/>
          <w:rtl w:val="0"/>
        </w:rPr>
        <w:t xml:space="preserve">Un último control detectó ocho establecimientos con factores de Efectividad y Superación nulos tras el cruce. La totalidad correspondió a escuelas hospitalarias y de educación especial, categorías estructuralmente exentas de rendir las pruebas estandarizadas. Su exclusión completó la depuración, resultando un conjunto de 7.754 establecimientos.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600"/>
        <w:gridCol w:w="2560"/>
        <w:tblGridChange w:id="0">
          <w:tblGrid>
            <w:gridCol w:w="4200"/>
            <w:gridCol w:w="2600"/>
            <w:gridCol w:w="256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08E">
            <w:pPr>
              <w:spacing w:after="0" w:line="260" w:lineRule="auto"/>
              <w:jc w:val="left"/>
              <w:rPr/>
            </w:pPr>
            <w:r w:rsidDel="00000000" w:rsidR="00000000" w:rsidRPr="00000000">
              <w:rPr>
                <w:b w:val="1"/>
                <w:bCs w:val="1"/>
                <w:sz w:val="19"/>
                <w:szCs w:val="19"/>
                <w:rtl w:val="0"/>
              </w:rPr>
              <w:t xml:space="preserve">Etapa de depuración</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8F">
            <w:pPr>
              <w:spacing w:after="0" w:line="260" w:lineRule="auto"/>
              <w:jc w:val="left"/>
              <w:rPr/>
            </w:pPr>
            <w:r w:rsidDel="00000000" w:rsidR="00000000" w:rsidRPr="00000000">
              <w:rPr>
                <w:b w:val="1"/>
                <w:bCs w:val="1"/>
                <w:sz w:val="19"/>
                <w:szCs w:val="19"/>
                <w:rtl w:val="0"/>
              </w:rPr>
              <w:t xml:space="preserve">Establecimientos</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90">
            <w:pPr>
              <w:spacing w:after="0" w:line="260" w:lineRule="auto"/>
              <w:jc w:val="left"/>
              <w:rPr/>
            </w:pPr>
            <w:r w:rsidDel="00000000" w:rsidR="00000000" w:rsidRPr="00000000">
              <w:rPr>
                <w:b w:val="1"/>
                <w:bCs w:val="1"/>
                <w:sz w:val="19"/>
                <w:szCs w:val="19"/>
                <w:rtl w:val="0"/>
              </w:rPr>
              <w:t xml:space="preserve">Criterio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1">
            <w:pPr>
              <w:spacing w:after="0" w:line="260" w:lineRule="auto"/>
              <w:jc w:val="left"/>
              <w:rPr/>
            </w:pPr>
            <w:r w:rsidDel="00000000" w:rsidR="00000000" w:rsidRPr="00000000">
              <w:rPr>
                <w:b w:val="0"/>
                <w:bCs w:val="0"/>
                <w:sz w:val="19"/>
                <w:szCs w:val="19"/>
                <w:rtl w:val="0"/>
              </w:rPr>
              <w:t xml:space="preserve">Cruce inicial SIMCE y SNED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line="260" w:lineRule="auto"/>
              <w:jc w:val="right"/>
              <w:rPr/>
            </w:pPr>
            <w:r w:rsidDel="00000000" w:rsidR="00000000" w:rsidRPr="00000000">
              <w:rPr>
                <w:b w:val="0"/>
                <w:bCs w:val="0"/>
                <w:sz w:val="19"/>
                <w:szCs w:val="19"/>
                <w:rtl w:val="0"/>
              </w:rPr>
              <w:t xml:space="preserve">7.930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spacing w:after="0" w:line="260" w:lineRule="auto"/>
              <w:jc w:val="left"/>
              <w:rPr/>
            </w:pPr>
            <w:r w:rsidDel="00000000" w:rsidR="00000000" w:rsidRPr="00000000">
              <w:rPr>
                <w:b w:val="0"/>
                <w:bCs w:val="0"/>
                <w:sz w:val="19"/>
                <w:szCs w:val="19"/>
                <w:rtl w:val="0"/>
              </w:rPr>
              <w:t xml:space="preserve">Correspondencia por RBD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spacing w:after="0" w:line="260" w:lineRule="auto"/>
              <w:jc w:val="left"/>
              <w:rPr/>
            </w:pPr>
            <w:r w:rsidDel="00000000" w:rsidR="00000000" w:rsidRPr="00000000">
              <w:rPr>
                <w:b w:val="0"/>
                <w:bCs w:val="0"/>
                <w:sz w:val="19"/>
                <w:szCs w:val="19"/>
                <w:rtl w:val="0"/>
              </w:rPr>
              <w:t xml:space="preserve">Exclusión por ficha no respondida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spacing w:after="0" w:line="260" w:lineRule="auto"/>
              <w:jc w:val="right"/>
              <w:rPr/>
            </w:pPr>
            <w:r w:rsidDel="00000000" w:rsidR="00000000" w:rsidRPr="00000000">
              <w:rPr>
                <w:b w:val="0"/>
                <w:bCs w:val="0"/>
                <w:sz w:val="19"/>
                <w:szCs w:val="19"/>
                <w:rtl w:val="0"/>
              </w:rPr>
              <w:t xml:space="preserve">7.762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spacing w:after="0" w:line="260" w:lineRule="auto"/>
              <w:jc w:val="left"/>
              <w:rPr/>
            </w:pPr>
            <w:r w:rsidDel="00000000" w:rsidR="00000000" w:rsidRPr="00000000">
              <w:rPr>
                <w:b w:val="0"/>
                <w:bCs w:val="0"/>
                <w:sz w:val="19"/>
                <w:szCs w:val="19"/>
                <w:rtl w:val="0"/>
              </w:rPr>
              <w:t xml:space="preserve">Ceros simultáneos en Iniciativa e Integración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7">
            <w:pPr>
              <w:spacing w:after="0" w:line="260" w:lineRule="auto"/>
              <w:jc w:val="left"/>
              <w:rPr/>
            </w:pPr>
            <w:r w:rsidDel="00000000" w:rsidR="00000000" w:rsidRPr="00000000">
              <w:rPr>
                <w:b w:val="0"/>
                <w:bCs w:val="0"/>
                <w:sz w:val="19"/>
                <w:szCs w:val="19"/>
                <w:rtl w:val="0"/>
              </w:rPr>
              <w:t xml:space="preserve">Exclusión por ausencia de medición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260" w:lineRule="auto"/>
              <w:jc w:val="right"/>
              <w:rPr/>
            </w:pPr>
            <w:r w:rsidDel="00000000" w:rsidR="00000000" w:rsidRPr="00000000">
              <w:rPr>
                <w:b w:val="0"/>
                <w:bCs w:val="0"/>
                <w:sz w:val="19"/>
                <w:szCs w:val="19"/>
                <w:rtl w:val="0"/>
              </w:rPr>
              <w:t xml:space="preserve">7.754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spacing w:after="0" w:line="260" w:lineRule="auto"/>
              <w:jc w:val="left"/>
              <w:rPr/>
            </w:pPr>
            <w:r w:rsidDel="00000000" w:rsidR="00000000" w:rsidRPr="00000000">
              <w:rPr>
                <w:b w:val="0"/>
                <w:bCs w:val="0"/>
                <w:sz w:val="19"/>
                <w:szCs w:val="19"/>
                <w:rtl w:val="0"/>
              </w:rPr>
              <w:t xml:space="preserve">Escuelas hospitalarias y de educación especial</w:t>
            </w:r>
            <w:r w:rsidDel="00000000" w:rsidR="00000000" w:rsidRPr="00000000">
              <w:rPr>
                <w:rtl w:val="0"/>
              </w:rPr>
            </w:r>
          </w:p>
        </w:tc>
      </w:tr>
    </w:tbl>
    <w:p w:rsidR="00000000" w:rsidDel="00000000" w:rsidP="00000000" w:rsidRDefault="00000000" w:rsidRPr="00000000" w14:paraId="0000009A">
      <w:pPr>
        <w:spacing w:after="240" w:before="80" w:lineRule="auto"/>
        <w:rPr/>
      </w:pPr>
      <w:r w:rsidDel="00000000" w:rsidR="00000000" w:rsidRPr="00000000">
        <w:rPr>
          <w:i w:val="1"/>
          <w:iCs w:val="1"/>
          <w:sz w:val="18"/>
          <w:szCs w:val="18"/>
          <w:rtl w:val="0"/>
        </w:rPr>
        <w:t xml:space="preserve">Tabla 3. Trazabilidad de la depuración del conjunto analítico. Elaboración propia.</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200" w:before="360" w:lineRule="auto"/>
        <w:rPr/>
      </w:pPr>
      <w:r w:rsidDel="00000000" w:rsidR="00000000" w:rsidRPr="00000000">
        <w:rPr>
          <w:rtl w:val="0"/>
        </w:rPr>
        <w:t xml:space="preserve">6. Fase IV: Corrección arquitectónica de la unidad de análisis</w:t>
      </w:r>
    </w:p>
    <w:p w:rsidR="00000000" w:rsidDel="00000000" w:rsidP="00000000" w:rsidRDefault="00000000" w:rsidRPr="00000000" w14:paraId="0000009D">
      <w:pPr>
        <w:pStyle w:val="Heading2"/>
        <w:spacing w:after="160" w:before="280" w:lineRule="auto"/>
        <w:rPr/>
      </w:pPr>
      <w:r w:rsidDel="00000000" w:rsidR="00000000" w:rsidRPr="00000000">
        <w:rPr>
          <w:rtl w:val="0"/>
        </w:rPr>
        <w:t xml:space="preserve">6.1 Detección del defecto</w:t>
      </w:r>
    </w:p>
    <w:p w:rsidR="00000000" w:rsidDel="00000000" w:rsidP="00000000" w:rsidRDefault="00000000" w:rsidRPr="00000000" w14:paraId="0000009E">
      <w:pPr>
        <w:spacing w:after="160" w:line="300" w:lineRule="auto"/>
        <w:jc w:val="both"/>
        <w:rPr/>
      </w:pPr>
      <w:r w:rsidDel="00000000" w:rsidR="00000000" w:rsidRPr="00000000">
        <w:rPr>
          <w:sz w:val="22"/>
          <w:szCs w:val="22"/>
          <w:rtl w:val="0"/>
        </w:rPr>
        <w:t xml:space="preserve">La consolidación inicial adoptó como unidad de análisis el establecimiento, con una fila por institución cuyo índice correspondía al promedio de los tres ciclos congelados. Una verificación posterior reveló que esta representación contenía un defecto silencioso.</w:t>
      </w:r>
      <w:r w:rsidDel="00000000" w:rsidR="00000000" w:rsidRPr="00000000">
        <w:rPr>
          <w:rtl w:val="0"/>
        </w:rPr>
      </w:r>
    </w:p>
    <w:p w:rsidR="00000000" w:rsidDel="00000000" w:rsidP="00000000" w:rsidRDefault="00000000" w:rsidRPr="00000000" w14:paraId="0000009F">
      <w:pPr>
        <w:spacing w:after="160" w:line="300" w:lineRule="auto"/>
        <w:jc w:val="both"/>
        <w:rPr/>
      </w:pPr>
      <w:r w:rsidDel="00000000" w:rsidR="00000000" w:rsidRPr="00000000">
        <w:rPr>
          <w:sz w:val="22"/>
          <w:szCs w:val="22"/>
          <w:rtl w:val="0"/>
        </w:rPr>
        <w:t xml:space="preserve">Se comprobó que el grupo homogéneo asignado a un mismo establecimiento varía entre ciclos: de los 10.482 establecimientos presentes en los tres ciclos, 3.208 —el 30,6 %— cambiaron de agrupación al menos una vez. El examen de los códigos mostró que los desplazamientos son de una unidad entre agrupaciones contiguas, lo que revela una estructura ordinal en la codificación y resulta coherente con el recálculo anual del agrupamiento a partir del Registro Social de Hogares y el índice de vulnerabilidad.</w:t>
      </w:r>
      <w:r w:rsidDel="00000000" w:rsidR="00000000" w:rsidRPr="00000000">
        <w:rPr>
          <w:rtl w:val="0"/>
        </w:rPr>
      </w:r>
    </w:p>
    <w:p w:rsidR="00000000" w:rsidDel="00000000" w:rsidP="00000000" w:rsidRDefault="00000000" w:rsidRPr="00000000" w14:paraId="000000A0">
      <w:pPr>
        <w:spacing w:after="160" w:line="300" w:lineRule="auto"/>
        <w:jc w:val="both"/>
        <w:rPr/>
      </w:pPr>
      <w:r w:rsidDel="00000000" w:rsidR="00000000" w:rsidRPr="00000000">
        <w:rPr>
          <w:sz w:val="22"/>
          <w:szCs w:val="22"/>
          <w:rtl w:val="0"/>
        </w:rPr>
        <w:t xml:space="preserve">La consecuencia es que la representación original atribuía a un índice promediado sobre tres ciclos un único código de agrupación, correspondiente a uno solo de ellos. Para casi un tercio de los establecimientos, dicha atribución era incorrecta en al menos un ciclo. Dado que la selección del beneficio se resuelve mediante ordenamiento dentro del grupo, el defecto afectaba precisamente a la variable que determina el resultado.</w:t>
      </w:r>
      <w:r w:rsidDel="00000000" w:rsidR="00000000" w:rsidRPr="00000000">
        <w:rPr>
          <w:rtl w:val="0"/>
        </w:rPr>
      </w:r>
    </w:p>
    <w:p w:rsidR="00000000" w:rsidDel="00000000" w:rsidP="00000000" w:rsidRDefault="00000000" w:rsidRPr="00000000" w14:paraId="000000A1">
      <w:pPr>
        <w:pStyle w:val="Heading2"/>
        <w:spacing w:after="160" w:before="280" w:lineRule="auto"/>
        <w:rPr/>
      </w:pPr>
      <w:r w:rsidDel="00000000" w:rsidR="00000000" w:rsidRPr="00000000">
        <w:rPr>
          <w:rtl w:val="0"/>
        </w:rPr>
        <w:t xml:space="preserve">6.2 Reconstrucción en formato largo</w:t>
      </w:r>
    </w:p>
    <w:p w:rsidR="00000000" w:rsidDel="00000000" w:rsidP="00000000" w:rsidRDefault="00000000" w:rsidRPr="00000000" w14:paraId="000000A2">
      <w:pPr>
        <w:spacing w:after="160" w:line="300" w:lineRule="auto"/>
        <w:jc w:val="both"/>
        <w:rPr/>
      </w:pPr>
      <w:r w:rsidDel="00000000" w:rsidR="00000000" w:rsidRPr="00000000">
        <w:rPr>
          <w:sz w:val="22"/>
          <w:szCs w:val="22"/>
          <w:rtl w:val="0"/>
        </w:rPr>
        <w:t xml:space="preserve">La corrección consistió en redefinir la unidad de análisis como el par establecimiento-ciclo. Cada institución se expande a tantas filas como ciclos registre, portando cada fila el grupo homogéneo, el índice y el tramo de selección correspondientes a ese ciclo específico, mientras las variables predictoras estables se replican.</w:t>
      </w:r>
      <w:r w:rsidDel="00000000" w:rsidR="00000000" w:rsidRPr="00000000">
        <w:rPr>
          <w:rtl w:val="0"/>
        </w:rPr>
      </w:r>
    </w:p>
    <w:p w:rsidR="00000000" w:rsidDel="00000000" w:rsidP="00000000" w:rsidRDefault="00000000" w:rsidRPr="00000000" w14:paraId="000000A3">
      <w:pPr>
        <w:spacing w:after="160" w:line="300" w:lineRule="auto"/>
        <w:jc w:val="both"/>
        <w:rPr/>
      </w:pPr>
      <w:r w:rsidDel="00000000" w:rsidR="00000000" w:rsidRPr="00000000">
        <w:rPr>
          <w:sz w:val="22"/>
          <w:szCs w:val="22"/>
          <w:rtl w:val="0"/>
        </w:rPr>
        <w:t xml:space="preserve">El resultado fue un conjunto de 23.111 observaciones sobre 7.754 establecimientos únicos. La verificación posterior arrojó un 35,1 % de establecimientos con agrupación variable, cifra superior a la detectada inicialmente porque la nueva representación captura la variabilidad completa en lugar de colapsarla.</w:t>
      </w:r>
      <w:r w:rsidDel="00000000" w:rsidR="00000000" w:rsidRPr="00000000">
        <w:rPr>
          <w:rtl w:val="0"/>
        </w:rPr>
      </w:r>
    </w:p>
    <w:p w:rsidR="00000000" w:rsidDel="00000000" w:rsidP="00000000" w:rsidRDefault="00000000" w:rsidRPr="00000000" w14:paraId="000000A4">
      <w:pPr>
        <w:spacing w:after="160" w:line="300" w:lineRule="auto"/>
        <w:jc w:val="both"/>
        <w:rPr/>
      </w:pPr>
      <w:r w:rsidDel="00000000" w:rsidR="00000000" w:rsidRPr="00000000">
        <w:rPr>
          <w:sz w:val="22"/>
          <w:szCs w:val="22"/>
          <w:rtl w:val="0"/>
        </w:rPr>
        <w:t xml:space="preserve">La corrección produjo tres beneficios simultáneos. Eliminó el defecto de atribución; triplicó el número de observaciones, lo que resultó determinante para la viabilidad de la arquitectura de red neuronal; y permitió que el modelo aprenda que un mismo establecimiento con idénticas características puede obtener resultados distintos según la agrupación en que compita, mecánica que el simulador debe reflejar.</w:t>
      </w:r>
      <w:r w:rsidDel="00000000" w:rsidR="00000000" w:rsidRPr="00000000">
        <w:rPr>
          <w:rtl w:val="0"/>
        </w:rPr>
      </w:r>
    </w:p>
    <w:p w:rsidR="00000000" w:rsidDel="00000000" w:rsidP="00000000" w:rsidRDefault="00000000" w:rsidRPr="00000000" w14:paraId="000000A5">
      <w:pPr>
        <w:spacing w:after="160" w:line="300" w:lineRule="auto"/>
        <w:jc w:val="both"/>
        <w:rPr/>
      </w:pPr>
      <w:r w:rsidDel="00000000" w:rsidR="00000000" w:rsidRPr="00000000">
        <w:rPr>
          <w:sz w:val="22"/>
          <w:szCs w:val="22"/>
          <w:rtl w:val="0"/>
        </w:rPr>
        <w:t xml:space="preserve">La expansión introduce, no obstante, dependencia entre observaciones: las tres filas de un establecimiento comparten las variables predictoras. Su tratamiento se aborda mediante validación cruzada agrupada, según se documenta en la sección 7.3.</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00" w:before="360" w:lineRule="auto"/>
        <w:rPr/>
      </w:pPr>
      <w:r w:rsidDel="00000000" w:rsidR="00000000" w:rsidRPr="00000000">
        <w:rPr>
          <w:rtl w:val="0"/>
        </w:rPr>
        <w:t xml:space="preserve">7. Fase V: Modelamiento desagregado por factor</w:t>
      </w:r>
    </w:p>
    <w:p w:rsidR="00000000" w:rsidDel="00000000" w:rsidP="00000000" w:rsidRDefault="00000000" w:rsidRPr="00000000" w14:paraId="000000A8">
      <w:pPr>
        <w:pStyle w:val="Heading2"/>
        <w:spacing w:after="160" w:before="280" w:lineRule="auto"/>
        <w:rPr/>
      </w:pPr>
      <w:r w:rsidDel="00000000" w:rsidR="00000000" w:rsidRPr="00000000">
        <w:rPr>
          <w:rtl w:val="0"/>
        </w:rPr>
        <w:t xml:space="preserve">7.1 Fundamento del diseño desagregado</w:t>
      </w:r>
    </w:p>
    <w:p w:rsidR="00000000" w:rsidDel="00000000" w:rsidP="00000000" w:rsidRDefault="00000000" w:rsidRPr="00000000" w14:paraId="000000A9">
      <w:pPr>
        <w:spacing w:after="160" w:line="300" w:lineRule="auto"/>
        <w:jc w:val="both"/>
        <w:rPr/>
      </w:pPr>
      <w:r w:rsidDel="00000000" w:rsidR="00000000" w:rsidRPr="00000000">
        <w:rPr>
          <w:sz w:val="22"/>
          <w:szCs w:val="22"/>
          <w:rtl w:val="0"/>
        </w:rPr>
        <w:t xml:space="preserve">El requerimiento funcional del simulador determina la arquitectura del modelo. El usuario final no requiere únicamente una estimación del índice, sino comprender qué variable de su gestión afecta a qué factor y en qué magnitud. Un modelo único que consumiera todas las variables produciría una estimación más precisa pero opaca respecto de esa cadena causal.</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sz w:val="22"/>
          <w:szCs w:val="22"/>
          <w:rtl w:val="0"/>
        </w:rPr>
        <w:t xml:space="preserve">Se optó por entrenar seis modelos de regresión independientes, uno por factor, restringiendo cada uno a las variables que la normativa oficial declara como su insumo. El índice se reconstruye posteriormente mediante la fórmula legal, cuyas ponderaciones son conocidas y no requieren estimación. Esta arquitectura preserva la trazabilidad completa desde la variable manipulada hasta el resultado final.</w:t>
      </w:r>
      <w:r w:rsidDel="00000000" w:rsidR="00000000" w:rsidRPr="00000000">
        <w:rPr>
          <w:rtl w:val="0"/>
        </w:rPr>
      </w:r>
    </w:p>
    <w:p w:rsidR="00000000" w:rsidDel="00000000" w:rsidP="00000000" w:rsidRDefault="00000000" w:rsidRPr="00000000" w14:paraId="000000AB">
      <w:pPr>
        <w:spacing w:after="160" w:line="300" w:lineRule="auto"/>
        <w:jc w:val="both"/>
        <w:rPr/>
      </w:pPr>
      <w:r w:rsidDel="00000000" w:rsidR="00000000" w:rsidRPr="00000000">
        <w:rPr>
          <w:sz w:val="22"/>
          <w:szCs w:val="22"/>
          <w:rtl w:val="0"/>
        </w:rPr>
        <w:t xml:space="preserve">Se descartaron explícitamente dos alternativas. El regresor de salidas múltiples resulta inaplicable porque presupone un conjunto común de variables predictoras para todos los objetivos, condición que este diseño rechaza deliberadamente. El apilamiento de modelos, que Géron (2019, cap. 7, p. 210) presenta como técnica de combinación, carecería de propósito: su función es aprender la combinación óptima de predictores, y en este problema dicha combinación está fijada por norma legal.</w:t>
      </w:r>
      <w:r w:rsidDel="00000000" w:rsidR="00000000" w:rsidRPr="00000000">
        <w:rPr>
          <w:rtl w:val="0"/>
        </w:rPr>
      </w:r>
    </w:p>
    <w:p w:rsidR="00000000" w:rsidDel="00000000" w:rsidP="00000000" w:rsidRDefault="00000000" w:rsidRPr="00000000" w14:paraId="000000AC">
      <w:pPr>
        <w:pStyle w:val="Heading2"/>
        <w:spacing w:after="160" w:before="280" w:lineRule="auto"/>
        <w:rPr/>
      </w:pPr>
      <w:r w:rsidDel="00000000" w:rsidR="00000000" w:rsidRPr="00000000">
        <w:rPr>
          <w:rtl w:val="0"/>
        </w:rPr>
        <w:t xml:space="preserve">7.2 Mapeo entre variables y factores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6660"/>
        <w:tblGridChange w:id="0">
          <w:tblGrid>
            <w:gridCol w:w="1800"/>
            <w:gridCol w:w="900"/>
            <w:gridCol w:w="666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0AD">
            <w:pPr>
              <w:spacing w:after="0" w:line="260" w:lineRule="auto"/>
              <w:jc w:val="left"/>
              <w:rPr/>
            </w:pPr>
            <w:r w:rsidDel="00000000" w:rsidR="00000000" w:rsidRPr="00000000">
              <w:rPr>
                <w:b w:val="1"/>
                <w:bCs w:val="1"/>
                <w:sz w:val="19"/>
                <w:szCs w:val="19"/>
                <w:rtl w:val="0"/>
              </w:rPr>
              <w:t xml:space="preserve">Factor</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AE">
            <w:pPr>
              <w:spacing w:after="0" w:line="260" w:lineRule="auto"/>
              <w:jc w:val="left"/>
              <w:rPr/>
            </w:pPr>
            <w:r w:rsidDel="00000000" w:rsidR="00000000" w:rsidRPr="00000000">
              <w:rPr>
                <w:b w:val="1"/>
                <w:bCs w:val="1"/>
                <w:sz w:val="19"/>
                <w:szCs w:val="19"/>
                <w:rtl w:val="0"/>
              </w:rPr>
              <w:t xml:space="preserve">Peso</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AF">
            <w:pPr>
              <w:spacing w:after="0" w:line="260" w:lineRule="auto"/>
              <w:jc w:val="left"/>
              <w:rPr/>
            </w:pPr>
            <w:r w:rsidDel="00000000" w:rsidR="00000000" w:rsidRPr="00000000">
              <w:rPr>
                <w:b w:val="1"/>
                <w:bCs w:val="1"/>
                <w:sz w:val="19"/>
                <w:szCs w:val="19"/>
                <w:rtl w:val="0"/>
              </w:rPr>
              <w:t xml:space="preserve">Variables predictoras asignadas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spacing w:after="0" w:line="260" w:lineRule="auto"/>
              <w:jc w:val="left"/>
              <w:rPr/>
            </w:pPr>
            <w:r w:rsidDel="00000000" w:rsidR="00000000" w:rsidRPr="00000000">
              <w:rPr>
                <w:b w:val="0"/>
                <w:bCs w:val="0"/>
                <w:sz w:val="19"/>
                <w:szCs w:val="19"/>
                <w:rtl w:val="0"/>
              </w:rPr>
              <w:t xml:space="preserve">Efectividad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spacing w:after="0" w:line="260" w:lineRule="auto"/>
              <w:jc w:val="right"/>
              <w:rPr/>
            </w:pPr>
            <w:r w:rsidDel="00000000" w:rsidR="00000000" w:rsidRPr="00000000">
              <w:rPr>
                <w:b w:val="0"/>
                <w:bCs w:val="0"/>
                <w:sz w:val="19"/>
                <w:szCs w:val="19"/>
                <w:rtl w:val="0"/>
              </w:rPr>
              <w:t xml:space="preserve">37 %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0" w:line="260" w:lineRule="auto"/>
              <w:jc w:val="left"/>
              <w:rPr/>
            </w:pPr>
            <w:r w:rsidDel="00000000" w:rsidR="00000000" w:rsidRPr="00000000">
              <w:rPr>
                <w:b w:val="0"/>
                <w:bCs w:val="0"/>
                <w:sz w:val="19"/>
                <w:szCs w:val="19"/>
                <w:rtl w:val="0"/>
              </w:rPr>
              <w:t xml:space="preserve">Ocho mediciones SIMCE por nivel y asignatura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spacing w:after="0" w:line="260" w:lineRule="auto"/>
              <w:jc w:val="left"/>
              <w:rPr/>
            </w:pPr>
            <w:r w:rsidDel="00000000" w:rsidR="00000000" w:rsidRPr="00000000">
              <w:rPr>
                <w:b w:val="0"/>
                <w:bCs w:val="0"/>
                <w:sz w:val="19"/>
                <w:szCs w:val="19"/>
                <w:rtl w:val="0"/>
              </w:rPr>
              <w:t xml:space="preserve">Superación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line="260" w:lineRule="auto"/>
              <w:jc w:val="right"/>
              <w:rPr/>
            </w:pPr>
            <w:r w:rsidDel="00000000" w:rsidR="00000000" w:rsidRPr="00000000">
              <w:rPr>
                <w:b w:val="0"/>
                <w:bCs w:val="0"/>
                <w:sz w:val="19"/>
                <w:szCs w:val="19"/>
                <w:rtl w:val="0"/>
              </w:rPr>
              <w:t xml:space="preserve">28 %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spacing w:after="0" w:line="260" w:lineRule="auto"/>
              <w:jc w:val="left"/>
              <w:rPr/>
            </w:pPr>
            <w:r w:rsidDel="00000000" w:rsidR="00000000" w:rsidRPr="00000000">
              <w:rPr>
                <w:b w:val="0"/>
                <w:bCs w:val="0"/>
                <w:sz w:val="19"/>
                <w:szCs w:val="19"/>
                <w:rtl w:val="0"/>
              </w:rPr>
              <w:t xml:space="preserve">Ocho diferencias SIMCE entre bienios más los niveles actuales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6">
            <w:pPr>
              <w:spacing w:after="0" w:line="260" w:lineRule="auto"/>
              <w:jc w:val="left"/>
              <w:rPr/>
            </w:pPr>
            <w:r w:rsidDel="00000000" w:rsidR="00000000" w:rsidRPr="00000000">
              <w:rPr>
                <w:b w:val="0"/>
                <w:bCs w:val="0"/>
                <w:sz w:val="19"/>
                <w:szCs w:val="19"/>
                <w:rtl w:val="0"/>
              </w:rPr>
              <w:t xml:space="preserve">Igualdad de Oportunidades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spacing w:after="0" w:line="260" w:lineRule="auto"/>
              <w:jc w:val="right"/>
              <w:rPr/>
            </w:pPr>
            <w:r w:rsidDel="00000000" w:rsidR="00000000" w:rsidRPr="00000000">
              <w:rPr>
                <w:b w:val="0"/>
                <w:bCs w:val="0"/>
                <w:sz w:val="19"/>
                <w:szCs w:val="19"/>
                <w:rtl w:val="0"/>
              </w:rPr>
              <w:t xml:space="preserve">22 %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line="260" w:lineRule="auto"/>
              <w:jc w:val="left"/>
              <w:rPr/>
            </w:pPr>
            <w:r w:rsidDel="00000000" w:rsidR="00000000" w:rsidRPr="00000000">
              <w:rPr>
                <w:b w:val="0"/>
                <w:bCs w:val="0"/>
                <w:sz w:val="19"/>
                <w:szCs w:val="19"/>
                <w:rtl w:val="0"/>
              </w:rPr>
              <w:t xml:space="preserve">Tasas de aprobación, reprobación y retiro; procesos sancionatorios; matrícula; vulnerabilidad; índice IVE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9">
            <w:pPr>
              <w:spacing w:after="0" w:line="260" w:lineRule="auto"/>
              <w:jc w:val="left"/>
              <w:rPr/>
            </w:pPr>
            <w:r w:rsidDel="00000000" w:rsidR="00000000" w:rsidRPr="00000000">
              <w:rPr>
                <w:b w:val="0"/>
                <w:bCs w:val="0"/>
                <w:sz w:val="19"/>
                <w:szCs w:val="19"/>
                <w:rtl w:val="0"/>
              </w:rPr>
              <w:t xml:space="preserve">Iniciativa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260" w:lineRule="auto"/>
              <w:jc w:val="right"/>
              <w:rPr/>
            </w:pPr>
            <w:r w:rsidDel="00000000" w:rsidR="00000000" w:rsidRPr="00000000">
              <w:rPr>
                <w:b w:val="0"/>
                <w:bCs w:val="0"/>
                <w:sz w:val="19"/>
                <w:szCs w:val="19"/>
                <w:rtl w:val="0"/>
              </w:rPr>
              <w:t xml:space="preserve">6 %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spacing w:after="0" w:line="260" w:lineRule="auto"/>
              <w:jc w:val="left"/>
              <w:rPr/>
            </w:pPr>
            <w:r w:rsidDel="00000000" w:rsidR="00000000" w:rsidRPr="00000000">
              <w:rPr>
                <w:b w:val="0"/>
                <w:bCs w:val="0"/>
                <w:sz w:val="19"/>
                <w:szCs w:val="19"/>
                <w:rtl w:val="0"/>
              </w:rPr>
              <w:t xml:space="preserve">Dotación docente y directiva; asistentes; indicadores de desarrollo personal y social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spacing w:after="0" w:line="260" w:lineRule="auto"/>
              <w:jc w:val="left"/>
              <w:rPr/>
            </w:pPr>
            <w:r w:rsidDel="00000000" w:rsidR="00000000" w:rsidRPr="00000000">
              <w:rPr>
                <w:b w:val="0"/>
                <w:bCs w:val="0"/>
                <w:sz w:val="19"/>
                <w:szCs w:val="19"/>
                <w:rtl w:val="0"/>
              </w:rPr>
              <w:t xml:space="preserve">Integración y Participación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spacing w:after="0" w:line="260" w:lineRule="auto"/>
              <w:jc w:val="right"/>
              <w:rPr/>
            </w:pPr>
            <w:r w:rsidDel="00000000" w:rsidR="00000000" w:rsidRPr="00000000">
              <w:rPr>
                <w:b w:val="0"/>
                <w:bCs w:val="0"/>
                <w:sz w:val="19"/>
                <w:szCs w:val="19"/>
                <w:rtl w:val="0"/>
              </w:rPr>
              <w:t xml:space="preserve">5 %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spacing w:after="0" w:line="260" w:lineRule="auto"/>
              <w:jc w:val="left"/>
              <w:rPr/>
            </w:pPr>
            <w:r w:rsidDel="00000000" w:rsidR="00000000" w:rsidRPr="00000000">
              <w:rPr>
                <w:b w:val="0"/>
                <w:bCs w:val="0"/>
                <w:sz w:val="19"/>
                <w:szCs w:val="19"/>
                <w:rtl w:val="0"/>
              </w:rPr>
              <w:t xml:space="preserve">Indicadores de convivencia y participación ciudadana; asistentes; denuncias; mediaciones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F">
            <w:pPr>
              <w:spacing w:after="0" w:line="260" w:lineRule="auto"/>
              <w:jc w:val="left"/>
              <w:rPr/>
            </w:pPr>
            <w:r w:rsidDel="00000000" w:rsidR="00000000" w:rsidRPr="00000000">
              <w:rPr>
                <w:b w:val="0"/>
                <w:bCs w:val="0"/>
                <w:sz w:val="19"/>
                <w:szCs w:val="19"/>
                <w:rtl w:val="0"/>
              </w:rPr>
              <w:t xml:space="preserve">Mejoramiento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spacing w:after="0" w:line="260" w:lineRule="auto"/>
              <w:jc w:val="right"/>
              <w:rPr/>
            </w:pPr>
            <w:r w:rsidDel="00000000" w:rsidR="00000000" w:rsidRPr="00000000">
              <w:rPr>
                <w:b w:val="0"/>
                <w:bCs w:val="0"/>
                <w:sz w:val="19"/>
                <w:szCs w:val="19"/>
                <w:rtl w:val="0"/>
              </w:rPr>
              <w:t xml:space="preserve">2 %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line="260" w:lineRule="auto"/>
              <w:jc w:val="left"/>
              <w:rPr/>
            </w:pPr>
            <w:r w:rsidDel="00000000" w:rsidR="00000000" w:rsidRPr="00000000">
              <w:rPr>
                <w:b w:val="0"/>
                <w:bCs w:val="0"/>
                <w:sz w:val="19"/>
                <w:szCs w:val="19"/>
                <w:rtl w:val="0"/>
              </w:rPr>
              <w:t xml:space="preserve">Procesos administrativos totales, con sanción y con multa; denuncias derivadas</w:t>
            </w:r>
            <w:r w:rsidDel="00000000" w:rsidR="00000000" w:rsidRPr="00000000">
              <w:rPr>
                <w:rtl w:val="0"/>
              </w:rPr>
            </w:r>
          </w:p>
        </w:tc>
      </w:tr>
    </w:tbl>
    <w:p w:rsidR="00000000" w:rsidDel="00000000" w:rsidP="00000000" w:rsidRDefault="00000000" w:rsidRPr="00000000" w14:paraId="000000C2">
      <w:pPr>
        <w:spacing w:after="240" w:before="80" w:lineRule="auto"/>
        <w:rPr/>
      </w:pPr>
      <w:r w:rsidDel="00000000" w:rsidR="00000000" w:rsidRPr="00000000">
        <w:rPr>
          <w:i w:val="1"/>
          <w:iCs w:val="1"/>
          <w:sz w:val="18"/>
          <w:szCs w:val="18"/>
          <w:rtl w:val="0"/>
        </w:rPr>
        <w:t xml:space="preserve">Tabla 4. Asignación de variables predictoras por factor según la normativa oficial. Elaboración propia.</w:t>
      </w:r>
      <w:r w:rsidDel="00000000" w:rsidR="00000000" w:rsidRPr="00000000">
        <w:rPr>
          <w:rtl w:val="0"/>
        </w:rPr>
      </w:r>
    </w:p>
    <w:p w:rsidR="00000000" w:rsidDel="00000000" w:rsidP="00000000" w:rsidRDefault="00000000" w:rsidRPr="00000000" w14:paraId="000000C3">
      <w:pPr>
        <w:pStyle w:val="Heading2"/>
        <w:spacing w:after="160" w:before="280" w:lineRule="auto"/>
        <w:rPr/>
      </w:pPr>
      <w:r w:rsidDel="00000000" w:rsidR="00000000" w:rsidRPr="00000000">
        <w:rPr>
          <w:rtl w:val="0"/>
        </w:rPr>
        <w:t xml:space="preserve">7.3 Protocolo de validación y optimización</w:t>
      </w:r>
    </w:p>
    <w:p w:rsidR="00000000" w:rsidDel="00000000" w:rsidP="00000000" w:rsidRDefault="00000000" w:rsidRPr="00000000" w14:paraId="000000C4">
      <w:pPr>
        <w:spacing w:after="160" w:line="300" w:lineRule="auto"/>
        <w:jc w:val="both"/>
        <w:rPr/>
      </w:pPr>
      <w:r w:rsidDel="00000000" w:rsidR="00000000" w:rsidRPr="00000000">
        <w:rPr>
          <w:sz w:val="22"/>
          <w:szCs w:val="22"/>
          <w:rtl w:val="0"/>
        </w:rPr>
        <w:t xml:space="preserve">La dependencia entre observaciones del mismo establecimiento invalida la partición aleatoria por fila: un esquema de este tipo colocaría registros de una misma institución simultáneamente en entrenamiento y validación, permitiendo al modelo memorizar establecimientos concretos en lugar de aprender relaciones generalizables. Se adoptó validación cruzada agrupada de cinco particiones, con el identificador de establecimiento como criterio de agrupación, garantizando que la totalidad de los registros de una institución permanezca en una única partición.</w:t>
      </w:r>
      <w:r w:rsidDel="00000000" w:rsidR="00000000" w:rsidRPr="00000000">
        <w:rPr>
          <w:rtl w:val="0"/>
        </w:rPr>
      </w:r>
    </w:p>
    <w:p w:rsidR="00000000" w:rsidDel="00000000" w:rsidP="00000000" w:rsidRDefault="00000000" w:rsidRPr="00000000" w14:paraId="000000C5">
      <w:pPr>
        <w:spacing w:after="160" w:line="300" w:lineRule="auto"/>
        <w:jc w:val="both"/>
        <w:rPr/>
      </w:pPr>
      <w:r w:rsidDel="00000000" w:rsidR="00000000" w:rsidRPr="00000000">
        <w:rPr>
          <w:sz w:val="22"/>
          <w:szCs w:val="22"/>
          <w:rtl w:val="0"/>
        </w:rPr>
        <w:t xml:space="preserve">Por la misma razón se descartó la evaluación fuera de bolsa que Géron (2019, cap. 7, p. 197) describe como alternativa eficiente a la validación cruzada en modelos de agregación bootstrap: el muestreo con reemplazo opera por fila y rompería la agrupación requerida.</w:t>
      </w:r>
      <w:r w:rsidDel="00000000" w:rsidR="00000000" w:rsidRPr="00000000">
        <w:rPr>
          <w:rtl w:val="0"/>
        </w:rPr>
      </w:r>
    </w:p>
    <w:p w:rsidR="00000000" w:rsidDel="00000000" w:rsidP="00000000" w:rsidRDefault="00000000" w:rsidRPr="00000000" w14:paraId="000000C6">
      <w:pPr>
        <w:spacing w:after="160" w:line="300" w:lineRule="auto"/>
        <w:jc w:val="both"/>
        <w:rPr/>
      </w:pPr>
      <w:r w:rsidDel="00000000" w:rsidR="00000000" w:rsidRPr="00000000">
        <w:rPr>
          <w:sz w:val="22"/>
          <w:szCs w:val="22"/>
          <w:rtl w:val="0"/>
        </w:rPr>
        <w:t xml:space="preserve">La optimización de hiperparámetros se realizó mediante búsqueda aleatoria con veinticinco configuraciones por factor. Géron (2019, cap. 2) fundamenta la superioridad de este procedimiento sobre la búsqueda exhaustiva en rejilla: con un presupuesto fijo de evaluaciones, la búsqueda aleatoria explora tantos valores distintos de cada hiperparámetro como iteraciones se ejecuten, mientras la rejilla se restringe a los pocos valores predefinidos manualmente.</w:t>
      </w:r>
      <w:r w:rsidDel="00000000" w:rsidR="00000000" w:rsidRPr="00000000">
        <w:rPr>
          <w:rtl w:val="0"/>
        </w:rPr>
      </w:r>
    </w:p>
    <w:p w:rsidR="00000000" w:rsidDel="00000000" w:rsidP="00000000" w:rsidRDefault="00000000" w:rsidRPr="00000000" w14:paraId="000000C7">
      <w:pPr>
        <w:spacing w:after="160" w:line="300" w:lineRule="auto"/>
        <w:jc w:val="both"/>
        <w:rPr/>
      </w:pPr>
      <w:r w:rsidDel="00000000" w:rsidR="00000000" w:rsidRPr="00000000">
        <w:rPr>
          <w:sz w:val="22"/>
          <w:szCs w:val="22"/>
          <w:rtl w:val="0"/>
        </w:rPr>
        <w:t xml:space="preserve">Las grillas de búsqueda se escalaron al volumen efectivo del conjunto de datos. Este punto exigió corrección explícita respecto de las recomendaciones obtenidas en una primera revisión bibliográfica asistida, que reproducía los valores de los ejemplos didácticos del capítulo 2 de la obra —del orden de decenas de estimadores—, inadecuados para un conjunto de veintitrés mil observaciones. Los rangos finalmente adoptados fueron de 300 a 800 estimadores, profundidad máxima entre 5 y 15 o sin límite, mínimo de muestras por hoja entre 10 y 40, y selección de características en las variantes raíz cuadrada, logaritmo base dos o cincuenta por ciento del total, conforme a las recomendaciones de regularización de árboles de Géron (2019, cap. 6, p. 184) y de bosques aleatorios (Géron, 2019, cap. 7, p. 199).</w:t>
      </w:r>
      <w:r w:rsidDel="00000000" w:rsidR="00000000" w:rsidRPr="00000000">
        <w:rPr>
          <w:rtl w:val="0"/>
        </w:rPr>
      </w:r>
    </w:p>
    <w:p w:rsidR="00000000" w:rsidDel="00000000" w:rsidP="00000000" w:rsidRDefault="00000000" w:rsidRPr="00000000" w14:paraId="000000C8">
      <w:pPr>
        <w:spacing w:after="160" w:line="300" w:lineRule="auto"/>
        <w:jc w:val="both"/>
        <w:rPr/>
      </w:pPr>
      <w:r w:rsidDel="00000000" w:rsidR="00000000" w:rsidRPr="00000000">
        <w:rPr>
          <w:sz w:val="22"/>
          <w:szCs w:val="22"/>
          <w:rtl w:val="0"/>
        </w:rPr>
        <w:t xml:space="preserve">El tratamiento de valores faltantes empleó imputación por mediana acompañada de variable indicadora binaria de ausencia. Esta estrategia responde a la naturaleza no aleatoria de los faltantes: la ausencia de un puntaje en un nivel determinado significa que el establecimiento no imparte ese nivel, información sustantiva que Géron (2019, cap. 2) advierte no debe tratarse mecánicamente como defecto a corregir. Las predicciones se acotaron por recorte posterior al rango válido del factor.</w:t>
      </w:r>
      <w:r w:rsidDel="00000000" w:rsidR="00000000" w:rsidRPr="00000000">
        <w:rPr>
          <w:rtl w:val="0"/>
        </w:rPr>
      </w:r>
    </w:p>
    <w:p w:rsidR="00000000" w:rsidDel="00000000" w:rsidP="00000000" w:rsidRDefault="00000000" w:rsidRPr="00000000" w14:paraId="000000C9">
      <w:pPr>
        <w:pStyle w:val="Heading2"/>
        <w:spacing w:after="160" w:before="280" w:lineRule="auto"/>
        <w:rPr/>
      </w:pPr>
      <w:r w:rsidDel="00000000" w:rsidR="00000000" w:rsidRPr="00000000">
        <w:rPr>
          <w:rtl w:val="0"/>
        </w:rPr>
        <w:t xml:space="preserve">7.4 Resultados del modelamiento por factor</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900"/>
        <w:gridCol w:w="900"/>
        <w:gridCol w:w="900"/>
        <w:gridCol w:w="3960"/>
        <w:tblGridChange w:id="0">
          <w:tblGrid>
            <w:gridCol w:w="1900"/>
            <w:gridCol w:w="800"/>
            <w:gridCol w:w="900"/>
            <w:gridCol w:w="900"/>
            <w:gridCol w:w="900"/>
            <w:gridCol w:w="396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0CA">
            <w:pPr>
              <w:spacing w:after="0" w:line="260" w:lineRule="auto"/>
              <w:jc w:val="left"/>
              <w:rPr/>
            </w:pPr>
            <w:r w:rsidDel="00000000" w:rsidR="00000000" w:rsidRPr="00000000">
              <w:rPr>
                <w:b w:val="1"/>
                <w:bCs w:val="1"/>
                <w:sz w:val="19"/>
                <w:szCs w:val="19"/>
                <w:rtl w:val="0"/>
              </w:rPr>
              <w:t xml:space="preserve">Factor</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CB">
            <w:pPr>
              <w:spacing w:after="0" w:line="260" w:lineRule="auto"/>
              <w:jc w:val="left"/>
              <w:rPr/>
            </w:pPr>
            <w:r w:rsidDel="00000000" w:rsidR="00000000" w:rsidRPr="00000000">
              <w:rPr>
                <w:b w:val="1"/>
                <w:bCs w:val="1"/>
                <w:sz w:val="19"/>
                <w:szCs w:val="19"/>
                <w:rtl w:val="0"/>
              </w:rPr>
              <w:t xml:space="preserve">Peso</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CC">
            <w:pPr>
              <w:spacing w:after="0" w:line="260" w:lineRule="auto"/>
              <w:jc w:val="left"/>
              <w:rPr/>
            </w:pPr>
            <w:r w:rsidDel="00000000" w:rsidR="00000000" w:rsidRPr="00000000">
              <w:rPr>
                <w:b w:val="1"/>
                <w:bCs w:val="1"/>
                <w:sz w:val="19"/>
                <w:szCs w:val="19"/>
                <w:rtl w:val="0"/>
              </w:rPr>
              <w:t xml:space="preserve">R²</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CD">
            <w:pPr>
              <w:spacing w:after="0" w:line="260" w:lineRule="auto"/>
              <w:jc w:val="left"/>
              <w:rPr/>
            </w:pPr>
            <w:r w:rsidDel="00000000" w:rsidR="00000000" w:rsidRPr="00000000">
              <w:rPr>
                <w:b w:val="1"/>
                <w:bCs w:val="1"/>
                <w:sz w:val="19"/>
                <w:szCs w:val="19"/>
                <w:rtl w:val="0"/>
              </w:rPr>
              <w:t xml:space="preserve">MAE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CE">
            <w:pPr>
              <w:spacing w:after="0" w:line="260" w:lineRule="auto"/>
              <w:jc w:val="left"/>
              <w:rPr/>
            </w:pPr>
            <w:r w:rsidDel="00000000" w:rsidR="00000000" w:rsidRPr="00000000">
              <w:rPr>
                <w:b w:val="1"/>
                <w:bCs w:val="1"/>
                <w:sz w:val="19"/>
                <w:szCs w:val="19"/>
                <w:rtl w:val="0"/>
              </w:rPr>
              <w:t xml:space="preserve">RMSE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CF">
            <w:pPr>
              <w:spacing w:after="0" w:line="260" w:lineRule="auto"/>
              <w:jc w:val="left"/>
              <w:rPr/>
            </w:pPr>
            <w:r w:rsidDel="00000000" w:rsidR="00000000" w:rsidRPr="00000000">
              <w:rPr>
                <w:b w:val="1"/>
                <w:bCs w:val="1"/>
                <w:sz w:val="19"/>
                <w:szCs w:val="19"/>
                <w:rtl w:val="0"/>
              </w:rPr>
              <w:t xml:space="preserve">Restricción identificada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0">
            <w:pPr>
              <w:spacing w:after="0" w:line="260" w:lineRule="auto"/>
              <w:jc w:val="left"/>
              <w:rPr/>
            </w:pPr>
            <w:r w:rsidDel="00000000" w:rsidR="00000000" w:rsidRPr="00000000">
              <w:rPr>
                <w:b w:val="0"/>
                <w:bCs w:val="0"/>
                <w:sz w:val="19"/>
                <w:szCs w:val="19"/>
                <w:rtl w:val="0"/>
              </w:rPr>
              <w:t xml:space="preserve">Efectividad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spacing w:after="0" w:line="260" w:lineRule="auto"/>
              <w:jc w:val="right"/>
              <w:rPr/>
            </w:pPr>
            <w:r w:rsidDel="00000000" w:rsidR="00000000" w:rsidRPr="00000000">
              <w:rPr>
                <w:b w:val="0"/>
                <w:bCs w:val="0"/>
                <w:sz w:val="19"/>
                <w:szCs w:val="19"/>
                <w:rtl w:val="0"/>
              </w:rPr>
              <w:t xml:space="preserve">0,37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2">
            <w:pPr>
              <w:spacing w:after="0" w:line="260" w:lineRule="auto"/>
              <w:jc w:val="right"/>
              <w:rPr/>
            </w:pPr>
            <w:r w:rsidDel="00000000" w:rsidR="00000000" w:rsidRPr="00000000">
              <w:rPr>
                <w:b w:val="0"/>
                <w:bCs w:val="0"/>
                <w:sz w:val="19"/>
                <w:szCs w:val="19"/>
                <w:rtl w:val="0"/>
              </w:rPr>
              <w:t xml:space="preserve">0,832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spacing w:after="0" w:line="260" w:lineRule="auto"/>
              <w:jc w:val="right"/>
              <w:rPr/>
            </w:pPr>
            <w:r w:rsidDel="00000000" w:rsidR="00000000" w:rsidRPr="00000000">
              <w:rPr>
                <w:b w:val="0"/>
                <w:bCs w:val="0"/>
                <w:sz w:val="19"/>
                <w:szCs w:val="19"/>
                <w:rtl w:val="0"/>
              </w:rPr>
              <w:t xml:space="preserve">2,50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spacing w:after="0" w:line="260" w:lineRule="auto"/>
              <w:jc w:val="right"/>
              <w:rPr/>
            </w:pPr>
            <w:r w:rsidDel="00000000" w:rsidR="00000000" w:rsidRPr="00000000">
              <w:rPr>
                <w:b w:val="0"/>
                <w:bCs w:val="0"/>
                <w:sz w:val="19"/>
                <w:szCs w:val="19"/>
                <w:rtl w:val="0"/>
              </w:rPr>
              <w:t xml:space="preserve">4,01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0" w:line="260" w:lineRule="auto"/>
              <w:jc w:val="left"/>
              <w:rPr/>
            </w:pPr>
            <w:r w:rsidDel="00000000" w:rsidR="00000000" w:rsidRPr="00000000">
              <w:rPr>
                <w:b w:val="0"/>
                <w:bCs w:val="0"/>
                <w:sz w:val="19"/>
                <w:szCs w:val="19"/>
                <w:rtl w:val="0"/>
              </w:rPr>
              <w:t xml:space="preserve">Ninguna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6">
            <w:pPr>
              <w:spacing w:after="0" w:line="260" w:lineRule="auto"/>
              <w:jc w:val="left"/>
              <w:rPr/>
            </w:pPr>
            <w:r w:rsidDel="00000000" w:rsidR="00000000" w:rsidRPr="00000000">
              <w:rPr>
                <w:b w:val="0"/>
                <w:bCs w:val="0"/>
                <w:sz w:val="19"/>
                <w:szCs w:val="19"/>
                <w:rtl w:val="0"/>
              </w:rPr>
              <w:t xml:space="preserve">Superación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260" w:lineRule="auto"/>
              <w:jc w:val="right"/>
              <w:rPr/>
            </w:pPr>
            <w:r w:rsidDel="00000000" w:rsidR="00000000" w:rsidRPr="00000000">
              <w:rPr>
                <w:b w:val="0"/>
                <w:bCs w:val="0"/>
                <w:sz w:val="19"/>
                <w:szCs w:val="19"/>
                <w:rtl w:val="0"/>
              </w:rPr>
              <w:t xml:space="preserve">0,28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line="260" w:lineRule="auto"/>
              <w:jc w:val="right"/>
              <w:rPr/>
            </w:pPr>
            <w:r w:rsidDel="00000000" w:rsidR="00000000" w:rsidRPr="00000000">
              <w:rPr>
                <w:b w:val="0"/>
                <w:bCs w:val="0"/>
                <w:sz w:val="19"/>
                <w:szCs w:val="19"/>
                <w:rtl w:val="0"/>
              </w:rPr>
              <w:t xml:space="preserve">0,200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spacing w:after="0" w:line="260" w:lineRule="auto"/>
              <w:jc w:val="right"/>
              <w:rPr/>
            </w:pPr>
            <w:r w:rsidDel="00000000" w:rsidR="00000000" w:rsidRPr="00000000">
              <w:rPr>
                <w:b w:val="0"/>
                <w:bCs w:val="0"/>
                <w:sz w:val="19"/>
                <w:szCs w:val="19"/>
                <w:rtl w:val="0"/>
              </w:rPr>
              <w:t xml:space="preserve">4,19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spacing w:after="0" w:line="260" w:lineRule="auto"/>
              <w:jc w:val="right"/>
              <w:rPr/>
            </w:pPr>
            <w:r w:rsidDel="00000000" w:rsidR="00000000" w:rsidRPr="00000000">
              <w:rPr>
                <w:b w:val="0"/>
                <w:bCs w:val="0"/>
                <w:sz w:val="19"/>
                <w:szCs w:val="19"/>
                <w:rtl w:val="0"/>
              </w:rPr>
              <w:t xml:space="preserve">5,45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B">
            <w:pPr>
              <w:spacing w:after="0" w:line="260" w:lineRule="auto"/>
              <w:jc w:val="left"/>
              <w:rPr/>
            </w:pPr>
            <w:r w:rsidDel="00000000" w:rsidR="00000000" w:rsidRPr="00000000">
              <w:rPr>
                <w:b w:val="0"/>
                <w:bCs w:val="0"/>
                <w:sz w:val="19"/>
                <w:szCs w:val="19"/>
                <w:rtl w:val="0"/>
              </w:rPr>
              <w:t xml:space="preserve">Corrección de significancia estadística no pública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C">
            <w:pPr>
              <w:spacing w:after="0" w:line="260" w:lineRule="auto"/>
              <w:jc w:val="left"/>
              <w:rPr/>
            </w:pPr>
            <w:r w:rsidDel="00000000" w:rsidR="00000000" w:rsidRPr="00000000">
              <w:rPr>
                <w:b w:val="0"/>
                <w:bCs w:val="0"/>
                <w:sz w:val="19"/>
                <w:szCs w:val="19"/>
                <w:rtl w:val="0"/>
              </w:rPr>
              <w:t xml:space="preserve">Igualdad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spacing w:after="0" w:line="260" w:lineRule="auto"/>
              <w:jc w:val="right"/>
              <w:rPr/>
            </w:pPr>
            <w:r w:rsidDel="00000000" w:rsidR="00000000" w:rsidRPr="00000000">
              <w:rPr>
                <w:b w:val="0"/>
                <w:bCs w:val="0"/>
                <w:sz w:val="19"/>
                <w:szCs w:val="19"/>
                <w:rtl w:val="0"/>
              </w:rPr>
              <w:t xml:space="preserve">0,22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line="260" w:lineRule="auto"/>
              <w:jc w:val="right"/>
              <w:rPr/>
            </w:pPr>
            <w:r w:rsidDel="00000000" w:rsidR="00000000" w:rsidRPr="00000000">
              <w:rPr>
                <w:b w:val="0"/>
                <w:bCs w:val="0"/>
                <w:sz w:val="19"/>
                <w:szCs w:val="19"/>
                <w:rtl w:val="0"/>
              </w:rPr>
              <w:t xml:space="preserve">0,128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260" w:lineRule="auto"/>
              <w:jc w:val="right"/>
              <w:rPr/>
            </w:pPr>
            <w:r w:rsidDel="00000000" w:rsidR="00000000" w:rsidRPr="00000000">
              <w:rPr>
                <w:b w:val="0"/>
                <w:bCs w:val="0"/>
                <w:sz w:val="19"/>
                <w:szCs w:val="19"/>
                <w:rtl w:val="0"/>
              </w:rPr>
              <w:t xml:space="preserve">3,98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260" w:lineRule="auto"/>
              <w:jc w:val="right"/>
              <w:rPr/>
            </w:pPr>
            <w:r w:rsidDel="00000000" w:rsidR="00000000" w:rsidRPr="00000000">
              <w:rPr>
                <w:b w:val="0"/>
                <w:bCs w:val="0"/>
                <w:sz w:val="19"/>
                <w:szCs w:val="19"/>
                <w:rtl w:val="0"/>
              </w:rPr>
              <w:t xml:space="preserve">5,69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spacing w:after="0" w:line="260" w:lineRule="auto"/>
              <w:jc w:val="left"/>
              <w:rPr/>
            </w:pPr>
            <w:r w:rsidDel="00000000" w:rsidR="00000000" w:rsidRPr="00000000">
              <w:rPr>
                <w:b w:val="0"/>
                <w:bCs w:val="0"/>
                <w:sz w:val="19"/>
                <w:szCs w:val="19"/>
                <w:rtl w:val="0"/>
              </w:rPr>
              <w:t xml:space="preserve">Subtipo de sanción por discriminación no desagregado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2">
            <w:pPr>
              <w:spacing w:after="0" w:line="260" w:lineRule="auto"/>
              <w:jc w:val="left"/>
              <w:rPr/>
            </w:pPr>
            <w:r w:rsidDel="00000000" w:rsidR="00000000" w:rsidRPr="00000000">
              <w:rPr>
                <w:b w:val="0"/>
                <w:bCs w:val="0"/>
                <w:sz w:val="19"/>
                <w:szCs w:val="19"/>
                <w:rtl w:val="0"/>
              </w:rPr>
              <w:t xml:space="preserve">Iniciativa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spacing w:after="0" w:line="260" w:lineRule="auto"/>
              <w:jc w:val="right"/>
              <w:rPr/>
            </w:pPr>
            <w:r w:rsidDel="00000000" w:rsidR="00000000" w:rsidRPr="00000000">
              <w:rPr>
                <w:b w:val="0"/>
                <w:bCs w:val="0"/>
                <w:sz w:val="19"/>
                <w:szCs w:val="19"/>
                <w:rtl w:val="0"/>
              </w:rPr>
              <w:t xml:space="preserve">0,06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spacing w:after="0" w:line="260" w:lineRule="auto"/>
              <w:jc w:val="right"/>
              <w:rPr/>
            </w:pPr>
            <w:r w:rsidDel="00000000" w:rsidR="00000000" w:rsidRPr="00000000">
              <w:rPr>
                <w:b w:val="0"/>
                <w:bCs w:val="0"/>
                <w:sz w:val="19"/>
                <w:szCs w:val="19"/>
                <w:rtl w:val="0"/>
              </w:rPr>
              <w:t xml:space="preserve">0,084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5">
            <w:pPr>
              <w:spacing w:after="0" w:line="260" w:lineRule="auto"/>
              <w:jc w:val="right"/>
              <w:rPr/>
            </w:pPr>
            <w:r w:rsidDel="00000000" w:rsidR="00000000" w:rsidRPr="00000000">
              <w:rPr>
                <w:b w:val="0"/>
                <w:bCs w:val="0"/>
                <w:sz w:val="19"/>
                <w:szCs w:val="19"/>
                <w:rtl w:val="0"/>
              </w:rPr>
              <w:t xml:space="preserve">14,95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spacing w:after="0" w:line="260" w:lineRule="auto"/>
              <w:jc w:val="right"/>
              <w:rPr/>
            </w:pPr>
            <w:r w:rsidDel="00000000" w:rsidR="00000000" w:rsidRPr="00000000">
              <w:rPr>
                <w:b w:val="0"/>
                <w:bCs w:val="0"/>
                <w:sz w:val="19"/>
                <w:szCs w:val="19"/>
                <w:rtl w:val="0"/>
              </w:rPr>
              <w:t xml:space="preserve">24,33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7">
            <w:pPr>
              <w:spacing w:after="0" w:line="260" w:lineRule="auto"/>
              <w:jc w:val="left"/>
              <w:rPr/>
            </w:pPr>
            <w:r w:rsidDel="00000000" w:rsidR="00000000" w:rsidRPr="00000000">
              <w:rPr>
                <w:b w:val="0"/>
                <w:bCs w:val="0"/>
                <w:sz w:val="19"/>
                <w:szCs w:val="19"/>
                <w:rtl w:val="0"/>
              </w:rPr>
              <w:t xml:space="preserve">Ficha SNED no pública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8">
            <w:pPr>
              <w:spacing w:after="0" w:line="260" w:lineRule="auto"/>
              <w:jc w:val="left"/>
              <w:rPr/>
            </w:pPr>
            <w:r w:rsidDel="00000000" w:rsidR="00000000" w:rsidRPr="00000000">
              <w:rPr>
                <w:b w:val="0"/>
                <w:bCs w:val="0"/>
                <w:sz w:val="19"/>
                <w:szCs w:val="19"/>
                <w:rtl w:val="0"/>
              </w:rPr>
              <w:t xml:space="preserve">Integración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spacing w:after="0" w:line="260" w:lineRule="auto"/>
              <w:jc w:val="right"/>
              <w:rPr/>
            </w:pPr>
            <w:r w:rsidDel="00000000" w:rsidR="00000000" w:rsidRPr="00000000">
              <w:rPr>
                <w:b w:val="0"/>
                <w:bCs w:val="0"/>
                <w:sz w:val="19"/>
                <w:szCs w:val="19"/>
                <w:rtl w:val="0"/>
              </w:rPr>
              <w:t xml:space="preserve">0,05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A">
            <w:pPr>
              <w:spacing w:after="0" w:line="260" w:lineRule="auto"/>
              <w:jc w:val="right"/>
              <w:rPr/>
            </w:pPr>
            <w:r w:rsidDel="00000000" w:rsidR="00000000" w:rsidRPr="00000000">
              <w:rPr>
                <w:b w:val="0"/>
                <w:bCs w:val="0"/>
                <w:sz w:val="19"/>
                <w:szCs w:val="19"/>
                <w:rtl w:val="0"/>
              </w:rPr>
              <w:t xml:space="preserve">0,132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B">
            <w:pPr>
              <w:spacing w:after="0" w:line="260" w:lineRule="auto"/>
              <w:jc w:val="right"/>
              <w:rPr/>
            </w:pPr>
            <w:r w:rsidDel="00000000" w:rsidR="00000000" w:rsidRPr="00000000">
              <w:rPr>
                <w:b w:val="0"/>
                <w:bCs w:val="0"/>
                <w:sz w:val="19"/>
                <w:szCs w:val="19"/>
                <w:rtl w:val="0"/>
              </w:rPr>
              <w:t xml:space="preserve">18,01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C">
            <w:pPr>
              <w:spacing w:after="0" w:line="260" w:lineRule="auto"/>
              <w:jc w:val="right"/>
              <w:rPr/>
            </w:pPr>
            <w:r w:rsidDel="00000000" w:rsidR="00000000" w:rsidRPr="00000000">
              <w:rPr>
                <w:b w:val="0"/>
                <w:bCs w:val="0"/>
                <w:sz w:val="19"/>
                <w:szCs w:val="19"/>
                <w:rtl w:val="0"/>
              </w:rPr>
              <w:t xml:space="preserve">24,55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D">
            <w:pPr>
              <w:spacing w:after="0" w:line="260" w:lineRule="auto"/>
              <w:jc w:val="left"/>
              <w:rPr/>
            </w:pPr>
            <w:r w:rsidDel="00000000" w:rsidR="00000000" w:rsidRPr="00000000">
              <w:rPr>
                <w:b w:val="0"/>
                <w:bCs w:val="0"/>
                <w:sz w:val="19"/>
                <w:szCs w:val="19"/>
                <w:rtl w:val="0"/>
              </w:rPr>
              <w:t xml:space="preserve">Ficha SNED no pública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E">
            <w:pPr>
              <w:spacing w:after="0" w:line="260" w:lineRule="auto"/>
              <w:jc w:val="left"/>
              <w:rPr/>
            </w:pPr>
            <w:r w:rsidDel="00000000" w:rsidR="00000000" w:rsidRPr="00000000">
              <w:rPr>
                <w:b w:val="0"/>
                <w:bCs w:val="0"/>
                <w:sz w:val="19"/>
                <w:szCs w:val="19"/>
                <w:rtl w:val="0"/>
              </w:rPr>
              <w:t xml:space="preserve">Mejoramiento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F">
            <w:pPr>
              <w:spacing w:after="0" w:line="260" w:lineRule="auto"/>
              <w:jc w:val="right"/>
              <w:rPr/>
            </w:pPr>
            <w:r w:rsidDel="00000000" w:rsidR="00000000" w:rsidRPr="00000000">
              <w:rPr>
                <w:b w:val="0"/>
                <w:bCs w:val="0"/>
                <w:sz w:val="19"/>
                <w:szCs w:val="19"/>
                <w:rtl w:val="0"/>
              </w:rPr>
              <w:t xml:space="preserve">0,02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0">
            <w:pPr>
              <w:spacing w:after="0" w:line="260" w:lineRule="auto"/>
              <w:jc w:val="right"/>
              <w:rPr/>
            </w:pPr>
            <w:r w:rsidDel="00000000" w:rsidR="00000000" w:rsidRPr="00000000">
              <w:rPr>
                <w:b w:val="0"/>
                <w:bCs w:val="0"/>
                <w:sz w:val="19"/>
                <w:szCs w:val="19"/>
                <w:rtl w:val="0"/>
              </w:rPr>
              <w:t xml:space="preserve">0,024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1">
            <w:pPr>
              <w:spacing w:after="0" w:line="260" w:lineRule="auto"/>
              <w:jc w:val="right"/>
              <w:rPr/>
            </w:pPr>
            <w:r w:rsidDel="00000000" w:rsidR="00000000" w:rsidRPr="00000000">
              <w:rPr>
                <w:b w:val="0"/>
                <w:bCs w:val="0"/>
                <w:sz w:val="19"/>
                <w:szCs w:val="19"/>
                <w:rtl w:val="0"/>
              </w:rPr>
              <w:t xml:space="preserve">1,97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0" w:line="260" w:lineRule="auto"/>
              <w:jc w:val="right"/>
              <w:rPr/>
            </w:pPr>
            <w:r w:rsidDel="00000000" w:rsidR="00000000" w:rsidRPr="00000000">
              <w:rPr>
                <w:b w:val="0"/>
                <w:bCs w:val="0"/>
                <w:sz w:val="19"/>
                <w:szCs w:val="19"/>
                <w:rtl w:val="0"/>
              </w:rPr>
              <w:t xml:space="preserve">4,10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0" w:line="260" w:lineRule="auto"/>
              <w:jc w:val="left"/>
              <w:rPr/>
            </w:pPr>
            <w:r w:rsidDel="00000000" w:rsidR="00000000" w:rsidRPr="00000000">
              <w:rPr>
                <w:b w:val="0"/>
                <w:bCs w:val="0"/>
                <w:sz w:val="19"/>
                <w:szCs w:val="19"/>
                <w:rtl w:val="0"/>
              </w:rPr>
              <w:t xml:space="preserve">Varianza del objetivo próxima a cero</w:t>
            </w:r>
            <w:r w:rsidDel="00000000" w:rsidR="00000000" w:rsidRPr="00000000">
              <w:rPr>
                <w:rtl w:val="0"/>
              </w:rPr>
            </w:r>
          </w:p>
        </w:tc>
      </w:tr>
    </w:tbl>
    <w:p w:rsidR="00000000" w:rsidDel="00000000" w:rsidP="00000000" w:rsidRDefault="00000000" w:rsidRPr="00000000" w14:paraId="000000F4">
      <w:pPr>
        <w:spacing w:after="240" w:before="80" w:lineRule="auto"/>
        <w:rPr/>
      </w:pPr>
      <w:r w:rsidDel="00000000" w:rsidR="00000000" w:rsidRPr="00000000">
        <w:rPr>
          <w:i w:val="1"/>
          <w:iCs w:val="1"/>
          <w:sz w:val="18"/>
          <w:szCs w:val="18"/>
          <w:rtl w:val="0"/>
        </w:rPr>
        <w:t xml:space="preserve">Tabla 5. Desempeño de los modelos por factor tras optimización de hiperparámetros, evaluado mediante validación cruzada agrupada de cinco particiones. Elaboración propia.</w:t>
      </w:r>
      <w:r w:rsidDel="00000000" w:rsidR="00000000" w:rsidRPr="00000000">
        <w:rPr>
          <w:rtl w:val="0"/>
        </w:rPr>
      </w:r>
    </w:p>
    <w:p w:rsidR="00000000" w:rsidDel="00000000" w:rsidP="00000000" w:rsidRDefault="00000000" w:rsidRPr="00000000" w14:paraId="000000F5">
      <w:pPr>
        <w:spacing w:after="160" w:line="300" w:lineRule="auto"/>
        <w:jc w:val="both"/>
        <w:rPr/>
      </w:pPr>
      <w:r w:rsidDel="00000000" w:rsidR="00000000" w:rsidRPr="00000000">
        <w:rPr>
          <w:sz w:val="22"/>
          <w:szCs w:val="22"/>
          <w:rtl w:val="0"/>
        </w:rPr>
        <w:t xml:space="preserve">El coeficiente de determinación ponderado por las ponderaciones oficiales alcanzó 0,404, frente a 0,339 en la configuración previa a la optimización. Los seis factores mejoraron simultáneamente. El patrón resultante es nítido: únicamente el factor de mayor ponderación exhibe alta predictibilidad, mientras los restantes se encuentran acotados por información que solo el organismo emisor posee.</w:t>
      </w:r>
      <w:r w:rsidDel="00000000" w:rsidR="00000000" w:rsidRPr="00000000">
        <w:rPr>
          <w:rtl w:val="0"/>
        </w:rPr>
      </w:r>
    </w:p>
    <w:p w:rsidR="00000000" w:rsidDel="00000000" w:rsidP="00000000" w:rsidRDefault="00000000" w:rsidRPr="00000000" w14:paraId="000000F6">
      <w:pPr>
        <w:pStyle w:val="Heading2"/>
        <w:spacing w:after="160" w:before="280" w:lineRule="auto"/>
        <w:rPr/>
      </w:pPr>
      <w:r w:rsidDel="00000000" w:rsidR="00000000" w:rsidRPr="00000000">
        <w:rPr>
          <w:rtl w:val="0"/>
        </w:rPr>
        <w:t xml:space="preserve">7.5 El factor de Superación: diagnóstico de la limitación</w:t>
      </w:r>
    </w:p>
    <w:p w:rsidR="00000000" w:rsidDel="00000000" w:rsidP="00000000" w:rsidRDefault="00000000" w:rsidRPr="00000000" w14:paraId="000000F7">
      <w:pPr>
        <w:spacing w:after="160" w:line="300" w:lineRule="auto"/>
        <w:jc w:val="both"/>
        <w:rPr/>
      </w:pPr>
      <w:r w:rsidDel="00000000" w:rsidR="00000000" w:rsidRPr="00000000">
        <w:rPr>
          <w:sz w:val="22"/>
          <w:szCs w:val="22"/>
          <w:rtl w:val="0"/>
        </w:rPr>
        <w:t xml:space="preserve">El factor de Superación mide el avance del establecimiento respecto de la medición anterior, con corrección por significancia estadística: los cambios no significativos se transforman en valor cero. Su configuración inicial, alimentada únicamente con los niveles SIMCE actuales, alcanzó un coeficiente de determinación de 0,021, prácticamente nulo.</w:t>
      </w:r>
      <w:r w:rsidDel="00000000" w:rsidR="00000000" w:rsidRPr="00000000">
        <w:rPr>
          <w:rtl w:val="0"/>
        </w:rPr>
      </w:r>
    </w:p>
    <w:p w:rsidR="00000000" w:rsidDel="00000000" w:rsidP="00000000" w:rsidRDefault="00000000" w:rsidRPr="00000000" w14:paraId="000000F8">
      <w:pPr>
        <w:spacing w:after="160" w:line="300" w:lineRule="auto"/>
        <w:jc w:val="both"/>
        <w:rPr/>
      </w:pPr>
      <w:r w:rsidDel="00000000" w:rsidR="00000000" w:rsidRPr="00000000">
        <w:rPr>
          <w:sz w:val="22"/>
          <w:szCs w:val="22"/>
          <w:rtl w:val="0"/>
        </w:rPr>
        <w:t xml:space="preserve">La primera intervención consistió en incorporar las diferencias entre el bienio actual y el precedente, para lo cual se descargaron e integraron los archivos SIMCE de 2016 y 2017. La medida elevó el coeficiente a 0,147, confirmando que las diferencias aportan señal genuina.</w:t>
      </w:r>
      <w:r w:rsidDel="00000000" w:rsidR="00000000" w:rsidRPr="00000000">
        <w:rPr>
          <w:rtl w:val="0"/>
        </w:rPr>
      </w:r>
    </w:p>
    <w:p w:rsidR="00000000" w:rsidDel="00000000" w:rsidP="00000000" w:rsidRDefault="00000000" w:rsidRPr="00000000" w14:paraId="000000F9">
      <w:pPr>
        <w:spacing w:after="160" w:line="300" w:lineRule="auto"/>
        <w:jc w:val="both"/>
        <w:rPr/>
      </w:pPr>
      <w:r w:rsidDel="00000000" w:rsidR="00000000" w:rsidRPr="00000000">
        <w:rPr>
          <w:sz w:val="22"/>
          <w:szCs w:val="22"/>
          <w:rtl w:val="0"/>
        </w:rPr>
        <w:t xml:space="preserve">La segunda intervención evaluó la hipótesis de que el bajo desempeño obedeciera a una paradoja de Simpson, esto es, a la agregación indebida de subpoblaciones con relaciones heterogéneas. La verificación comparó la correlación global entre la diferencia SIMCE de cuarto básico y el factor, que resultó de 0,143, con el promedio de las correlaciones calculadas dentro de cada grupo homogéneo con al menos treinta establecimientos, que alcanzó 0,262 sobre cien grupos, con un rango entre −0,132 y 0,652.</w:t>
      </w:r>
      <w:r w:rsidDel="00000000" w:rsidR="00000000" w:rsidRPr="00000000">
        <w:rPr>
          <w:rtl w:val="0"/>
        </w:rPr>
      </w:r>
    </w:p>
    <w:p w:rsidR="00000000" w:rsidDel="00000000" w:rsidP="00000000" w:rsidRDefault="00000000" w:rsidRPr="00000000" w14:paraId="000000FA">
      <w:pPr>
        <w:spacing w:after="160" w:line="300" w:lineRule="auto"/>
        <w:jc w:val="both"/>
        <w:rPr/>
      </w:pPr>
      <w:r w:rsidDel="00000000" w:rsidR="00000000" w:rsidRPr="00000000">
        <w:rPr>
          <w:sz w:val="22"/>
          <w:szCs w:val="22"/>
          <w:rtl w:val="0"/>
        </w:rPr>
        <w:t xml:space="preserve">La diferencia sugería presencia de la paradoja, por lo que se incorporó el grupo homogéneo como variable predictora mediante codificación por objetivo con validación cruzada interna. La mejora resultó marginal: el coeficiente ascendió de 0,147 a 0,151. Se concluyó que el modelo de agregación de árboles ya capturaba implícitamente dicha estructura, y que la limitación es de disponibilidad de datos y no de especificación del modelo. La corrección por significancia estadística requiere información sobre el error de medición que no se publica.</w:t>
      </w:r>
      <w:r w:rsidDel="00000000" w:rsidR="00000000" w:rsidRPr="00000000">
        <w:rPr>
          <w:rtl w:val="0"/>
        </w:rPr>
      </w:r>
    </w:p>
    <w:p w:rsidR="00000000" w:rsidDel="00000000" w:rsidP="00000000" w:rsidRDefault="00000000" w:rsidRPr="00000000" w14:paraId="000000FB">
      <w:pPr>
        <w:pStyle w:val="Heading2"/>
        <w:spacing w:after="160" w:before="280" w:lineRule="auto"/>
        <w:rPr/>
      </w:pPr>
      <w:r w:rsidDel="00000000" w:rsidR="00000000" w:rsidRPr="00000000">
        <w:rPr>
          <w:rtl w:val="0"/>
        </w:rPr>
        <w:t xml:space="preserve">7.6 El factor de Igualdad: segunda frontera de datos</w:t>
      </w:r>
    </w:p>
    <w:p w:rsidR="00000000" w:rsidDel="00000000" w:rsidP="00000000" w:rsidRDefault="00000000" w:rsidRPr="00000000" w14:paraId="000000FC">
      <w:pPr>
        <w:spacing w:after="160" w:line="300" w:lineRule="auto"/>
        <w:jc w:val="both"/>
        <w:rPr/>
      </w:pPr>
      <w:r w:rsidDel="00000000" w:rsidR="00000000" w:rsidRPr="00000000">
        <w:rPr>
          <w:sz w:val="22"/>
          <w:szCs w:val="22"/>
          <w:rtl w:val="0"/>
        </w:rPr>
        <w:t xml:space="preserve">El factor de Igualdad presentó un techo análogo. El análisis de correlaciones mostró que ninguna variable disponible supera el coeficiente de 0,280, correspondiente a la tasa de aprobación. La ampliación del conjunto de variables predictoras y la incorporación del grupo homogéneo elevaron el coeficiente de determinación de 0,104 a 0,117, y la posterior optimización de hiperparámetros a 0,128.</w:t>
      </w:r>
      <w:r w:rsidDel="00000000" w:rsidR="00000000" w:rsidRPr="00000000">
        <w:rPr>
          <w:rtl w:val="0"/>
        </w:rPr>
      </w:r>
    </w:p>
    <w:p w:rsidR="00000000" w:rsidDel="00000000" w:rsidP="00000000" w:rsidRDefault="00000000" w:rsidRPr="00000000" w14:paraId="000000FD">
      <w:pPr>
        <w:spacing w:after="160" w:line="300" w:lineRule="auto"/>
        <w:jc w:val="both"/>
        <w:rPr/>
      </w:pPr>
      <w:r w:rsidDel="00000000" w:rsidR="00000000" w:rsidRPr="00000000">
        <w:rPr>
          <w:sz w:val="22"/>
          <w:szCs w:val="22"/>
          <w:rtl w:val="0"/>
        </w:rPr>
        <w:t xml:space="preserve">El diagnóstico atribuye la limitación al subfactor de Discriminación, que representa el 40 % del factor y se calcula a partir de sanciones por prácticas discriminatorias específicas —expulsiones arbitrarias, negación de matrícula, barreras de admisión—. Las variables disponibles registran conteos agregados de procesos sancionatorios sin desagregación por materia, de modo que la señal específica requerida no se encuentra en el dato público.</w:t>
      </w:r>
      <w:r w:rsidDel="00000000" w:rsidR="00000000" w:rsidRPr="00000000">
        <w:rPr>
          <w:rtl w:val="0"/>
        </w:rPr>
      </w:r>
    </w:p>
    <w:p w:rsidR="00000000" w:rsidDel="00000000" w:rsidP="00000000" w:rsidRDefault="00000000" w:rsidRPr="00000000" w14:paraId="000000FE">
      <w:pPr>
        <w:spacing w:after="160" w:line="300" w:lineRule="auto"/>
        <w:jc w:val="both"/>
        <w:rPr/>
      </w:pPr>
      <w:r w:rsidDel="00000000" w:rsidR="00000000" w:rsidRPr="00000000">
        <w:rPr>
          <w:sz w:val="22"/>
          <w:szCs w:val="22"/>
          <w:rtl w:val="0"/>
        </w:rPr>
        <w:t xml:space="preserve">Corresponde señalar que, a diferencia del factor de Superación, en este caso la correlación intragrupo resultó inferior a la global —0,196 frente a 0,280—, lo que descarta la paradoja de Simpson e indica que buena parte de la señal proviene de las diferencias entre grupos homogéneos.</w:t>
      </w: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rtl w:val="0"/>
        </w:rPr>
        <w:t xml:space="preserve">7.7 Validación empírica de la fórmula oficial</w:t>
      </w:r>
    </w:p>
    <w:p w:rsidR="00000000" w:rsidDel="00000000" w:rsidP="00000000" w:rsidRDefault="00000000" w:rsidRPr="00000000" w14:paraId="00000100">
      <w:pPr>
        <w:spacing w:after="160" w:line="300" w:lineRule="auto"/>
        <w:jc w:val="both"/>
        <w:rPr/>
      </w:pPr>
      <w:r w:rsidDel="00000000" w:rsidR="00000000" w:rsidRPr="00000000">
        <w:rPr>
          <w:sz w:val="22"/>
          <w:szCs w:val="22"/>
          <w:rtl w:val="0"/>
        </w:rPr>
        <w:t xml:space="preserve">Previo a la reconstrucción del índice se ejecutó un control de coherencia: aplicar las ponderaciones documentadas a los valores reales de los seis factores y contrastar el resultado con el índice oficial. El control arrojó un coeficiente de determinación de 1,0000 y un error absoluto medio de 0,000.</w:t>
      </w:r>
      <w:r w:rsidDel="00000000" w:rsidR="00000000" w:rsidRPr="00000000">
        <w:rPr>
          <w:rtl w:val="0"/>
        </w:rPr>
      </w:r>
    </w:p>
    <w:p w:rsidR="00000000" w:rsidDel="00000000" w:rsidP="00000000" w:rsidRDefault="00000000" w:rsidRPr="00000000" w14:paraId="00000101">
      <w:pPr>
        <w:spacing w:after="160" w:line="300" w:lineRule="auto"/>
        <w:jc w:val="both"/>
        <w:rPr/>
      </w:pPr>
      <w:r w:rsidDel="00000000" w:rsidR="00000000" w:rsidRPr="00000000">
        <w:rPr>
          <w:sz w:val="22"/>
          <w:szCs w:val="22"/>
          <w:rtl w:val="0"/>
        </w:rPr>
        <w:t xml:space="preserve">Este resultado establece que la fórmula documentada reproduce el índice ministerial con precisión completa, sin ajustes ni escalamientos adicionales no declarados. Constituye una verificación independiente de la normativa y fundamenta la decisión de almacenar las ponderaciones como dato en el catálogo de la base de datos en lugar de incrustarlas en el código.</w:t>
      </w:r>
      <w:r w:rsidDel="00000000" w:rsidR="00000000" w:rsidRPr="00000000">
        <w:rPr>
          <w:rtl w:val="0"/>
        </w:rPr>
      </w:r>
    </w:p>
    <w:p w:rsidR="00000000" w:rsidDel="00000000" w:rsidP="00000000" w:rsidRDefault="00000000" w:rsidRPr="00000000" w14:paraId="00000102">
      <w:pPr>
        <w:pStyle w:val="Heading2"/>
        <w:spacing w:after="160" w:before="280" w:lineRule="auto"/>
        <w:rPr/>
      </w:pPr>
      <w:r w:rsidDel="00000000" w:rsidR="00000000" w:rsidRPr="00000000">
        <w:rPr>
          <w:rtl w:val="0"/>
        </w:rPr>
        <w:t xml:space="preserve">7.8 Reconstrucción del índice desde los factores predichos</w:t>
      </w:r>
    </w:p>
    <w:p w:rsidR="00000000" w:rsidDel="00000000" w:rsidP="00000000" w:rsidRDefault="00000000" w:rsidRPr="00000000" w14:paraId="00000103">
      <w:pPr>
        <w:spacing w:after="160" w:line="300" w:lineRule="auto"/>
        <w:jc w:val="both"/>
        <w:rPr/>
      </w:pPr>
      <w:r w:rsidDel="00000000" w:rsidR="00000000" w:rsidRPr="00000000">
        <w:rPr>
          <w:sz w:val="22"/>
          <w:szCs w:val="22"/>
          <w:rtl w:val="0"/>
        </w:rPr>
        <w:t xml:space="preserve">La aplicación de la fórmula a los factores predichos produjo un coeficiente de determinación de 0,583, con error absoluto medio de 2,51 puntos y raíz del error cuadrático medio de 3,46, evaluado sobre 18.044 observaciones. La restricción de cobertura proviene del factor de Superación, cuya predicción requiere la existencia de medición en el bienio precedente.</w:t>
      </w:r>
      <w:r w:rsidDel="00000000" w:rsidR="00000000" w:rsidRPr="00000000">
        <w:rPr>
          <w:rtl w:val="0"/>
        </w:rPr>
      </w:r>
    </w:p>
    <w:p w:rsidR="00000000" w:rsidDel="00000000" w:rsidP="00000000" w:rsidRDefault="00000000" w:rsidRPr="00000000" w14:paraId="00000104">
      <w:pPr>
        <w:spacing w:after="160" w:line="300" w:lineRule="auto"/>
        <w:jc w:val="both"/>
        <w:rPr/>
      </w:pPr>
      <w:r w:rsidDel="00000000" w:rsidR="00000000" w:rsidRPr="00000000">
        <w:rPr>
          <w:sz w:val="22"/>
          <w:szCs w:val="22"/>
          <w:rtl w:val="0"/>
        </w:rPr>
        <w:t xml:space="preserve">El resultado supera ampliamente al predictor trivial, que arrojó un error absoluto medio de 4,16 puntos. Resulta asimismo superior al promedio ponderado de los coeficientes individuales, 0,404, comportamiento esperable dado que el factor de mayor ponderación exhibe la mayor predictibilidad y arrastra el resultado agregado.</w:t>
      </w: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200" w:before="360" w:lineRule="auto"/>
        <w:rPr/>
      </w:pPr>
      <w:r w:rsidDel="00000000" w:rsidR="00000000" w:rsidRPr="00000000">
        <w:rPr>
          <w:rtl w:val="0"/>
        </w:rPr>
        <w:t xml:space="preserve">8. Fase VI: Implementación de la explicabilidad</w:t>
      </w:r>
    </w:p>
    <w:p w:rsidR="00000000" w:rsidDel="00000000" w:rsidP="00000000" w:rsidRDefault="00000000" w:rsidRPr="00000000" w14:paraId="00000107">
      <w:pPr>
        <w:pStyle w:val="Heading2"/>
        <w:spacing w:after="160" w:before="280" w:lineRule="auto"/>
        <w:rPr/>
      </w:pPr>
      <w:r w:rsidDel="00000000" w:rsidR="00000000" w:rsidRPr="00000000">
        <w:rPr>
          <w:rtl w:val="0"/>
        </w:rPr>
        <w:t xml:space="preserve">8.1 Selección de técnicas</w:t>
      </w:r>
    </w:p>
    <w:p w:rsidR="00000000" w:rsidDel="00000000" w:rsidP="00000000" w:rsidRDefault="00000000" w:rsidRPr="00000000" w14:paraId="00000108">
      <w:pPr>
        <w:spacing w:after="160" w:line="300" w:lineRule="auto"/>
        <w:jc w:val="both"/>
        <w:rPr/>
      </w:pPr>
      <w:r w:rsidDel="00000000" w:rsidR="00000000" w:rsidRPr="00000000">
        <w:rPr>
          <w:sz w:val="22"/>
          <w:szCs w:val="22"/>
          <w:rtl w:val="0"/>
        </w:rPr>
        <w:t xml:space="preserve">La revisión bibliográfica estableció que el atributo de importancia de características que Géron (2019, cap. 7, p. 200) describe para los bosques aleatorios resulta insuficiente para el requerimiento del simulador, por dos razones: entrega una medida global y no explica casos individuales, y presenta sesgo hacia variables de alta cardinalidad. Dado que el usuario final requiere comprender el resultado de su propio establecimiento, se incorporaron dos técnicas complementarias de interpretabilidad local.</w:t>
      </w:r>
      <w:r w:rsidDel="00000000" w:rsidR="00000000" w:rsidRPr="00000000">
        <w:rPr>
          <w:rtl w:val="0"/>
        </w:rPr>
      </w:r>
    </w:p>
    <w:p w:rsidR="00000000" w:rsidDel="00000000" w:rsidP="00000000" w:rsidRDefault="00000000" w:rsidRPr="00000000" w14:paraId="00000109">
      <w:pPr>
        <w:spacing w:after="160" w:line="300" w:lineRule="auto"/>
        <w:jc w:val="both"/>
        <w:rPr/>
      </w:pPr>
      <w:r w:rsidDel="00000000" w:rsidR="00000000" w:rsidRPr="00000000">
        <w:rPr>
          <w:sz w:val="22"/>
          <w:szCs w:val="22"/>
          <w:rtl w:val="0"/>
        </w:rPr>
        <w:t xml:space="preserve">Los valores de Shapley, formalizados para aprendizaje automático por Lundberg y Lee (2017), descomponen la predicción de una observación específica en la contribución individual de cada variable, con signo y magnitud, garantizando que las contribuciones sumen exactamente la diferencia entre la predicción y el valor base promedio. Responden a la pregunta sobre por qué un establecimiento obtuvo determinado resultado.</w:t>
      </w:r>
      <w:r w:rsidDel="00000000" w:rsidR="00000000" w:rsidRPr="00000000">
        <w:rPr>
          <w:rtl w:val="0"/>
        </w:rPr>
      </w:r>
    </w:p>
    <w:p w:rsidR="00000000" w:rsidDel="00000000" w:rsidP="00000000" w:rsidRDefault="00000000" w:rsidRPr="00000000" w14:paraId="0000010A">
      <w:pPr>
        <w:spacing w:after="160" w:line="300" w:lineRule="auto"/>
        <w:jc w:val="both"/>
        <w:rPr/>
      </w:pPr>
      <w:r w:rsidDel="00000000" w:rsidR="00000000" w:rsidRPr="00000000">
        <w:rPr>
          <w:sz w:val="22"/>
          <w:szCs w:val="22"/>
          <w:rtl w:val="0"/>
        </w:rPr>
        <w:t xml:space="preserve">Las curvas de expectativa condicional individual, propuestas por Goldstein et al. (2015), recorren el rango de una variable manteniendo fijas las restantes y grafican la respuesta de la predicción. Constituyen la base matemática de los controles interactivos del simulador y responden a la pregunta contrafactual sobre qué ocurriría si el establecimiento modificara una variable de gestión.</w:t>
      </w:r>
      <w:r w:rsidDel="00000000" w:rsidR="00000000" w:rsidRPr="00000000">
        <w:rPr>
          <w:rtl w:val="0"/>
        </w:rPr>
      </w:r>
    </w:p>
    <w:p w:rsidR="00000000" w:rsidDel="00000000" w:rsidP="00000000" w:rsidRDefault="00000000" w:rsidRPr="00000000" w14:paraId="0000010B">
      <w:pPr>
        <w:pStyle w:val="Heading2"/>
        <w:spacing w:after="160" w:before="280" w:lineRule="auto"/>
        <w:rPr/>
      </w:pPr>
      <w:r w:rsidDel="00000000" w:rsidR="00000000" w:rsidRPr="00000000">
        <w:rPr>
          <w:rtl w:val="0"/>
        </w:rPr>
        <w:t xml:space="preserve">8.2 Resultados de la atribución de Shapley</w:t>
      </w:r>
    </w:p>
    <w:p w:rsidR="00000000" w:rsidDel="00000000" w:rsidP="00000000" w:rsidRDefault="00000000" w:rsidRPr="00000000" w14:paraId="0000010C">
      <w:pPr>
        <w:spacing w:after="160" w:line="300" w:lineRule="auto"/>
        <w:jc w:val="both"/>
        <w:rPr/>
      </w:pPr>
      <w:r w:rsidDel="00000000" w:rsidR="00000000" w:rsidRPr="00000000">
        <w:rPr>
          <w:sz w:val="22"/>
          <w:szCs w:val="22"/>
          <w:rtl w:val="0"/>
        </w:rPr>
        <w:t xml:space="preserve">El análisis se ejecutó sobre el factor de Efectividad mediante el explicador exacto para modelos de árboles, con una muestra de quinientas observaciones. El valor base resultó de 40,18 puntos.</w:t>
      </w:r>
      <w:r w:rsidDel="00000000" w:rsidR="00000000" w:rsidRPr="00000000">
        <w:rPr>
          <w:rtl w:val="0"/>
        </w:rPr>
      </w:r>
    </w:p>
    <w:p w:rsidR="00000000" w:rsidDel="00000000" w:rsidP="00000000" w:rsidRDefault="00000000" w:rsidRPr="00000000" w14:paraId="0000010D">
      <w:pPr>
        <w:spacing w:after="160" w:line="300" w:lineRule="auto"/>
        <w:jc w:val="both"/>
        <w:rPr/>
      </w:pPr>
      <w:r w:rsidDel="00000000" w:rsidR="00000000" w:rsidRPr="00000000">
        <w:rPr>
          <w:sz w:val="22"/>
          <w:szCs w:val="22"/>
          <w:rtl w:val="0"/>
        </w:rPr>
        <w:t xml:space="preserve">El resultado global confirmó la coherencia direccional del modelo: la totalidad de las observaciones con valores altos de las mediciones presentó contribuciones positivas y viceversa, sin excepciones ni cruces. Esta monotonicidad constituye un requisito funcional del simulador, pues garantiza que el desplazamiento de un control hacia valores superiores nunca produzca una caída contraintuitiva del factor.</w:t>
      </w:r>
      <w:r w:rsidDel="00000000" w:rsidR="00000000" w:rsidRPr="00000000">
        <w:rPr>
          <w:rtl w:val="0"/>
        </w:rPr>
      </w:r>
    </w:p>
    <w:p w:rsidR="00000000" w:rsidDel="00000000" w:rsidP="00000000" w:rsidRDefault="00000000" w:rsidRPr="00000000" w14:paraId="0000010E">
      <w:pPr>
        <w:spacing w:after="160" w:line="300" w:lineRule="auto"/>
        <w:jc w:val="both"/>
        <w:rPr/>
      </w:pPr>
      <w:r w:rsidDel="00000000" w:rsidR="00000000" w:rsidRPr="00000000">
        <w:rPr>
          <w:sz w:val="22"/>
          <w:szCs w:val="22"/>
          <w:rtl w:val="0"/>
        </w:rPr>
        <w:t xml:space="preserve">El análisis reveló asimismo que las mediciones de matemática superan sistemáticamente a las de lectura en capacidad discriminante dentro de cada nivel, y que las variables indicadoras de ausencia presentan impacto próximo a cero. Esta última observación tiene relevancia para la equidad del sistema: no rendir un nivel determinado no penaliza la estimación, de modo que un establecimiento que solo imparte enseñanza básica no resulta desfavorecido.</w:t>
      </w:r>
      <w:r w:rsidDel="00000000" w:rsidR="00000000" w:rsidRPr="00000000">
        <w:rPr>
          <w:rtl w:val="0"/>
        </w:rPr>
      </w:r>
    </w:p>
    <w:p w:rsidR="00000000" w:rsidDel="00000000" w:rsidP="00000000" w:rsidRDefault="00000000" w:rsidRPr="00000000" w14:paraId="0000010F">
      <w:pPr>
        <w:spacing w:after="160" w:line="300" w:lineRule="auto"/>
        <w:jc w:val="both"/>
        <w:rPr/>
      </w:pPr>
      <w:r w:rsidDel="00000000" w:rsidR="00000000" w:rsidRPr="00000000">
        <w:rPr>
          <w:sz w:val="22"/>
          <w:szCs w:val="22"/>
          <w:rtl w:val="0"/>
        </w:rPr>
        <w:t xml:space="preserve">La explicación individual de un establecimiento con predicción de 33,90 puntos —6,29 por debajo del valor base— atribuyó el déficit principalmente a las mediciones de matemática de cuarto y sexto básico, con contribuciones de −3,39 y −2,97, mientras las mediciones de octavo básico aportaron positivamente. El diagnóstico accionable resultante identifica una debilidad concentrada en el primer ciclo y una fortaleza en el segundo, información que un valor agregado no comunicaría.</w:t>
      </w:r>
      <w:r w:rsidDel="00000000" w:rsidR="00000000" w:rsidRPr="00000000">
        <w:rPr>
          <w:rtl w:val="0"/>
        </w:rPr>
      </w:r>
    </w:p>
    <w:p w:rsidR="00000000" w:rsidDel="00000000" w:rsidP="00000000" w:rsidRDefault="00000000" w:rsidRPr="00000000" w14:paraId="00000110">
      <w:pPr>
        <w:pStyle w:val="Heading2"/>
        <w:spacing w:after="160" w:before="280" w:lineRule="auto"/>
        <w:rPr/>
      </w:pPr>
      <w:r w:rsidDel="00000000" w:rsidR="00000000" w:rsidRPr="00000000">
        <w:rPr>
          <w:rtl w:val="0"/>
        </w:rPr>
        <w:t xml:space="preserve">8.3 Resultados de las curvas de sensibilidad</w:t>
      </w:r>
    </w:p>
    <w:p w:rsidR="00000000" w:rsidDel="00000000" w:rsidP="00000000" w:rsidRDefault="00000000" w:rsidRPr="00000000" w14:paraId="00000111">
      <w:pPr>
        <w:spacing w:after="160" w:line="300" w:lineRule="auto"/>
        <w:jc w:val="both"/>
        <w:rPr/>
      </w:pPr>
      <w:r w:rsidDel="00000000" w:rsidR="00000000" w:rsidRPr="00000000">
        <w:rPr>
          <w:sz w:val="22"/>
          <w:szCs w:val="22"/>
          <w:rtl w:val="0"/>
        </w:rPr>
        <w:t xml:space="preserve">Las curvas de expectativa condicional individual mostraron trayectorias monótonas crecientes y aproximadamente paralelas entre establecimientos. El paralelismo indica escasa interacción entre la variable examinada y las restantes, lo que permite al simulador emplear una regla de sensibilidad estable sin modelar comportamientos diferenciados por segmento.</w:t>
      </w:r>
      <w:r w:rsidDel="00000000" w:rsidR="00000000" w:rsidRPr="00000000">
        <w:rPr>
          <w:rtl w:val="0"/>
        </w:rPr>
      </w:r>
    </w:p>
    <w:p w:rsidR="00000000" w:rsidDel="00000000" w:rsidP="00000000" w:rsidRDefault="00000000" w:rsidRPr="00000000" w14:paraId="00000112">
      <w:pPr>
        <w:spacing w:after="160" w:line="300" w:lineRule="auto"/>
        <w:jc w:val="both"/>
        <w:rPr/>
      </w:pPr>
      <w:r w:rsidDel="00000000" w:rsidR="00000000" w:rsidRPr="00000000">
        <w:rPr>
          <w:sz w:val="22"/>
          <w:szCs w:val="22"/>
          <w:rtl w:val="0"/>
        </w:rPr>
        <w:t xml:space="preserve">La magnitud del efecto constituye un hallazgo que exige tratamiento explícito. La simulación numérica mostró que un incremento de 83 puntos en la medición de matemática de cuarto básico —aproximadamente dos desviaciones estándar— eleva el factor de Efectividad de 33,90 a 39,95 puntos, aportando 2,24 puntos al índice final. Un movimiento realista de quince a veinte puntos produce un aporte cercano a 0,5 puntos.</w:t>
      </w:r>
      <w:r w:rsidDel="00000000" w:rsidR="00000000" w:rsidRPr="00000000">
        <w:rPr>
          <w:rtl w:val="0"/>
        </w:rPr>
      </w:r>
    </w:p>
    <w:p w:rsidR="00000000" w:rsidDel="00000000" w:rsidP="00000000" w:rsidRDefault="00000000" w:rsidRPr="00000000" w14:paraId="00000113">
      <w:pPr>
        <w:spacing w:after="160" w:line="300" w:lineRule="auto"/>
        <w:jc w:val="both"/>
        <w:rPr/>
      </w:pPr>
      <w:r w:rsidDel="00000000" w:rsidR="00000000" w:rsidRPr="00000000">
        <w:rPr>
          <w:sz w:val="22"/>
          <w:szCs w:val="22"/>
          <w:rtl w:val="0"/>
        </w:rPr>
        <w:t xml:space="preserve">Este resultado se explica por la fórmula de escalamiento oficial, que normaliza cada factor respecto del mínimo y el máximo nacionales. En consecuencia, el valor de un establecimiento depende del desempeño relativo del conjunto del sistema y no solo del propio. La implicancia para el diseño del prototipo es que el mensaje al usuario no puede prometer retornos desproporcionados: debe comunicar la dirección correcta y la magnitud realista del efecto. Se documenta como limitación de comunicación del producto.</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200" w:before="360" w:lineRule="auto"/>
        <w:rPr/>
      </w:pPr>
      <w:r w:rsidDel="00000000" w:rsidR="00000000" w:rsidRPr="00000000">
        <w:rPr>
          <w:rtl w:val="0"/>
        </w:rPr>
        <w:t xml:space="preserve">9. Fase VII: Comparación de arquitecturas de aprendizaje automático</w:t>
      </w:r>
    </w:p>
    <w:p w:rsidR="00000000" w:rsidDel="00000000" w:rsidP="00000000" w:rsidRDefault="00000000" w:rsidRPr="00000000" w14:paraId="00000116">
      <w:pPr>
        <w:pStyle w:val="Heading2"/>
        <w:spacing w:after="160" w:before="280" w:lineRule="auto"/>
        <w:rPr/>
      </w:pPr>
      <w:r w:rsidDel="00000000" w:rsidR="00000000" w:rsidRPr="00000000">
        <w:rPr>
          <w:rtl w:val="0"/>
        </w:rPr>
        <w:t xml:space="preserve">9.1 Propósito y diseño experimental</w:t>
      </w:r>
    </w:p>
    <w:p w:rsidR="00000000" w:rsidDel="00000000" w:rsidP="00000000" w:rsidRDefault="00000000" w:rsidRPr="00000000" w14:paraId="00000117">
      <w:pPr>
        <w:spacing w:after="160" w:line="300" w:lineRule="auto"/>
        <w:jc w:val="both"/>
        <w:rPr/>
      </w:pPr>
      <w:r w:rsidDel="00000000" w:rsidR="00000000" w:rsidRPr="00000000">
        <w:rPr>
          <w:sz w:val="22"/>
          <w:szCs w:val="22"/>
          <w:rtl w:val="0"/>
        </w:rPr>
        <w:t xml:space="preserve">El modelo global cumple una función distinta y complementaria al motor desagregado. Liberado de la restricción de trazabilidad, responde a una pregunta puramente predictiva: cuál es la mejor estimación alcanzable del índice cuando se permite al algoritmo utilizar la totalidad de la información disponible. Satisface asimismo el tercer objetivo específico del proyecto.</w:t>
      </w:r>
      <w:r w:rsidDel="00000000" w:rsidR="00000000" w:rsidRPr="00000000">
        <w:rPr>
          <w:rtl w:val="0"/>
        </w:rPr>
      </w:r>
    </w:p>
    <w:p w:rsidR="00000000" w:rsidDel="00000000" w:rsidP="00000000" w:rsidRDefault="00000000" w:rsidRPr="00000000" w14:paraId="00000118">
      <w:pPr>
        <w:spacing w:after="160" w:line="300" w:lineRule="auto"/>
        <w:jc w:val="both"/>
        <w:rPr/>
      </w:pPr>
      <w:r w:rsidDel="00000000" w:rsidR="00000000" w:rsidRPr="00000000">
        <w:rPr>
          <w:sz w:val="22"/>
          <w:szCs w:val="22"/>
          <w:rtl w:val="0"/>
        </w:rPr>
        <w:t xml:space="preserve">Se seleccionaron tres arquitecturas correspondientes a familias algorítmicas con supuestos inductivos diferentes, criterio derivado del teorema de la ausencia de almuerzo gratuito. El bosque aleatorio representa los métodos de agregación bootstrap, que reducen varianza promediando predictores independientes (Géron, 2019, cap. 7, pp. 195-199). El potenciamiento de gradiente por histogramas representa los métodos secuenciales, que reducen sesgo ajustando cada predictor a los residuos del conjunto previo (Géron, 2019, cap. 7, p. 205). El perceptrón multicapa representa el aprendizaje profundo (Géron, 2019, caps. 10-11).</w:t>
      </w:r>
      <w:r w:rsidDel="00000000" w:rsidR="00000000" w:rsidRPr="00000000">
        <w:rPr>
          <w:rtl w:val="0"/>
        </w:rPr>
      </w:r>
    </w:p>
    <w:p w:rsidR="00000000" w:rsidDel="00000000" w:rsidP="00000000" w:rsidRDefault="00000000" w:rsidRPr="00000000" w14:paraId="00000119">
      <w:pPr>
        <w:spacing w:after="160" w:line="300" w:lineRule="auto"/>
        <w:jc w:val="both"/>
        <w:rPr/>
      </w:pPr>
      <w:r w:rsidDel="00000000" w:rsidR="00000000" w:rsidRPr="00000000">
        <w:rPr>
          <w:sz w:val="22"/>
          <w:szCs w:val="22"/>
          <w:rtl w:val="0"/>
        </w:rPr>
        <w:t xml:space="preserve">Se descartaron las arquitecturas convolucionales y recurrentes por incompatibilidad de sus supuestos inductivos —invarianza traslacional y dependencia secuencial respectivamente— con la estructura tabular de los datos.</w:t>
      </w:r>
      <w:r w:rsidDel="00000000" w:rsidR="00000000" w:rsidRPr="00000000">
        <w:rPr>
          <w:rtl w:val="0"/>
        </w:rPr>
      </w:r>
    </w:p>
    <w:p w:rsidR="00000000" w:rsidDel="00000000" w:rsidP="00000000" w:rsidRDefault="00000000" w:rsidRPr="00000000" w14:paraId="0000011A">
      <w:pPr>
        <w:spacing w:after="160" w:line="300" w:lineRule="auto"/>
        <w:jc w:val="both"/>
        <w:rPr/>
      </w:pPr>
      <w:r w:rsidDel="00000000" w:rsidR="00000000" w:rsidRPr="00000000">
        <w:rPr>
          <w:sz w:val="22"/>
          <w:szCs w:val="22"/>
          <w:rtl w:val="0"/>
        </w:rPr>
        <w:t xml:space="preserve">Respecto de la implementación de potenciamiento, se optó por la variante basada en histogramas sobre la implementación estándar. La discretización de las variables continuas en un número acotado de contenedores reduce drásticamente el costo de evaluar puntos de corte candidatos, lo que a la escala del conjunto permite explorar un espacio de hiperparámetros más amplio dentro del mismo presupuesto de tiempo.</w:t>
      </w:r>
      <w:r w:rsidDel="00000000" w:rsidR="00000000" w:rsidRPr="00000000">
        <w:rPr>
          <w:rtl w:val="0"/>
        </w:rPr>
      </w:r>
    </w:p>
    <w:p w:rsidR="00000000" w:rsidDel="00000000" w:rsidP="00000000" w:rsidRDefault="00000000" w:rsidRPr="00000000" w14:paraId="0000011B">
      <w:pPr>
        <w:pStyle w:val="Heading2"/>
        <w:spacing w:after="160" w:before="280" w:lineRule="auto"/>
        <w:rPr/>
      </w:pPr>
      <w:r w:rsidDel="00000000" w:rsidR="00000000" w:rsidRPr="00000000">
        <w:rPr>
          <w:rtl w:val="0"/>
        </w:rPr>
        <w:t xml:space="preserve">9.2 Preprocesamiento uniforme y sus fundamentos</w:t>
      </w:r>
    </w:p>
    <w:p w:rsidR="00000000" w:rsidDel="00000000" w:rsidP="00000000" w:rsidRDefault="00000000" w:rsidRPr="00000000" w14:paraId="0000011C">
      <w:pPr>
        <w:spacing w:after="160" w:line="300" w:lineRule="auto"/>
        <w:jc w:val="both"/>
        <w:rPr/>
      </w:pPr>
      <w:r w:rsidDel="00000000" w:rsidR="00000000" w:rsidRPr="00000000">
        <w:rPr>
          <w:sz w:val="22"/>
          <w:szCs w:val="22"/>
          <w:rtl w:val="0"/>
        </w:rPr>
        <w:t xml:space="preserve">La validez interna de una comparación entre arquitecturas exige que todas reciban idéntica representación de entrada. Cualquier diferencia de preprocesamiento se confundiría con la diferencia de arquitectura, transformando la pregunta sobre qué modelo es superior en una pregunta sobre qué combinación de modelo y representación lo es. Se adoptaron en consecuencia tres decisiones uniformes y una asimetría justificada.</w:t>
      </w:r>
      <w:r w:rsidDel="00000000" w:rsidR="00000000" w:rsidRPr="00000000">
        <w:rPr>
          <w:rtl w:val="0"/>
        </w:rPr>
      </w:r>
    </w:p>
    <w:p w:rsidR="00000000" w:rsidDel="00000000" w:rsidP="00000000" w:rsidRDefault="00000000" w:rsidRPr="00000000" w14:paraId="0000011D">
      <w:pPr>
        <w:spacing w:after="160" w:line="300" w:lineRule="auto"/>
        <w:jc w:val="both"/>
        <w:rPr/>
      </w:pPr>
      <w:r w:rsidDel="00000000" w:rsidR="00000000" w:rsidRPr="00000000">
        <w:rPr>
          <w:sz w:val="22"/>
          <w:szCs w:val="22"/>
          <w:rtl w:val="0"/>
        </w:rPr>
        <w:t xml:space="preserve">La variable de grupo homogéneo, con 124 niveles, se codificó mediante media del objetivo con validación cruzada interna para prevenir la fuga. Géron (2019, cap. 13, pp. 422-423) contrasta la codificación indicadora con las representaciones vectoriales aprendidas, señalando la ineficiencia de la primera ante alta cardinalidad y proponiendo una dimensión aproximada a la raíz cuarta del número de categorías para las segundas. La verificación empírica previa sobre este conjunto mostró desempeños indistinguibles entre codificación indicadora y por objetivo —coeficientes de 0,674 y 0,676— con una reducción de 141 a 20 columnas, lo que fundamentó la elección por parsimonia. Las representaciones vectoriales aprendidas se descartaron porque solo la arquitectura de red neuronal las admite de forma nativa, y su uso asimétrico habría invalidado la comparación.</w:t>
      </w:r>
      <w:r w:rsidDel="00000000" w:rsidR="00000000" w:rsidRPr="00000000">
        <w:rPr>
          <w:rtl w:val="0"/>
        </w:rPr>
      </w:r>
    </w:p>
    <w:p w:rsidR="00000000" w:rsidDel="00000000" w:rsidP="00000000" w:rsidRDefault="00000000" w:rsidRPr="00000000" w14:paraId="0000011E">
      <w:pPr>
        <w:spacing w:after="160" w:line="300" w:lineRule="auto"/>
        <w:jc w:val="both"/>
        <w:rPr/>
      </w:pPr>
      <w:r w:rsidDel="00000000" w:rsidR="00000000" w:rsidRPr="00000000">
        <w:rPr>
          <w:sz w:val="22"/>
          <w:szCs w:val="22"/>
          <w:rtl w:val="0"/>
        </w:rPr>
        <w:t xml:space="preserve">Los valores faltantes se trataron uniformemente mediante imputación por mediana con variable indicadora. Se hace constar que la implementación de potenciamiento por histogramas admite valores nulos de forma nativa, decidiendo en cada nodo la dirección de ramificación de las observaciones ausentes. Esta capacidad constituye una ventaja algorítmica genuina que el diseño experimental neutraliza deliberadamente; el desempeño reportado para dicha arquitectura debe entenderse, por tanto, como cota inferior de su potencial en despliegue.</w:t>
      </w:r>
      <w:r w:rsidDel="00000000" w:rsidR="00000000" w:rsidRPr="00000000">
        <w:rPr>
          <w:rtl w:val="0"/>
        </w:rPr>
      </w:r>
    </w:p>
    <w:p w:rsidR="00000000" w:rsidDel="00000000" w:rsidP="00000000" w:rsidRDefault="00000000" w:rsidRPr="00000000" w14:paraId="0000011F">
      <w:pPr>
        <w:spacing w:after="160" w:line="300" w:lineRule="auto"/>
        <w:jc w:val="both"/>
        <w:rPr/>
      </w:pPr>
      <w:r w:rsidDel="00000000" w:rsidR="00000000" w:rsidRPr="00000000">
        <w:rPr>
          <w:sz w:val="22"/>
          <w:szCs w:val="22"/>
          <w:rtl w:val="0"/>
        </w:rPr>
        <w:t xml:space="preserve">La asimetría admitida corresponde al escalamiento de características, aplicado exclusivamente a la red neuronal. No constituye elección metodológica sino requisito algorítmico: los modelos de árboles particionan mediante umbrales sobre variables individuales, de modo que una transformación monótona no altera la estructura resultante, mientras que el descenso de gradiente resulta sensible a escalas heterogéneas (Géron, 2019, caps. 10-11). El conjunto presenta escalas efectivamente dispares, con puntajes en el orden de las centenas, tasas entre cero y uno, y conteos de una decena. El escalador se ajustó exclusivamente con la partición de entrenamiento en cada iteración, conforme al protocolo de prevención de espionaje de datos.</w:t>
      </w:r>
      <w:r w:rsidDel="00000000" w:rsidR="00000000" w:rsidRPr="00000000">
        <w:rPr>
          <w:rtl w:val="0"/>
        </w:rPr>
      </w:r>
    </w:p>
    <w:p w:rsidR="00000000" w:rsidDel="00000000" w:rsidP="00000000" w:rsidRDefault="00000000" w:rsidRPr="00000000" w14:paraId="00000120">
      <w:pPr>
        <w:spacing w:after="160" w:line="300" w:lineRule="auto"/>
        <w:jc w:val="both"/>
        <w:rPr/>
      </w:pPr>
      <w:r w:rsidDel="00000000" w:rsidR="00000000" w:rsidRPr="00000000">
        <w:rPr>
          <w:sz w:val="22"/>
          <w:szCs w:val="22"/>
          <w:rtl w:val="0"/>
        </w:rPr>
        <w:t xml:space="preserve">La matriz resultante comprende 104 columnas a partir de 65 variables de entrada, expansión originada en 37 indicadores de ausencia y las variables indicadoras de las categóricas de baja cardinalidad.</w:t>
      </w:r>
      <w:r w:rsidDel="00000000" w:rsidR="00000000" w:rsidRPr="00000000">
        <w:rPr>
          <w:rtl w:val="0"/>
        </w:rPr>
      </w:r>
    </w:p>
    <w:p w:rsidR="00000000" w:rsidDel="00000000" w:rsidP="00000000" w:rsidRDefault="00000000" w:rsidRPr="00000000" w14:paraId="00000121">
      <w:pPr>
        <w:pStyle w:val="Heading2"/>
        <w:spacing w:after="160" w:before="280" w:lineRule="auto"/>
        <w:rPr/>
      </w:pPr>
      <w:r w:rsidDel="00000000" w:rsidR="00000000" w:rsidRPr="00000000">
        <w:rPr>
          <w:rtl w:val="0"/>
        </w:rPr>
        <w:t xml:space="preserve">9.3 Configuración de la red neuronal</w:t>
      </w:r>
    </w:p>
    <w:p w:rsidR="00000000" w:rsidDel="00000000" w:rsidP="00000000" w:rsidRDefault="00000000" w:rsidRPr="00000000" w14:paraId="00000122">
      <w:pPr>
        <w:spacing w:after="160" w:line="300" w:lineRule="auto"/>
        <w:jc w:val="both"/>
        <w:rPr/>
      </w:pPr>
      <w:r w:rsidDel="00000000" w:rsidR="00000000" w:rsidRPr="00000000">
        <w:rPr>
          <w:sz w:val="22"/>
          <w:szCs w:val="22"/>
          <w:rtl w:val="0"/>
        </w:rPr>
        <w:t xml:space="preserve">La arquitectura se definió conforme a la estrategia que Géron (2019, cap. 10, pp. 319-320) denomina informalmente de sobredimensionamiento con regularización: en lugar de invertir recursos en identificar el tamaño exacto óptimo, resulta más eficiente construir capacidad excedente y controlar el sobreajuste mediante mecanismos de regularización, cuyo número es acotado y comportamiento bien comprendido.</w:t>
      </w:r>
      <w:r w:rsidDel="00000000" w:rsidR="00000000" w:rsidRPr="00000000">
        <w:rPr>
          <w:rtl w:val="0"/>
        </w:rPr>
      </w:r>
    </w:p>
    <w:p w:rsidR="00000000" w:rsidDel="00000000" w:rsidP="00000000" w:rsidRDefault="00000000" w:rsidRPr="00000000" w14:paraId="00000123">
      <w:pPr>
        <w:spacing w:after="160" w:line="300" w:lineRule="auto"/>
        <w:jc w:val="both"/>
        <w:rPr/>
      </w:pPr>
      <w:r w:rsidDel="00000000" w:rsidR="00000000" w:rsidRPr="00000000">
        <w:rPr>
          <w:sz w:val="22"/>
          <w:szCs w:val="22"/>
          <w:rtl w:val="0"/>
        </w:rPr>
        <w:t xml:space="preserve">Se implementaron tres capas ocultas de 128 unidades con activación rectificada, normalización por lotes (Géron, 2019, cap. 11, p. 333), abandono con tasa de 0,3 (Géron, 2019, cap. 11, p. 357) y penalización ℓ2 sobre los pesos (Géron, 2019, cap. 11, p. 356). El optimizador seleccionado fue Nadam (Géron, 2019, cap. 11, p. 344) y se aplicó detención temprana con paciencia de quince épocas y restauración de los mejores pesos.</w:t>
      </w:r>
      <w:r w:rsidDel="00000000" w:rsidR="00000000" w:rsidRPr="00000000">
        <w:rPr>
          <w:rtl w:val="0"/>
        </w:rPr>
      </w:r>
    </w:p>
    <w:p w:rsidR="00000000" w:rsidDel="00000000" w:rsidP="00000000" w:rsidRDefault="00000000" w:rsidRPr="00000000" w14:paraId="00000124">
      <w:pPr>
        <w:spacing w:after="160" w:line="300" w:lineRule="auto"/>
        <w:jc w:val="both"/>
        <w:rPr/>
      </w:pPr>
      <w:r w:rsidDel="00000000" w:rsidR="00000000" w:rsidRPr="00000000">
        <w:rPr>
          <w:sz w:val="22"/>
          <w:szCs w:val="22"/>
          <w:rtl w:val="0"/>
        </w:rPr>
        <w:t xml:space="preserve">La capa de salida emplea activación lineal con recorte posterior de las predicciones. Esta decisión resolvió una contradicción entre recomendaciones bibliográficas: una alternativa consistía en emplear activación sigmoide multiplicada por cien, garantizando por construcción el acotamiento del rango. Se descartó porque Géron (2019, cap. 11) advierte sobre la saturación del gradiente de dicha función en sus extremos, fenómeno que resultaría particularmente dañino en este problema, pues las regiones de saturación coinciden con los establecimientos de desempeño extremo —en situación crítica y de excelencia—, precisamente los casos de mayor interés sustantivo.</w:t>
      </w:r>
      <w:r w:rsidDel="00000000" w:rsidR="00000000" w:rsidRPr="00000000">
        <w:rPr>
          <w:rtl w:val="0"/>
        </w:rPr>
      </w:r>
    </w:p>
    <w:p w:rsidR="00000000" w:rsidDel="00000000" w:rsidP="00000000" w:rsidRDefault="00000000" w:rsidRPr="00000000" w14:paraId="00000125">
      <w:pPr>
        <w:spacing w:after="160" w:line="300" w:lineRule="auto"/>
        <w:jc w:val="both"/>
        <w:rPr/>
      </w:pPr>
      <w:r w:rsidDel="00000000" w:rsidR="00000000" w:rsidRPr="00000000">
        <w:rPr>
          <w:sz w:val="22"/>
          <w:szCs w:val="22"/>
          <w:rtl w:val="0"/>
        </w:rPr>
        <w:t xml:space="preserve">La integración con el esquema de validación cruzada agrupada se implementó mediante iteración manual sobre las particiones, decisión fundamentada en las limitaciones documentadas de los envoltorios de compatibilidad, en particular su incompatibilidad con el mecanismo de clonación de estimadores.</w:t>
      </w:r>
      <w:r w:rsidDel="00000000" w:rsidR="00000000" w:rsidRPr="00000000">
        <w:rPr>
          <w:rtl w:val="0"/>
        </w:rPr>
      </w:r>
    </w:p>
    <w:p w:rsidR="00000000" w:rsidDel="00000000" w:rsidP="00000000" w:rsidRDefault="00000000" w:rsidRPr="00000000" w14:paraId="00000126">
      <w:pPr>
        <w:pStyle w:val="Heading2"/>
        <w:spacing w:after="160" w:before="280" w:lineRule="auto"/>
        <w:rPr/>
      </w:pPr>
      <w:r w:rsidDel="00000000" w:rsidR="00000000" w:rsidRPr="00000000">
        <w:rPr>
          <w:rtl w:val="0"/>
        </w:rPr>
        <w:t xml:space="preserve">9.4 Resultados comparativos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200"/>
        <w:gridCol w:w="2060"/>
        <w:gridCol w:w="1200"/>
        <w:gridCol w:w="1200"/>
        <w:gridCol w:w="1400"/>
        <w:tblGridChange w:id="0">
          <w:tblGrid>
            <w:gridCol w:w="2300"/>
            <w:gridCol w:w="1200"/>
            <w:gridCol w:w="2060"/>
            <w:gridCol w:w="1200"/>
            <w:gridCol w:w="1200"/>
            <w:gridCol w:w="140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127">
            <w:pPr>
              <w:spacing w:after="0" w:line="260" w:lineRule="auto"/>
              <w:jc w:val="left"/>
              <w:rPr/>
            </w:pPr>
            <w:r w:rsidDel="00000000" w:rsidR="00000000" w:rsidRPr="00000000">
              <w:rPr>
                <w:b w:val="1"/>
                <w:bCs w:val="1"/>
                <w:sz w:val="19"/>
                <w:szCs w:val="19"/>
                <w:rtl w:val="0"/>
              </w:rPr>
              <w:t xml:space="preserve">Arquitectura</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28">
            <w:pPr>
              <w:spacing w:after="0" w:line="260" w:lineRule="auto"/>
              <w:jc w:val="left"/>
              <w:rPr/>
            </w:pPr>
            <w:r w:rsidDel="00000000" w:rsidR="00000000" w:rsidRPr="00000000">
              <w:rPr>
                <w:b w:val="1"/>
                <w:bCs w:val="1"/>
                <w:sz w:val="19"/>
                <w:szCs w:val="19"/>
                <w:rtl w:val="0"/>
              </w:rPr>
              <w:t xml:space="preserve">R²</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29">
            <w:pPr>
              <w:spacing w:after="0" w:line="260" w:lineRule="auto"/>
              <w:jc w:val="left"/>
              <w:rPr/>
            </w:pPr>
            <w:r w:rsidDel="00000000" w:rsidR="00000000" w:rsidRPr="00000000">
              <w:rPr>
                <w:b w:val="1"/>
                <w:bCs w:val="1"/>
                <w:sz w:val="19"/>
                <w:szCs w:val="19"/>
                <w:rtl w:val="0"/>
              </w:rPr>
              <w:t xml:space="preserve">IC 95 % del R²</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2A">
            <w:pPr>
              <w:spacing w:after="0" w:line="260" w:lineRule="auto"/>
              <w:jc w:val="left"/>
              <w:rPr/>
            </w:pPr>
            <w:r w:rsidDel="00000000" w:rsidR="00000000" w:rsidRPr="00000000">
              <w:rPr>
                <w:b w:val="1"/>
                <w:bCs w:val="1"/>
                <w:sz w:val="19"/>
                <w:szCs w:val="19"/>
                <w:rtl w:val="0"/>
              </w:rPr>
              <w:t xml:space="preserve">MAE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2B">
            <w:pPr>
              <w:spacing w:after="0" w:line="260" w:lineRule="auto"/>
              <w:jc w:val="left"/>
              <w:rPr/>
            </w:pPr>
            <w:r w:rsidDel="00000000" w:rsidR="00000000" w:rsidRPr="00000000">
              <w:rPr>
                <w:b w:val="1"/>
                <w:bCs w:val="1"/>
                <w:sz w:val="19"/>
                <w:szCs w:val="19"/>
                <w:rtl w:val="0"/>
              </w:rPr>
              <w:t xml:space="preserve">RMSE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2C">
            <w:pPr>
              <w:spacing w:after="0" w:line="260" w:lineRule="auto"/>
              <w:jc w:val="left"/>
              <w:rPr/>
            </w:pPr>
            <w:r w:rsidDel="00000000" w:rsidR="00000000" w:rsidRPr="00000000">
              <w:rPr>
                <w:b w:val="1"/>
                <w:bCs w:val="1"/>
                <w:sz w:val="19"/>
                <w:szCs w:val="19"/>
                <w:rtl w:val="0"/>
              </w:rPr>
              <w:t xml:space="preserve">Tiempo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D">
            <w:pPr>
              <w:spacing w:after="0" w:line="260" w:lineRule="auto"/>
              <w:jc w:val="left"/>
              <w:rPr/>
            </w:pPr>
            <w:r w:rsidDel="00000000" w:rsidR="00000000" w:rsidRPr="00000000">
              <w:rPr>
                <w:b w:val="0"/>
                <w:bCs w:val="0"/>
                <w:sz w:val="19"/>
                <w:szCs w:val="19"/>
                <w:rtl w:val="0"/>
              </w:rPr>
              <w:t xml:space="preserve">HistGradientBoosting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E">
            <w:pPr>
              <w:spacing w:after="0" w:line="260" w:lineRule="auto"/>
              <w:jc w:val="right"/>
              <w:rPr/>
            </w:pPr>
            <w:r w:rsidDel="00000000" w:rsidR="00000000" w:rsidRPr="00000000">
              <w:rPr>
                <w:b w:val="0"/>
                <w:bCs w:val="0"/>
                <w:sz w:val="19"/>
                <w:szCs w:val="19"/>
                <w:rtl w:val="0"/>
              </w:rPr>
              <w:t xml:space="preserve">0,6372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F">
            <w:pPr>
              <w:spacing w:after="0" w:line="260" w:lineRule="auto"/>
              <w:jc w:val="left"/>
              <w:rPr/>
            </w:pPr>
            <w:r w:rsidDel="00000000" w:rsidR="00000000" w:rsidRPr="00000000">
              <w:rPr>
                <w:b w:val="0"/>
                <w:bCs w:val="0"/>
                <w:sz w:val="19"/>
                <w:szCs w:val="19"/>
                <w:rtl w:val="0"/>
              </w:rPr>
              <w:t xml:space="preserve">[0,6335 – 0,6410]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0">
            <w:pPr>
              <w:spacing w:after="0" w:line="260" w:lineRule="auto"/>
              <w:jc w:val="right"/>
              <w:rPr/>
            </w:pPr>
            <w:r w:rsidDel="00000000" w:rsidR="00000000" w:rsidRPr="00000000">
              <w:rPr>
                <w:b w:val="0"/>
                <w:bCs w:val="0"/>
                <w:sz w:val="19"/>
                <w:szCs w:val="19"/>
                <w:rtl w:val="0"/>
              </w:rPr>
              <w:t xml:space="preserve">2,329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line="260" w:lineRule="auto"/>
              <w:jc w:val="right"/>
              <w:rPr/>
            </w:pPr>
            <w:r w:rsidDel="00000000" w:rsidR="00000000" w:rsidRPr="00000000">
              <w:rPr>
                <w:b w:val="0"/>
                <w:bCs w:val="0"/>
                <w:sz w:val="19"/>
                <w:szCs w:val="19"/>
                <w:rtl w:val="0"/>
              </w:rPr>
              <w:t xml:space="preserve">3,361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260" w:lineRule="auto"/>
              <w:jc w:val="left"/>
              <w:rPr/>
            </w:pPr>
            <w:r w:rsidDel="00000000" w:rsidR="00000000" w:rsidRPr="00000000">
              <w:rPr>
                <w:b w:val="0"/>
                <w:bCs w:val="0"/>
                <w:sz w:val="19"/>
                <w:szCs w:val="19"/>
                <w:rtl w:val="0"/>
              </w:rPr>
              <w:t xml:space="preserve">16,3 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3">
            <w:pPr>
              <w:spacing w:after="0" w:line="260" w:lineRule="auto"/>
              <w:jc w:val="left"/>
              <w:rPr/>
            </w:pPr>
            <w:r w:rsidDel="00000000" w:rsidR="00000000" w:rsidRPr="00000000">
              <w:rPr>
                <w:b w:val="0"/>
                <w:bCs w:val="0"/>
                <w:sz w:val="19"/>
                <w:szCs w:val="19"/>
                <w:rtl w:val="0"/>
              </w:rPr>
              <w:t xml:space="preserve">Perceptrón multicapa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260" w:lineRule="auto"/>
              <w:jc w:val="right"/>
              <w:rPr/>
            </w:pPr>
            <w:r w:rsidDel="00000000" w:rsidR="00000000" w:rsidRPr="00000000">
              <w:rPr>
                <w:b w:val="0"/>
                <w:bCs w:val="0"/>
                <w:sz w:val="19"/>
                <w:szCs w:val="19"/>
                <w:rtl w:val="0"/>
              </w:rPr>
              <w:t xml:space="preserve">0,6298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5">
            <w:pPr>
              <w:spacing w:after="0" w:line="260" w:lineRule="auto"/>
              <w:jc w:val="left"/>
              <w:rPr/>
            </w:pPr>
            <w:r w:rsidDel="00000000" w:rsidR="00000000" w:rsidRPr="00000000">
              <w:rPr>
                <w:b w:val="0"/>
                <w:bCs w:val="0"/>
                <w:sz w:val="19"/>
                <w:szCs w:val="19"/>
                <w:rtl w:val="0"/>
              </w:rPr>
              <w:t xml:space="preserve">[0,6199 – 0,6398]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spacing w:after="0" w:line="260" w:lineRule="auto"/>
              <w:jc w:val="right"/>
              <w:rPr/>
            </w:pPr>
            <w:r w:rsidDel="00000000" w:rsidR="00000000" w:rsidRPr="00000000">
              <w:rPr>
                <w:b w:val="0"/>
                <w:bCs w:val="0"/>
                <w:sz w:val="19"/>
                <w:szCs w:val="19"/>
                <w:rtl w:val="0"/>
              </w:rPr>
              <w:t xml:space="preserve">2,374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7">
            <w:pPr>
              <w:spacing w:after="0" w:line="260" w:lineRule="auto"/>
              <w:jc w:val="right"/>
              <w:rPr/>
            </w:pPr>
            <w:r w:rsidDel="00000000" w:rsidR="00000000" w:rsidRPr="00000000">
              <w:rPr>
                <w:b w:val="0"/>
                <w:bCs w:val="0"/>
                <w:sz w:val="19"/>
                <w:szCs w:val="19"/>
                <w:rtl w:val="0"/>
              </w:rPr>
              <w:t xml:space="preserve">3,395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spacing w:after="0" w:line="260" w:lineRule="auto"/>
              <w:jc w:val="left"/>
              <w:rPr/>
            </w:pPr>
            <w:r w:rsidDel="00000000" w:rsidR="00000000" w:rsidRPr="00000000">
              <w:rPr>
                <w:b w:val="0"/>
                <w:bCs w:val="0"/>
                <w:sz w:val="19"/>
                <w:szCs w:val="19"/>
                <w:rtl w:val="0"/>
              </w:rPr>
              <w:t xml:space="preserve">10,4 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9">
            <w:pPr>
              <w:spacing w:after="0" w:line="260" w:lineRule="auto"/>
              <w:jc w:val="left"/>
              <w:rPr/>
            </w:pPr>
            <w:r w:rsidDel="00000000" w:rsidR="00000000" w:rsidRPr="00000000">
              <w:rPr>
                <w:b w:val="0"/>
                <w:bCs w:val="0"/>
                <w:sz w:val="19"/>
                <w:szCs w:val="19"/>
                <w:rtl w:val="0"/>
              </w:rPr>
              <w:t xml:space="preserve">Random Forest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A">
            <w:pPr>
              <w:spacing w:after="0" w:line="260" w:lineRule="auto"/>
              <w:jc w:val="right"/>
              <w:rPr/>
            </w:pPr>
            <w:r w:rsidDel="00000000" w:rsidR="00000000" w:rsidRPr="00000000">
              <w:rPr>
                <w:b w:val="0"/>
                <w:bCs w:val="0"/>
                <w:sz w:val="19"/>
                <w:szCs w:val="19"/>
                <w:rtl w:val="0"/>
              </w:rPr>
              <w:t xml:space="preserve">0,6135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0" w:line="260" w:lineRule="auto"/>
              <w:jc w:val="left"/>
              <w:rPr/>
            </w:pPr>
            <w:r w:rsidDel="00000000" w:rsidR="00000000" w:rsidRPr="00000000">
              <w:rPr>
                <w:b w:val="0"/>
                <w:bCs w:val="0"/>
                <w:sz w:val="19"/>
                <w:szCs w:val="19"/>
                <w:rtl w:val="0"/>
              </w:rPr>
              <w:t xml:space="preserve">[0,6095 – 0,6174]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spacing w:after="0" w:line="260" w:lineRule="auto"/>
              <w:jc w:val="right"/>
              <w:rPr/>
            </w:pPr>
            <w:r w:rsidDel="00000000" w:rsidR="00000000" w:rsidRPr="00000000">
              <w:rPr>
                <w:b w:val="0"/>
                <w:bCs w:val="0"/>
                <w:sz w:val="19"/>
                <w:szCs w:val="19"/>
                <w:rtl w:val="0"/>
              </w:rPr>
              <w:t xml:space="preserve">2,434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260" w:lineRule="auto"/>
              <w:jc w:val="right"/>
              <w:rPr/>
            </w:pPr>
            <w:r w:rsidDel="00000000" w:rsidR="00000000" w:rsidRPr="00000000">
              <w:rPr>
                <w:b w:val="0"/>
                <w:bCs w:val="0"/>
                <w:sz w:val="19"/>
                <w:szCs w:val="19"/>
                <w:rtl w:val="0"/>
              </w:rPr>
              <w:t xml:space="preserve">3,469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260" w:lineRule="auto"/>
              <w:jc w:val="left"/>
              <w:rPr/>
            </w:pPr>
            <w:r w:rsidDel="00000000" w:rsidR="00000000" w:rsidRPr="00000000">
              <w:rPr>
                <w:b w:val="0"/>
                <w:bCs w:val="0"/>
                <w:sz w:val="19"/>
                <w:szCs w:val="19"/>
                <w:rtl w:val="0"/>
              </w:rPr>
              <w:t xml:space="preserve">105,7 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F">
            <w:pPr>
              <w:spacing w:after="0" w:line="260" w:lineRule="auto"/>
              <w:jc w:val="left"/>
              <w:rPr/>
            </w:pPr>
            <w:r w:rsidDel="00000000" w:rsidR="00000000" w:rsidRPr="00000000">
              <w:rPr>
                <w:b w:val="0"/>
                <w:bCs w:val="0"/>
                <w:sz w:val="19"/>
                <w:szCs w:val="19"/>
                <w:rtl w:val="0"/>
              </w:rPr>
              <w:t xml:space="preserve">Predictor trivial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spacing w:after="0" w:line="260" w:lineRule="auto"/>
              <w:jc w:val="left"/>
              <w:rPr/>
            </w:pPr>
            <w:r w:rsidDel="00000000" w:rsidR="00000000" w:rsidRPr="00000000">
              <w:rPr>
                <w:b w:val="0"/>
                <w:bCs w:val="0"/>
                <w:sz w:val="19"/>
                <w:szCs w:val="19"/>
                <w:rtl w:val="0"/>
              </w:rPr>
              <w:t xml:space="preserve">−0,0004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spacing w:after="0" w:line="260" w:lineRule="auto"/>
              <w:jc w:val="left"/>
              <w:rPr/>
            </w:pPr>
            <w:r w:rsidDel="00000000" w:rsidR="00000000" w:rsidRPr="00000000">
              <w:rPr>
                <w:b w:val="0"/>
                <w:bCs w:val="0"/>
                <w:sz w:val="19"/>
                <w:szCs w:val="19"/>
                <w:rtl w:val="0"/>
              </w:rPr>
              <w:t xml:space="preserve">[−0,0008 – 0,0001]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2">
            <w:pPr>
              <w:spacing w:after="0" w:line="260" w:lineRule="auto"/>
              <w:jc w:val="right"/>
              <w:rPr/>
            </w:pPr>
            <w:r w:rsidDel="00000000" w:rsidR="00000000" w:rsidRPr="00000000">
              <w:rPr>
                <w:b w:val="0"/>
                <w:bCs w:val="0"/>
                <w:sz w:val="19"/>
                <w:szCs w:val="19"/>
                <w:rtl w:val="0"/>
              </w:rPr>
              <w:t xml:space="preserve">4,348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3">
            <w:pPr>
              <w:spacing w:after="0" w:line="260" w:lineRule="auto"/>
              <w:jc w:val="right"/>
              <w:rPr/>
            </w:pPr>
            <w:r w:rsidDel="00000000" w:rsidR="00000000" w:rsidRPr="00000000">
              <w:rPr>
                <w:b w:val="0"/>
                <w:bCs w:val="0"/>
                <w:sz w:val="19"/>
                <w:szCs w:val="19"/>
                <w:rtl w:val="0"/>
              </w:rPr>
              <w:t xml:space="preserve">5,581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4">
            <w:pPr>
              <w:spacing w:after="0" w:line="260" w:lineRule="auto"/>
              <w:jc w:val="left"/>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145">
      <w:pPr>
        <w:spacing w:after="240" w:before="80" w:lineRule="auto"/>
        <w:rPr/>
      </w:pPr>
      <w:r w:rsidDel="00000000" w:rsidR="00000000" w:rsidRPr="00000000">
        <w:rPr>
          <w:i w:val="1"/>
          <w:iCs w:val="1"/>
          <w:sz w:val="18"/>
          <w:szCs w:val="18"/>
          <w:rtl w:val="0"/>
        </w:rPr>
        <w:t xml:space="preserve">Tabla 6. Comparación de arquitecturas sobre validación cruzada agrupada de cinco particiones. Elaboración propia.</w:t>
      </w:r>
      <w:r w:rsidDel="00000000" w:rsidR="00000000" w:rsidRPr="00000000">
        <w:rPr>
          <w:rtl w:val="0"/>
        </w:rPr>
      </w:r>
    </w:p>
    <w:p w:rsidR="00000000" w:rsidDel="00000000" w:rsidP="00000000" w:rsidRDefault="00000000" w:rsidRPr="00000000" w14:paraId="00000146">
      <w:pPr>
        <w:spacing w:after="160" w:line="300" w:lineRule="auto"/>
        <w:jc w:val="both"/>
        <w:rPr/>
      </w:pPr>
      <w:r w:rsidDel="00000000" w:rsidR="00000000" w:rsidRPr="00000000">
        <w:rPr>
          <w:sz w:val="22"/>
          <w:szCs w:val="22"/>
          <w:rtl w:val="0"/>
        </w:rPr>
        <w:t xml:space="preserve">El predictor trivial arrojó un coeficiente de determinación de −0,0004, valor esperado para una predicción constante, lo que valida la ausencia de fuga de información en el flujo de preprocesamiento.</w:t>
      </w:r>
      <w:r w:rsidDel="00000000" w:rsidR="00000000" w:rsidRPr="00000000">
        <w:rPr>
          <w:rtl w:val="0"/>
        </w:rPr>
      </w:r>
    </w:p>
    <w:p w:rsidR="00000000" w:rsidDel="00000000" w:rsidP="00000000" w:rsidRDefault="00000000" w:rsidRPr="00000000" w14:paraId="00000147">
      <w:pPr>
        <w:pStyle w:val="Heading2"/>
        <w:spacing w:after="160" w:before="280" w:lineRule="auto"/>
        <w:rPr/>
      </w:pPr>
      <w:r w:rsidDel="00000000" w:rsidR="00000000" w:rsidRPr="00000000">
        <w:rPr>
          <w:rtl w:val="0"/>
        </w:rPr>
        <w:t xml:space="preserve">9.5 Inferencia estadística sobre las diferencias</w:t>
      </w:r>
    </w:p>
    <w:p w:rsidR="00000000" w:rsidDel="00000000" w:rsidP="00000000" w:rsidRDefault="00000000" w:rsidRPr="00000000" w14:paraId="00000148">
      <w:pPr>
        <w:spacing w:after="160" w:line="300" w:lineRule="auto"/>
        <w:jc w:val="both"/>
        <w:rPr/>
      </w:pPr>
      <w:r w:rsidDel="00000000" w:rsidR="00000000" w:rsidRPr="00000000">
        <w:rPr>
          <w:sz w:val="22"/>
          <w:szCs w:val="22"/>
          <w:rtl w:val="0"/>
        </w:rPr>
        <w:t xml:space="preserve">La afirmación de superioridad de una arquitectura requiere sustento inferencial. Se calcularon intervalos de confianza al 95 % sobre las métricas mediante distribución t de Student, apropiada dado que la varianza se estima a partir de cinco observaciones, y se complementaron con pruebas t pareadas sobre la raíz del error cuadrático medio.</w:t>
      </w:r>
      <w:r w:rsidDel="00000000" w:rsidR="00000000" w:rsidRPr="00000000">
        <w:rPr>
          <w:rtl w:val="0"/>
        </w:rPr>
      </w:r>
    </w:p>
    <w:p w:rsidR="00000000" w:rsidDel="00000000" w:rsidP="00000000" w:rsidRDefault="00000000" w:rsidRPr="00000000" w14:paraId="00000149">
      <w:pPr>
        <w:spacing w:after="160" w:line="300" w:lineRule="auto"/>
        <w:jc w:val="both"/>
        <w:rPr/>
      </w:pPr>
      <w:r w:rsidDel="00000000" w:rsidR="00000000" w:rsidRPr="00000000">
        <w:rPr>
          <w:sz w:val="22"/>
          <w:szCs w:val="22"/>
          <w:rtl w:val="0"/>
        </w:rPr>
        <w:t xml:space="preserve">El criterio de solapamiento de intervalos y la prueba pareada arrojaron conclusiones divergentes, discrepancia que exige resolución explícita. El criterio de solapamiento resulta excesivamente conservador en este diseño porque ignora que las arquitecturas se evaluaron sobre las mismas particiones: sus errores se encuentran correlacionados, de modo que el intervalo marginal incorpora la variabilidad entre particiones, común a todos los modelos. La prueba pareada elimina dicha fuente de variación y compara directamente la diferencia dentro de cada partición. Se adoptó, en consecuencia, la prueba pareada como criterio decisorio.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1600"/>
        <w:gridCol w:w="2760"/>
        <w:tblGridChange w:id="0">
          <w:tblGrid>
            <w:gridCol w:w="3600"/>
            <w:gridCol w:w="1400"/>
            <w:gridCol w:w="1600"/>
            <w:gridCol w:w="276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14A">
            <w:pPr>
              <w:spacing w:after="0" w:line="260" w:lineRule="auto"/>
              <w:jc w:val="left"/>
              <w:rPr/>
            </w:pPr>
            <w:r w:rsidDel="00000000" w:rsidR="00000000" w:rsidRPr="00000000">
              <w:rPr>
                <w:b w:val="1"/>
                <w:bCs w:val="1"/>
                <w:sz w:val="19"/>
                <w:szCs w:val="19"/>
                <w:rtl w:val="0"/>
              </w:rPr>
              <w:t xml:space="preserve">Comparación</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4B">
            <w:pPr>
              <w:spacing w:after="0" w:line="260" w:lineRule="auto"/>
              <w:jc w:val="left"/>
              <w:rPr/>
            </w:pPr>
            <w:r w:rsidDel="00000000" w:rsidR="00000000" w:rsidRPr="00000000">
              <w:rPr>
                <w:b w:val="1"/>
                <w:bCs w:val="1"/>
                <w:sz w:val="19"/>
                <w:szCs w:val="19"/>
                <w:rtl w:val="0"/>
              </w:rPr>
              <w:t xml:space="preserve">Estadístico t</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4C">
            <w:pPr>
              <w:spacing w:after="0" w:line="260" w:lineRule="auto"/>
              <w:jc w:val="left"/>
              <w:rPr/>
            </w:pPr>
            <w:r w:rsidDel="00000000" w:rsidR="00000000" w:rsidRPr="00000000">
              <w:rPr>
                <w:b w:val="1"/>
                <w:bCs w:val="1"/>
                <w:sz w:val="19"/>
                <w:szCs w:val="19"/>
                <w:rtl w:val="0"/>
              </w:rPr>
              <w:t xml:space="preserve">Valor p</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4D">
            <w:pPr>
              <w:spacing w:after="0" w:line="260" w:lineRule="auto"/>
              <w:jc w:val="left"/>
              <w:rPr/>
            </w:pPr>
            <w:r w:rsidDel="00000000" w:rsidR="00000000" w:rsidRPr="00000000">
              <w:rPr>
                <w:b w:val="1"/>
                <w:bCs w:val="1"/>
                <w:sz w:val="19"/>
                <w:szCs w:val="19"/>
                <w:rtl w:val="0"/>
              </w:rPr>
              <w:t xml:space="preserve">Conclusión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E">
            <w:pPr>
              <w:spacing w:after="0" w:line="260" w:lineRule="auto"/>
              <w:jc w:val="left"/>
              <w:rPr/>
            </w:pPr>
            <w:r w:rsidDel="00000000" w:rsidR="00000000" w:rsidRPr="00000000">
              <w:rPr>
                <w:b w:val="0"/>
                <w:bCs w:val="0"/>
                <w:sz w:val="19"/>
                <w:szCs w:val="19"/>
                <w:rtl w:val="0"/>
              </w:rPr>
              <w:t xml:space="preserve">HistGradientBoosting frente a MLP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F">
            <w:pPr>
              <w:spacing w:after="0" w:line="260" w:lineRule="auto"/>
              <w:jc w:val="left"/>
              <w:rPr/>
            </w:pPr>
            <w:r w:rsidDel="00000000" w:rsidR="00000000" w:rsidRPr="00000000">
              <w:rPr>
                <w:b w:val="0"/>
                <w:bCs w:val="0"/>
                <w:sz w:val="19"/>
                <w:szCs w:val="19"/>
                <w:rtl w:val="0"/>
              </w:rPr>
              <w:t xml:space="preserve">−1,976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spacing w:after="0" w:line="260" w:lineRule="auto"/>
              <w:jc w:val="right"/>
              <w:rPr/>
            </w:pPr>
            <w:r w:rsidDel="00000000" w:rsidR="00000000" w:rsidRPr="00000000">
              <w:rPr>
                <w:b w:val="0"/>
                <w:bCs w:val="0"/>
                <w:sz w:val="19"/>
                <w:szCs w:val="19"/>
                <w:rtl w:val="0"/>
              </w:rPr>
              <w:t xml:space="preserve">0,1194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line="260" w:lineRule="auto"/>
              <w:jc w:val="left"/>
              <w:rPr/>
            </w:pPr>
            <w:r w:rsidDel="00000000" w:rsidR="00000000" w:rsidRPr="00000000">
              <w:rPr>
                <w:b w:val="0"/>
                <w:bCs w:val="0"/>
                <w:sz w:val="19"/>
                <w:szCs w:val="19"/>
                <w:rtl w:val="0"/>
              </w:rPr>
              <w:t xml:space="preserve">Equivalencia estadística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2">
            <w:pPr>
              <w:spacing w:after="0" w:line="260" w:lineRule="auto"/>
              <w:jc w:val="left"/>
              <w:rPr/>
            </w:pPr>
            <w:r w:rsidDel="00000000" w:rsidR="00000000" w:rsidRPr="00000000">
              <w:rPr>
                <w:b w:val="0"/>
                <w:bCs w:val="0"/>
                <w:sz w:val="19"/>
                <w:szCs w:val="19"/>
                <w:rtl w:val="0"/>
              </w:rPr>
              <w:t xml:space="preserve">HistGradientBoosting frente a Random Forest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260" w:lineRule="auto"/>
              <w:jc w:val="left"/>
              <w:rPr/>
            </w:pPr>
            <w:r w:rsidDel="00000000" w:rsidR="00000000" w:rsidRPr="00000000">
              <w:rPr>
                <w:b w:val="0"/>
                <w:bCs w:val="0"/>
                <w:sz w:val="19"/>
                <w:szCs w:val="19"/>
                <w:rtl w:val="0"/>
              </w:rPr>
              <w:t xml:space="preserve">−17,280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0" w:line="260" w:lineRule="auto"/>
              <w:jc w:val="right"/>
              <w:rPr/>
            </w:pPr>
            <w:r w:rsidDel="00000000" w:rsidR="00000000" w:rsidRPr="00000000">
              <w:rPr>
                <w:b w:val="0"/>
                <w:bCs w:val="0"/>
                <w:sz w:val="19"/>
                <w:szCs w:val="19"/>
                <w:rtl w:val="0"/>
              </w:rPr>
              <w:t xml:space="preserve">0,0001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line="260" w:lineRule="auto"/>
              <w:jc w:val="left"/>
              <w:rPr/>
            </w:pPr>
            <w:r w:rsidDel="00000000" w:rsidR="00000000" w:rsidRPr="00000000">
              <w:rPr>
                <w:b w:val="0"/>
                <w:bCs w:val="0"/>
                <w:sz w:val="19"/>
                <w:szCs w:val="19"/>
                <w:rtl w:val="0"/>
              </w:rPr>
              <w:t xml:space="preserve">Superioridad significativa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6">
            <w:pPr>
              <w:spacing w:after="0" w:line="260" w:lineRule="auto"/>
              <w:jc w:val="left"/>
              <w:rPr/>
            </w:pPr>
            <w:r w:rsidDel="00000000" w:rsidR="00000000" w:rsidRPr="00000000">
              <w:rPr>
                <w:b w:val="0"/>
                <w:bCs w:val="0"/>
                <w:sz w:val="19"/>
                <w:szCs w:val="19"/>
                <w:rtl w:val="0"/>
              </w:rPr>
              <w:t xml:space="preserve">MLP frente a Random Forest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spacing w:after="0" w:line="260" w:lineRule="auto"/>
              <w:jc w:val="left"/>
              <w:rPr/>
            </w:pPr>
            <w:r w:rsidDel="00000000" w:rsidR="00000000" w:rsidRPr="00000000">
              <w:rPr>
                <w:b w:val="0"/>
                <w:bCs w:val="0"/>
                <w:sz w:val="19"/>
                <w:szCs w:val="19"/>
                <w:rtl w:val="0"/>
              </w:rPr>
              <w:t xml:space="preserve">−4,874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0" w:line="260" w:lineRule="auto"/>
              <w:jc w:val="right"/>
              <w:rPr/>
            </w:pPr>
            <w:r w:rsidDel="00000000" w:rsidR="00000000" w:rsidRPr="00000000">
              <w:rPr>
                <w:b w:val="0"/>
                <w:bCs w:val="0"/>
                <w:sz w:val="19"/>
                <w:szCs w:val="19"/>
                <w:rtl w:val="0"/>
              </w:rPr>
              <w:t xml:space="preserve">0,0082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0" w:line="260" w:lineRule="auto"/>
              <w:jc w:val="left"/>
              <w:rPr/>
            </w:pPr>
            <w:r w:rsidDel="00000000" w:rsidR="00000000" w:rsidRPr="00000000">
              <w:rPr>
                <w:b w:val="0"/>
                <w:bCs w:val="0"/>
                <w:sz w:val="19"/>
                <w:szCs w:val="19"/>
                <w:rtl w:val="0"/>
              </w:rPr>
              <w:t xml:space="preserve">Superioridad significativa</w:t>
            </w:r>
            <w:r w:rsidDel="00000000" w:rsidR="00000000" w:rsidRPr="00000000">
              <w:rPr>
                <w:rtl w:val="0"/>
              </w:rPr>
            </w:r>
          </w:p>
        </w:tc>
      </w:tr>
    </w:tbl>
    <w:p w:rsidR="00000000" w:rsidDel="00000000" w:rsidP="00000000" w:rsidRDefault="00000000" w:rsidRPr="00000000" w14:paraId="0000015A">
      <w:pPr>
        <w:spacing w:after="240" w:before="80" w:lineRule="auto"/>
        <w:rPr/>
      </w:pPr>
      <w:r w:rsidDel="00000000" w:rsidR="00000000" w:rsidRPr="00000000">
        <w:rPr>
          <w:i w:val="1"/>
          <w:iCs w:val="1"/>
          <w:sz w:val="18"/>
          <w:szCs w:val="18"/>
          <w:rtl w:val="0"/>
        </w:rPr>
        <w:t xml:space="preserve">Tabla 7. Pruebas t pareadas sobre la raíz del error cuadrático medio. Elaboración propia.</w:t>
      </w:r>
      <w:r w:rsidDel="00000000" w:rsidR="00000000" w:rsidRPr="00000000">
        <w:rPr>
          <w:rtl w:val="0"/>
        </w:rPr>
      </w:r>
    </w:p>
    <w:p w:rsidR="00000000" w:rsidDel="00000000" w:rsidP="00000000" w:rsidRDefault="00000000" w:rsidRPr="00000000" w14:paraId="0000015B">
      <w:pPr>
        <w:spacing w:after="160" w:line="300" w:lineRule="auto"/>
        <w:jc w:val="both"/>
        <w:rPr/>
      </w:pPr>
      <w:r w:rsidDel="00000000" w:rsidR="00000000" w:rsidRPr="00000000">
        <w:rPr>
          <w:sz w:val="22"/>
          <w:szCs w:val="22"/>
          <w:rtl w:val="0"/>
        </w:rPr>
        <w:t xml:space="preserve">El ordenamiento resultante establece equivalencia estadística entre el potenciamiento por histogramas y la red neuronal, y superioridad significativa de ambos sobre el bosque aleatorio.</w:t>
      </w:r>
      <w:r w:rsidDel="00000000" w:rsidR="00000000" w:rsidRPr="00000000">
        <w:rPr>
          <w:rtl w:val="0"/>
        </w:rPr>
      </w:r>
    </w:p>
    <w:p w:rsidR="00000000" w:rsidDel="00000000" w:rsidP="00000000" w:rsidRDefault="00000000" w:rsidRPr="00000000" w14:paraId="0000015C">
      <w:pPr>
        <w:spacing w:after="160" w:line="300" w:lineRule="auto"/>
        <w:jc w:val="both"/>
        <w:rPr/>
      </w:pPr>
      <w:r w:rsidDel="00000000" w:rsidR="00000000" w:rsidRPr="00000000">
        <w:rPr>
          <w:sz w:val="22"/>
          <w:szCs w:val="22"/>
          <w:rtl w:val="0"/>
        </w:rPr>
        <w:t xml:space="preserve">Corresponde destacar una asimetría del diseño que favorece la interpretación del resultado de la red neuronal: dicha arquitectura se entrenó con una configuración única, sin búsqueda de hiperparámetros, mientras las arquitecturas de árboles exploraron veinte configuraciones cada una. Que alcance equivalencia estadística en esas condiciones sugiere margen de mejora no explorado y matiza la expectativa, documentada en la literatura, de inferioridad sistemática del aprendizaje profundo sobre datos tabulares de volumen moderado.</w:t>
      </w:r>
      <w:r w:rsidDel="00000000" w:rsidR="00000000" w:rsidRPr="00000000">
        <w:rPr>
          <w:rtl w:val="0"/>
        </w:rPr>
      </w:r>
    </w:p>
    <w:p w:rsidR="00000000" w:rsidDel="00000000" w:rsidP="00000000" w:rsidRDefault="00000000" w:rsidRPr="00000000" w14:paraId="0000015D">
      <w:pPr>
        <w:pStyle w:val="Heading2"/>
        <w:spacing w:after="160" w:before="280" w:lineRule="auto"/>
        <w:rPr/>
      </w:pPr>
      <w:r w:rsidDel="00000000" w:rsidR="00000000" w:rsidRPr="00000000">
        <w:rPr>
          <w:rtl w:val="0"/>
        </w:rPr>
        <w:t xml:space="preserve">9.6 Selección del modelo de producción</w:t>
      </w:r>
    </w:p>
    <w:p w:rsidR="00000000" w:rsidDel="00000000" w:rsidP="00000000" w:rsidRDefault="00000000" w:rsidRPr="00000000" w14:paraId="0000015E">
      <w:pPr>
        <w:spacing w:after="160" w:line="300" w:lineRule="auto"/>
        <w:jc w:val="both"/>
        <w:rPr/>
      </w:pPr>
      <w:r w:rsidDel="00000000" w:rsidR="00000000" w:rsidRPr="00000000">
        <w:rPr>
          <w:sz w:val="22"/>
          <w:szCs w:val="22"/>
          <w:rtl w:val="0"/>
        </w:rPr>
        <w:t xml:space="preserve">Ante la equivalencia estadística entre las dos arquitecturas superiores, la elección se resolvió mediante criterios secundarios. Se seleccionó el potenciamiento por histogramas atendiendo a cuatro consideraciones: compatibilidad con el explicador exacto de valores de Shapley para modelos de árboles, frente a las aproximaciones requeridas en redes neuronales; serialización en archivo único sin dependencia del marco de aprendizaje profundo en el entorno de despliegue; ausencia de requerimiento de escalamiento y de aceleración por hardware; y menor dispersión entre particiones, con desviación de 0,0027 frente a 0,0072.</w:t>
      </w:r>
      <w:r w:rsidDel="00000000" w:rsidR="00000000" w:rsidRPr="00000000">
        <w:rPr>
          <w:rtl w:val="0"/>
        </w:rPr>
      </w:r>
    </w:p>
    <w:p w:rsidR="00000000" w:rsidDel="00000000" w:rsidP="00000000" w:rsidRDefault="00000000" w:rsidRPr="00000000" w14:paraId="0000015F">
      <w:pPr>
        <w:spacing w:after="160" w:line="300" w:lineRule="auto"/>
        <w:jc w:val="both"/>
        <w:rPr/>
      </w:pPr>
      <w:r w:rsidDel="00000000" w:rsidR="00000000" w:rsidRPr="00000000">
        <w:rPr>
          <w:sz w:val="22"/>
          <w:szCs w:val="22"/>
          <w:rtl w:val="0"/>
        </w:rPr>
        <w:t xml:space="preserve">La configuración seleccionada comprende tasa de aprendizaje de 0,03, quinientas iteraciones máximas, profundidad de 5, 31 hojas terminales, mínimo de 25 muestras por hoja y regularización ℓ2 de 0,1.</w:t>
      </w: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spacing w:after="200" w:before="360" w:lineRule="auto"/>
        <w:rPr/>
      </w:pPr>
      <w:r w:rsidDel="00000000" w:rsidR="00000000" w:rsidRPr="00000000">
        <w:rPr>
          <w:rtl w:val="0"/>
        </w:rPr>
        <w:t xml:space="preserve">10. Fase VIII: Diseño de la persistencia normalizada</w:t>
      </w:r>
    </w:p>
    <w:p w:rsidR="00000000" w:rsidDel="00000000" w:rsidP="00000000" w:rsidRDefault="00000000" w:rsidRPr="00000000" w14:paraId="00000162">
      <w:pPr>
        <w:pStyle w:val="Heading2"/>
        <w:spacing w:after="160" w:before="280" w:lineRule="auto"/>
        <w:rPr/>
      </w:pPr>
      <w:r w:rsidDel="00000000" w:rsidR="00000000" w:rsidRPr="00000000">
        <w:rPr>
          <w:rtl w:val="0"/>
        </w:rPr>
        <w:t xml:space="preserve">10.1 Fundamento de la separación en esquemas</w:t>
      </w:r>
    </w:p>
    <w:p w:rsidR="00000000" w:rsidDel="00000000" w:rsidP="00000000" w:rsidRDefault="00000000" w:rsidRPr="00000000" w14:paraId="00000163">
      <w:pPr>
        <w:spacing w:after="160" w:line="300" w:lineRule="auto"/>
        <w:jc w:val="both"/>
        <w:rPr/>
      </w:pPr>
      <w:r w:rsidDel="00000000" w:rsidR="00000000" w:rsidRPr="00000000">
        <w:rPr>
          <w:sz w:val="22"/>
          <w:szCs w:val="22"/>
          <w:rtl w:val="0"/>
        </w:rPr>
        <w:t xml:space="preserve">El diseño de la base de datos respeta la separación entre almacenamiento analítico y transaccional declarada en la arquitectura de solución del proyecto. Se estructuró en cuatro esquemas: catálogos y dimensiones, hechos observados, registro de modelos e inferencias, y transaccional de aplicación.</w:t>
      </w:r>
      <w:r w:rsidDel="00000000" w:rsidR="00000000" w:rsidRPr="00000000">
        <w:rPr>
          <w:rtl w:val="0"/>
        </w:rPr>
      </w:r>
    </w:p>
    <w:p w:rsidR="00000000" w:rsidDel="00000000" w:rsidP="00000000" w:rsidRDefault="00000000" w:rsidRPr="00000000" w14:paraId="00000164">
      <w:pPr>
        <w:spacing w:after="160" w:line="300" w:lineRule="auto"/>
        <w:jc w:val="both"/>
        <w:rPr/>
      </w:pPr>
      <w:r w:rsidDel="00000000" w:rsidR="00000000" w:rsidRPr="00000000">
        <w:rPr>
          <w:sz w:val="22"/>
          <w:szCs w:val="22"/>
          <w:rtl w:val="0"/>
        </w:rPr>
        <w:t xml:space="preserve">La tabla ancha empleada durante el modelamiento no constituye una representación adecuada para la persistencia. Su vuelco directo perpetuaría los valores nulos estructurales y las anomalías de actualización propias de un diseño no normalizado.</w:t>
      </w:r>
      <w:r w:rsidDel="00000000" w:rsidR="00000000" w:rsidRPr="00000000">
        <w:rPr>
          <w:rtl w:val="0"/>
        </w:rPr>
      </w:r>
    </w:p>
    <w:p w:rsidR="00000000" w:rsidDel="00000000" w:rsidP="00000000" w:rsidRDefault="00000000" w:rsidRPr="00000000" w14:paraId="00000165">
      <w:pPr>
        <w:pStyle w:val="Heading2"/>
        <w:spacing w:after="160" w:before="280" w:lineRule="auto"/>
        <w:rPr/>
      </w:pPr>
      <w:r w:rsidDel="00000000" w:rsidR="00000000" w:rsidRPr="00000000">
        <w:rPr>
          <w:rtl w:val="0"/>
        </w:rPr>
        <w:t xml:space="preserve">10.2 Decisiones de normalización</w:t>
      </w:r>
    </w:p>
    <w:p w:rsidR="00000000" w:rsidDel="00000000" w:rsidP="00000000" w:rsidRDefault="00000000" w:rsidRPr="00000000" w14:paraId="00000166">
      <w:pPr>
        <w:spacing w:after="160" w:line="300" w:lineRule="auto"/>
        <w:jc w:val="both"/>
        <w:rPr/>
      </w:pPr>
      <w:r w:rsidDel="00000000" w:rsidR="00000000" w:rsidRPr="00000000">
        <w:rPr>
          <w:sz w:val="22"/>
          <w:szCs w:val="22"/>
          <w:rtl w:val="0"/>
        </w:rPr>
        <w:t xml:space="preserve">Seis decisiones estructuran el diseño y merecen consignarse por su vinculación con hallazgos del desarrollo.</w:t>
      </w:r>
      <w:r w:rsidDel="00000000" w:rsidR="00000000" w:rsidRPr="00000000">
        <w:rPr>
          <w:rtl w:val="0"/>
        </w:rPr>
      </w:r>
    </w:p>
    <w:p w:rsidR="00000000" w:rsidDel="00000000" w:rsidP="00000000" w:rsidRDefault="00000000" w:rsidRPr="00000000" w14:paraId="00000167">
      <w:pPr>
        <w:spacing w:after="160" w:line="300" w:lineRule="auto"/>
        <w:jc w:val="both"/>
        <w:rPr/>
      </w:pPr>
      <w:r w:rsidDel="00000000" w:rsidR="00000000" w:rsidRPr="00000000">
        <w:rPr>
          <w:sz w:val="22"/>
          <w:szCs w:val="22"/>
          <w:rtl w:val="0"/>
        </w:rPr>
        <w:t xml:space="preserve">Primera. Las mediciones estandarizadas y los indicadores de desarrollo personal se almacenan en formato largo, con una fila por establecimiento, período, nivel y asignatura. La ausencia de fila significa que el establecimiento no imparte ese nivel, lo que elimina el 68,7 % de nulos estructurales que presentaban las columnas de segundo medio y convierte la ausencia en información legible en lugar de un valor nulo ambiguo.</w:t>
      </w:r>
      <w:r w:rsidDel="00000000" w:rsidR="00000000" w:rsidRPr="00000000">
        <w:rPr>
          <w:rtl w:val="0"/>
        </w:rPr>
      </w:r>
    </w:p>
    <w:p w:rsidR="00000000" w:rsidDel="00000000" w:rsidP="00000000" w:rsidRDefault="00000000" w:rsidRPr="00000000" w14:paraId="00000168">
      <w:pPr>
        <w:spacing w:after="160" w:line="300" w:lineRule="auto"/>
        <w:jc w:val="both"/>
        <w:rPr/>
      </w:pPr>
      <w:r w:rsidDel="00000000" w:rsidR="00000000" w:rsidRPr="00000000">
        <w:rPr>
          <w:sz w:val="22"/>
          <w:szCs w:val="22"/>
          <w:rtl w:val="0"/>
        </w:rPr>
        <w:t xml:space="preserve">Segunda. El código de grupo homogéneo reside en la tabla de resultados del índice, indexado por establecimiento y período, y no en la dimensión del establecimiento. Esta decisión responde directamente al defecto corregido en la Fase IV.</w:t>
      </w:r>
      <w:r w:rsidDel="00000000" w:rsidR="00000000" w:rsidRPr="00000000">
        <w:rPr>
          <w:rtl w:val="0"/>
        </w:rPr>
      </w:r>
    </w:p>
    <w:p w:rsidR="00000000" w:rsidDel="00000000" w:rsidP="00000000" w:rsidRDefault="00000000" w:rsidRPr="00000000" w14:paraId="00000169">
      <w:pPr>
        <w:spacing w:after="160" w:line="300" w:lineRule="auto"/>
        <w:jc w:val="both"/>
        <w:rPr/>
      </w:pPr>
      <w:r w:rsidDel="00000000" w:rsidR="00000000" w:rsidRPr="00000000">
        <w:rPr>
          <w:sz w:val="22"/>
          <w:szCs w:val="22"/>
          <w:rtl w:val="0"/>
        </w:rPr>
        <w:t xml:space="preserve">Tercera. Las ponderaciones oficiales se almacenan como dato en un catálogo de factores, no incrustadas en el código. La reconstrucción del índice se ejecuta mediante agregación con producto, y una vista de auditoría contrasta permanentemente el valor calculado con el oficial. Una eventual modificación normativa de las ponderaciones requiere actualizar un registro, no modificar la aplicación.</w:t>
      </w:r>
      <w:r w:rsidDel="00000000" w:rsidR="00000000" w:rsidRPr="00000000">
        <w:rPr>
          <w:rtl w:val="0"/>
        </w:rPr>
      </w:r>
    </w:p>
    <w:p w:rsidR="00000000" w:rsidDel="00000000" w:rsidP="00000000" w:rsidRDefault="00000000" w:rsidRPr="00000000" w14:paraId="0000016A">
      <w:pPr>
        <w:spacing w:after="160" w:line="300" w:lineRule="auto"/>
        <w:jc w:val="both"/>
        <w:rPr/>
      </w:pPr>
      <w:r w:rsidDel="00000000" w:rsidR="00000000" w:rsidRPr="00000000">
        <w:rPr>
          <w:sz w:val="22"/>
          <w:szCs w:val="22"/>
          <w:rtl w:val="0"/>
        </w:rPr>
        <w:t xml:space="preserve">Cuarta. Los atributos que varían en el tiempo —dependencia administrativa y ruralidad— se separan en una tabla de dimensión de cambio lento indexada por período. La migración de establecimientos municipales hacia los Servicios Locales de Educación altera la dependencia sin modificar el identificador, de modo que almacenarla como atributo invariante falsearía los ciclos históricos.</w:t>
      </w:r>
      <w:r w:rsidDel="00000000" w:rsidR="00000000" w:rsidRPr="00000000">
        <w:rPr>
          <w:rtl w:val="0"/>
        </w:rPr>
      </w:r>
    </w:p>
    <w:p w:rsidR="00000000" w:rsidDel="00000000" w:rsidP="00000000" w:rsidRDefault="00000000" w:rsidRPr="00000000" w14:paraId="0000016B">
      <w:pPr>
        <w:spacing w:after="160" w:line="300" w:lineRule="auto"/>
        <w:jc w:val="both"/>
        <w:rPr/>
      </w:pPr>
      <w:r w:rsidDel="00000000" w:rsidR="00000000" w:rsidRPr="00000000">
        <w:rPr>
          <w:sz w:val="22"/>
          <w:szCs w:val="22"/>
          <w:rtl w:val="0"/>
        </w:rPr>
        <w:t xml:space="preserve">Quinta. Las ventanas temporales de agregación de eventos de la Superintendencia se declaran explícitamente en una tabla, con indicación de su propósito. La regla anti-fuga establecida en la Fase II queda así codificada en el esquema, tornando estructuralmente imposible el cruce accidental de eventos posteriores a la ventana de medición.</w:t>
      </w:r>
      <w:r w:rsidDel="00000000" w:rsidR="00000000" w:rsidRPr="00000000">
        <w:rPr>
          <w:rtl w:val="0"/>
        </w:rPr>
      </w:r>
    </w:p>
    <w:p w:rsidR="00000000" w:rsidDel="00000000" w:rsidP="00000000" w:rsidRDefault="00000000" w:rsidRPr="00000000" w14:paraId="0000016C">
      <w:pPr>
        <w:spacing w:after="160" w:line="300" w:lineRule="auto"/>
        <w:jc w:val="both"/>
        <w:rPr/>
      </w:pPr>
      <w:r w:rsidDel="00000000" w:rsidR="00000000" w:rsidRPr="00000000">
        <w:rPr>
          <w:sz w:val="22"/>
          <w:szCs w:val="22"/>
          <w:rtl w:val="0"/>
        </w:rPr>
        <w:t xml:space="preserve">Sexta. Los indicadores anuales de contexto —rendimiento, matrícula, subvención preferencial, personal y vulnerabilidad— se unifican en una tabla genérica con catálogo de tipos. La incorporación de una fuente adicional requiere insertar registros y no alterar el esquema.</w:t>
      </w:r>
      <w:r w:rsidDel="00000000" w:rsidR="00000000" w:rsidRPr="00000000">
        <w:rPr>
          <w:rtl w:val="0"/>
        </w:rPr>
      </w:r>
    </w:p>
    <w:p w:rsidR="00000000" w:rsidDel="00000000" w:rsidP="00000000" w:rsidRDefault="00000000" w:rsidRPr="00000000" w14:paraId="0000016D">
      <w:pPr>
        <w:pStyle w:val="Heading2"/>
        <w:spacing w:after="160" w:before="280" w:lineRule="auto"/>
        <w:rPr/>
      </w:pPr>
      <w:r w:rsidDel="00000000" w:rsidR="00000000" w:rsidRPr="00000000">
        <w:rPr>
          <w:rtl w:val="0"/>
        </w:rPr>
        <w:t xml:space="preserve">10.3 Vistas de consumo</w:t>
      </w:r>
    </w:p>
    <w:p w:rsidR="00000000" w:rsidDel="00000000" w:rsidP="00000000" w:rsidRDefault="00000000" w:rsidRPr="00000000" w14:paraId="0000016E">
      <w:pPr>
        <w:spacing w:after="160" w:line="300" w:lineRule="auto"/>
        <w:jc w:val="both"/>
        <w:rPr/>
      </w:pPr>
      <w:r w:rsidDel="00000000" w:rsidR="00000000" w:rsidRPr="00000000">
        <w:rPr>
          <w:sz w:val="22"/>
          <w:szCs w:val="22"/>
          <w:rtl w:val="0"/>
        </w:rPr>
        <w:t xml:space="preserve">Se definieron tres vistas orientadas a las ventanas del prototipo. La vista de reconstrucción del índice permite auditar la fórmula como consulta ejecutable. La vista de ordenamiento intragrupo calcula la posición y el percentil de cada establecimiento dentro de su agrupación de comparación, que constituye la mecánica efectiva de la selección. La vista materializada de la matriz de entrenamiento reproduce la representación ancha requerida por los algoritmos, materializada por el costo del pivote y la naturaleza estática de los datos bajo un esquema de reentrenamiento bianual.</w:t>
      </w: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spacing w:after="200" w:before="360" w:lineRule="auto"/>
        <w:rPr/>
      </w:pPr>
      <w:r w:rsidDel="00000000" w:rsidR="00000000" w:rsidRPr="00000000">
        <w:rPr>
          <w:rtl w:val="0"/>
        </w:rPr>
        <w:t xml:space="preserve">11. Discusión</w:t>
      </w:r>
    </w:p>
    <w:p w:rsidR="00000000" w:rsidDel="00000000" w:rsidP="00000000" w:rsidRDefault="00000000" w:rsidRPr="00000000" w14:paraId="00000171">
      <w:pPr>
        <w:pStyle w:val="Heading2"/>
        <w:spacing w:after="160" w:before="280" w:lineRule="auto"/>
        <w:rPr/>
      </w:pPr>
      <w:r w:rsidDel="00000000" w:rsidR="00000000" w:rsidRPr="00000000">
        <w:rPr>
          <w:rtl w:val="0"/>
        </w:rPr>
        <w:t xml:space="preserve">11.1 La frontera de información irreducible</w:t>
      </w:r>
    </w:p>
    <w:p w:rsidR="00000000" w:rsidDel="00000000" w:rsidP="00000000" w:rsidRDefault="00000000" w:rsidRPr="00000000" w14:paraId="00000172">
      <w:pPr>
        <w:spacing w:after="160" w:line="300" w:lineRule="auto"/>
        <w:jc w:val="both"/>
        <w:rPr/>
      </w:pPr>
      <w:r w:rsidDel="00000000" w:rsidR="00000000" w:rsidRPr="00000000">
        <w:rPr>
          <w:sz w:val="22"/>
          <w:szCs w:val="22"/>
          <w:rtl w:val="0"/>
        </w:rPr>
        <w:t xml:space="preserve">El resultado transversal del desarrollo es la identificación de una frontera de información que no admite superación mediante recursos algorítmicos. Los factores de Iniciativa e Integración se calculan a partir de un instrumento de autorreporte cuyos microdatos no se publican; el factor de Superación requiere una corrección por significancia estadística que depende de información sobre el error de medición igualmente no publicada; y el subfactor de Discriminación exige una desagregación de sanciones por materia que las bases públicas no proporcionan.</w:t>
      </w:r>
      <w:r w:rsidDel="00000000" w:rsidR="00000000" w:rsidRPr="00000000">
        <w:rPr>
          <w:rtl w:val="0"/>
        </w:rPr>
      </w:r>
    </w:p>
    <w:p w:rsidR="00000000" w:rsidDel="00000000" w:rsidP="00000000" w:rsidRDefault="00000000" w:rsidRPr="00000000" w14:paraId="00000173">
      <w:pPr>
        <w:spacing w:after="160" w:line="300" w:lineRule="auto"/>
        <w:jc w:val="both"/>
        <w:rPr/>
      </w:pPr>
      <w:r w:rsidDel="00000000" w:rsidR="00000000" w:rsidRPr="00000000">
        <w:rPr>
          <w:sz w:val="22"/>
          <w:szCs w:val="22"/>
          <w:rtl w:val="0"/>
        </w:rPr>
        <w:t xml:space="preserve">En conjunto, dichas restricciones acotan cinco de los seis factores, equivalentes al 63 % de la ponderación del índice. La caracterización precisa de esta frontera, con identificación del instrumento faltante en cada caso, constituye un aporte del trabajo: transforma un resultado aparentemente deficiente en un diagnóstico verificable sobre las condiciones de replicabilidad externa del cálculo estatal.</w:t>
      </w:r>
      <w:r w:rsidDel="00000000" w:rsidR="00000000" w:rsidRPr="00000000">
        <w:rPr>
          <w:rtl w:val="0"/>
        </w:rPr>
      </w:r>
    </w:p>
    <w:p w:rsidR="00000000" w:rsidDel="00000000" w:rsidP="00000000" w:rsidRDefault="00000000" w:rsidRPr="00000000" w14:paraId="00000174">
      <w:pPr>
        <w:pStyle w:val="Heading2"/>
        <w:spacing w:after="160" w:before="280" w:lineRule="auto"/>
        <w:rPr/>
      </w:pPr>
      <w:r w:rsidDel="00000000" w:rsidR="00000000" w:rsidRPr="00000000">
        <w:rPr>
          <w:rtl w:val="0"/>
        </w:rPr>
        <w:t xml:space="preserve">11.2 El compromiso entre precisión y explicabilidad</w:t>
      </w:r>
    </w:p>
    <w:p w:rsidR="00000000" w:rsidDel="00000000" w:rsidP="00000000" w:rsidRDefault="00000000" w:rsidRPr="00000000" w14:paraId="00000175">
      <w:pPr>
        <w:spacing w:after="160" w:line="300" w:lineRule="auto"/>
        <w:jc w:val="both"/>
        <w:rPr/>
      </w:pPr>
      <w:r w:rsidDel="00000000" w:rsidR="00000000" w:rsidRPr="00000000">
        <w:rPr>
          <w:sz w:val="22"/>
          <w:szCs w:val="22"/>
          <w:rtl w:val="0"/>
        </w:rPr>
        <w:t xml:space="preserve">La disponibilidad de ambos sistemas permite cuantificar un compromiso habitualmente enunciado en términos cualitativos. El modelo global alcanza un coeficiente de determinación de 0,637 frente a 0,583 de la reconstrucción desagregada, diferencia de 0,054 que corresponde al precio de la trazabilidad.</w:t>
      </w:r>
      <w:r w:rsidDel="00000000" w:rsidR="00000000" w:rsidRPr="00000000">
        <w:rPr>
          <w:rtl w:val="0"/>
        </w:rPr>
      </w:r>
    </w:p>
    <w:p w:rsidR="00000000" w:rsidDel="00000000" w:rsidP="00000000" w:rsidRDefault="00000000" w:rsidRPr="00000000" w14:paraId="00000176">
      <w:pPr>
        <w:spacing w:after="160" w:line="300" w:lineRule="auto"/>
        <w:jc w:val="both"/>
        <w:rPr/>
      </w:pPr>
      <w:r w:rsidDel="00000000" w:rsidR="00000000" w:rsidRPr="00000000">
        <w:rPr>
          <w:sz w:val="22"/>
          <w:szCs w:val="22"/>
          <w:rtl w:val="0"/>
        </w:rPr>
        <w:t xml:space="preserve">La explicación del diferencial es directa: el modelo global puede emplear variables asociadas a un factor para explicar la varianza de otro, compensando los factores acotados por información faltante, operación que el diseño desagregado prohíbe deliberadamente para preservar la correspondencia entre variable manipulada y factor afectado.</w:t>
      </w:r>
      <w:r w:rsidDel="00000000" w:rsidR="00000000" w:rsidRPr="00000000">
        <w:rPr>
          <w:rtl w:val="0"/>
        </w:rPr>
      </w:r>
    </w:p>
    <w:p w:rsidR="00000000" w:rsidDel="00000000" w:rsidP="00000000" w:rsidRDefault="00000000" w:rsidRPr="00000000" w14:paraId="00000177">
      <w:pPr>
        <w:spacing w:after="160" w:line="300" w:lineRule="auto"/>
        <w:jc w:val="both"/>
        <w:rPr/>
      </w:pPr>
      <w:r w:rsidDel="00000000" w:rsidR="00000000" w:rsidRPr="00000000">
        <w:rPr>
          <w:sz w:val="22"/>
          <w:szCs w:val="22"/>
          <w:rtl w:val="0"/>
        </w:rPr>
        <w:t xml:space="preserve">La decisión de conservar ambos sistemas con funciones diferenciadas —el desagregado como motor del simulador, el global como estimador de referencia— resuelve el compromiso sin sacrificar ninguno de los dos propósitos, y responde a la distinción entre objetivos de predicción y de comprensión que fundamenta el marco metodológico adoptado.</w:t>
      </w:r>
      <w:r w:rsidDel="00000000" w:rsidR="00000000" w:rsidRPr="00000000">
        <w:rPr>
          <w:rtl w:val="0"/>
        </w:rPr>
      </w:r>
    </w:p>
    <w:p w:rsidR="00000000" w:rsidDel="00000000" w:rsidP="00000000" w:rsidRDefault="00000000" w:rsidRPr="00000000" w14:paraId="00000178">
      <w:pPr>
        <w:pStyle w:val="Heading2"/>
        <w:spacing w:after="160" w:before="280" w:lineRule="auto"/>
        <w:rPr/>
      </w:pPr>
      <w:r w:rsidDel="00000000" w:rsidR="00000000" w:rsidRPr="00000000">
        <w:rPr>
          <w:rtl w:val="0"/>
        </w:rPr>
        <w:t xml:space="preserve">11.3 El escalamiento relativo y sus implicancias</w:t>
      </w:r>
    </w:p>
    <w:p w:rsidR="00000000" w:rsidDel="00000000" w:rsidP="00000000" w:rsidRDefault="00000000" w:rsidRPr="00000000" w14:paraId="00000179">
      <w:pPr>
        <w:spacing w:after="160" w:line="300" w:lineRule="auto"/>
        <w:jc w:val="both"/>
        <w:rPr/>
      </w:pPr>
      <w:r w:rsidDel="00000000" w:rsidR="00000000" w:rsidRPr="00000000">
        <w:rPr>
          <w:sz w:val="22"/>
          <w:szCs w:val="22"/>
          <w:rtl w:val="0"/>
        </w:rPr>
        <w:t xml:space="preserve">La fórmula oficial normaliza cada factor respecto de los extremos nacionales, de modo que el resultado de un establecimiento depende del desempeño del conjunto del sistema. El análisis de sensibilidad cuantificó la magnitud de esta restricción: mejoras realistas en las mediciones estandarizadas producen incrementos del orden de medio punto en el índice.</w:t>
      </w:r>
      <w:r w:rsidDel="00000000" w:rsidR="00000000" w:rsidRPr="00000000">
        <w:rPr>
          <w:rtl w:val="0"/>
        </w:rPr>
      </w:r>
    </w:p>
    <w:p w:rsidR="00000000" w:rsidDel="00000000" w:rsidP="00000000" w:rsidRDefault="00000000" w:rsidRPr="00000000" w14:paraId="0000017A">
      <w:pPr>
        <w:spacing w:after="160" w:line="300" w:lineRule="auto"/>
        <w:jc w:val="both"/>
        <w:rPr/>
      </w:pPr>
      <w:r w:rsidDel="00000000" w:rsidR="00000000" w:rsidRPr="00000000">
        <w:rPr>
          <w:sz w:val="22"/>
          <w:szCs w:val="22"/>
          <w:rtl w:val="0"/>
        </w:rPr>
        <w:t xml:space="preserve">La implicancia para el producto es sustantiva y debe explicitarse en la interfaz. El simulador comunica dirección y sensibilidad, no promesas de retorno. Un diseño que sugiriera al usuario que la mejora académica garantiza el acceso al beneficio incurriría en sobreventa de la herramienta y contravendría el principio de intervención humana informada que estructura la propuesta.</w:t>
      </w:r>
      <w:r w:rsidDel="00000000" w:rsidR="00000000" w:rsidRPr="00000000">
        <w:rPr>
          <w:rtl w:val="0"/>
        </w:rPr>
      </w:r>
    </w:p>
    <w:p w:rsidR="00000000" w:rsidDel="00000000" w:rsidP="00000000" w:rsidRDefault="00000000" w:rsidRPr="00000000" w14:paraId="0000017B">
      <w:pPr>
        <w:pStyle w:val="Heading1"/>
        <w:spacing w:after="200" w:before="360" w:lineRule="auto"/>
        <w:rPr/>
      </w:pPr>
      <w:r w:rsidDel="00000000" w:rsidR="00000000" w:rsidRPr="00000000">
        <w:rPr>
          <w:rtl w:val="0"/>
        </w:rPr>
        <w:t xml:space="preserve">12. Limitaciones del desarrollo</w:t>
      </w:r>
    </w:p>
    <w:p w:rsidR="00000000" w:rsidDel="00000000" w:rsidP="00000000" w:rsidRDefault="00000000" w:rsidRPr="00000000" w14:paraId="0000017C">
      <w:pPr>
        <w:spacing w:after="160" w:line="300" w:lineRule="auto"/>
        <w:jc w:val="both"/>
        <w:rPr/>
      </w:pPr>
      <w:r w:rsidDel="00000000" w:rsidR="00000000" w:rsidRPr="00000000">
        <w:rPr>
          <w:sz w:val="22"/>
          <w:szCs w:val="22"/>
          <w:rtl w:val="0"/>
        </w:rPr>
        <w:t xml:space="preserve">Se declaran explícitamente seis limitaciones que acotan el alcance de los resultados.</w:t>
      </w:r>
      <w:r w:rsidDel="00000000" w:rsidR="00000000" w:rsidRPr="00000000">
        <w:rPr>
          <w:rtl w:val="0"/>
        </w:rPr>
      </w:r>
    </w:p>
    <w:p w:rsidR="00000000" w:rsidDel="00000000" w:rsidP="00000000" w:rsidRDefault="00000000" w:rsidRPr="00000000" w14:paraId="0000017D">
      <w:pPr>
        <w:spacing w:after="160" w:line="300" w:lineRule="auto"/>
        <w:jc w:val="both"/>
        <w:rPr/>
      </w:pPr>
      <w:r w:rsidDel="00000000" w:rsidR="00000000" w:rsidRPr="00000000">
        <w:rPr>
          <w:sz w:val="22"/>
          <w:szCs w:val="22"/>
          <w:rtl w:val="0"/>
        </w:rPr>
        <w:t xml:space="preserve">Primera. La ventana de entrenamiento se restringe al único par verificado empíricamente. Los restantes bienios construidos por conveniencia calendario no reproducen ventanas de cálculo oficiales, según se estableció en la sección 4.2.</w:t>
      </w:r>
      <w:r w:rsidDel="00000000" w:rsidR="00000000" w:rsidRPr="00000000">
        <w:rPr>
          <w:rtl w:val="0"/>
        </w:rPr>
      </w:r>
    </w:p>
    <w:p w:rsidR="00000000" w:rsidDel="00000000" w:rsidP="00000000" w:rsidRDefault="00000000" w:rsidRPr="00000000" w14:paraId="0000017E">
      <w:pPr>
        <w:spacing w:after="160" w:line="300" w:lineRule="auto"/>
        <w:jc w:val="both"/>
        <w:rPr/>
      </w:pPr>
      <w:r w:rsidDel="00000000" w:rsidR="00000000" w:rsidRPr="00000000">
        <w:rPr>
          <w:sz w:val="22"/>
          <w:szCs w:val="22"/>
          <w:rtl w:val="0"/>
        </w:rPr>
        <w:t xml:space="preserve">Segunda. La cobertura efectiva del modelo de Superación alcanza 18.044 de las 23.111 observaciones, por requerir existencia de medición en el bienio precedente.</w:t>
      </w:r>
      <w:r w:rsidDel="00000000" w:rsidR="00000000" w:rsidRPr="00000000">
        <w:rPr>
          <w:rtl w:val="0"/>
        </w:rPr>
      </w:r>
    </w:p>
    <w:p w:rsidR="00000000" w:rsidDel="00000000" w:rsidP="00000000" w:rsidRDefault="00000000" w:rsidRPr="00000000" w14:paraId="0000017F">
      <w:pPr>
        <w:spacing w:after="160" w:line="300" w:lineRule="auto"/>
        <w:jc w:val="both"/>
        <w:rPr/>
      </w:pPr>
      <w:r w:rsidDel="00000000" w:rsidR="00000000" w:rsidRPr="00000000">
        <w:rPr>
          <w:sz w:val="22"/>
          <w:szCs w:val="22"/>
          <w:rtl w:val="0"/>
        </w:rPr>
        <w:t xml:space="preserve">Tercera. La uniformización del preprocesamiento en el experimento comparativo neutraliza la capacidad nativa de manejo de valores nulos de la arquitectura seleccionada, cuyo desempeño reportado constituye por tanto una cota inferior.</w:t>
      </w:r>
      <w:r w:rsidDel="00000000" w:rsidR="00000000" w:rsidRPr="00000000">
        <w:rPr>
          <w:rtl w:val="0"/>
        </w:rPr>
      </w:r>
    </w:p>
    <w:p w:rsidR="00000000" w:rsidDel="00000000" w:rsidP="00000000" w:rsidRDefault="00000000" w:rsidRPr="00000000" w14:paraId="00000180">
      <w:pPr>
        <w:spacing w:after="160" w:line="300" w:lineRule="auto"/>
        <w:jc w:val="both"/>
        <w:rPr/>
      </w:pPr>
      <w:r w:rsidDel="00000000" w:rsidR="00000000" w:rsidRPr="00000000">
        <w:rPr>
          <w:sz w:val="22"/>
          <w:szCs w:val="22"/>
          <w:rtl w:val="0"/>
        </w:rPr>
        <w:t xml:space="preserve">Cuarta. La red neuronal se evaluó con configuración única y sin búsqueda de hiperparámetros, lo que subestima su potencial y hace que la equivalencia estadística observada deba interpretarse como resultado conservador.</w:t>
      </w:r>
      <w:r w:rsidDel="00000000" w:rsidR="00000000" w:rsidRPr="00000000">
        <w:rPr>
          <w:rtl w:val="0"/>
        </w:rPr>
      </w:r>
    </w:p>
    <w:p w:rsidR="00000000" w:rsidDel="00000000" w:rsidP="00000000" w:rsidRDefault="00000000" w:rsidRPr="00000000" w14:paraId="00000181">
      <w:pPr>
        <w:spacing w:after="160" w:line="300" w:lineRule="auto"/>
        <w:jc w:val="both"/>
        <w:rPr/>
      </w:pPr>
      <w:r w:rsidDel="00000000" w:rsidR="00000000" w:rsidRPr="00000000">
        <w:rPr>
          <w:sz w:val="22"/>
          <w:szCs w:val="22"/>
          <w:rtl w:val="0"/>
        </w:rPr>
        <w:t xml:space="preserve">Quinta. La estructura longitudinal se aborda mediante agrupación en la validación, procedimiento que previene la fuga pero no modela explícitamente la dependencia temporal entre ciclos. Un tratamiento formal mediante modelos de efectos mixtos excede el alcance del proyecto.</w:t>
      </w:r>
      <w:r w:rsidDel="00000000" w:rsidR="00000000" w:rsidRPr="00000000">
        <w:rPr>
          <w:rtl w:val="0"/>
        </w:rPr>
      </w:r>
    </w:p>
    <w:p w:rsidR="00000000" w:rsidDel="00000000" w:rsidP="00000000" w:rsidRDefault="00000000" w:rsidRPr="00000000" w14:paraId="00000182">
      <w:pPr>
        <w:spacing w:after="160" w:line="300" w:lineRule="auto"/>
        <w:jc w:val="both"/>
        <w:rPr/>
      </w:pPr>
      <w:r w:rsidDel="00000000" w:rsidR="00000000" w:rsidRPr="00000000">
        <w:rPr>
          <w:sz w:val="22"/>
          <w:szCs w:val="22"/>
          <w:rtl w:val="0"/>
        </w:rPr>
        <w:t xml:space="preserve">Sexta. El alcance se restringe deliberadamente a establecimientos académicos regulares. Las escuelas hospitalarias, en contexto de encierro y dependientes del servicio de protección de menores quedan excluidas por no corresponder al segmento de usuario objetivo y por carecer de medición estandarizada comparable.</w:t>
      </w:r>
      <w:r w:rsidDel="00000000" w:rsidR="00000000" w:rsidRPr="00000000">
        <w:rPr>
          <w:rtl w:val="0"/>
        </w:rPr>
      </w:r>
    </w:p>
    <w:p w:rsidR="00000000" w:rsidDel="00000000" w:rsidP="00000000" w:rsidRDefault="00000000" w:rsidRPr="00000000" w14:paraId="00000183">
      <w:pPr>
        <w:pStyle w:val="Heading1"/>
        <w:spacing w:after="200" w:before="360" w:lineRule="auto"/>
        <w:rPr/>
      </w:pPr>
      <w:r w:rsidDel="00000000" w:rsidR="00000000" w:rsidRPr="00000000">
        <w:rPr>
          <w:rtl w:val="0"/>
        </w:rPr>
        <w:t xml:space="preserve">13. Conclusiones</w:t>
      </w:r>
    </w:p>
    <w:p w:rsidR="00000000" w:rsidDel="00000000" w:rsidP="00000000" w:rsidRDefault="00000000" w:rsidRPr="00000000" w14:paraId="00000184">
      <w:pPr>
        <w:spacing w:after="160" w:line="300" w:lineRule="auto"/>
        <w:jc w:val="both"/>
        <w:rPr/>
      </w:pPr>
      <w:r w:rsidDel="00000000" w:rsidR="00000000" w:rsidRPr="00000000">
        <w:rPr>
          <w:sz w:val="22"/>
          <w:szCs w:val="22"/>
          <w:rtl w:val="0"/>
        </w:rPr>
        <w:t xml:space="preserve">El desarrollo documentado integró once fuentes públicas del Estado de Chile mediante llave estricta, construyó un conjunto analítico de 23.111 observaciones sobre 7.754 establecimientos, entrenó siete modelos de regresión, implementó dos técnicas de interpretabilidad y comparó tres arquitecturas con sustento inferencial. Los tres primeros objetivos específicos del proyecto se encuentran cumplidos, dos de ellos superando holgadamente el criterio declarado.</w:t>
      </w:r>
      <w:r w:rsidDel="00000000" w:rsidR="00000000" w:rsidRPr="00000000">
        <w:rPr>
          <w:rtl w:val="0"/>
        </w:rPr>
      </w:r>
    </w:p>
    <w:p w:rsidR="00000000" w:rsidDel="00000000" w:rsidP="00000000" w:rsidRDefault="00000000" w:rsidRPr="00000000" w14:paraId="00000185">
      <w:pPr>
        <w:spacing w:after="160" w:line="300" w:lineRule="auto"/>
        <w:jc w:val="both"/>
        <w:rPr/>
      </w:pPr>
      <w:r w:rsidDel="00000000" w:rsidR="00000000" w:rsidRPr="00000000">
        <w:rPr>
          <w:sz w:val="22"/>
          <w:szCs w:val="22"/>
          <w:rtl w:val="0"/>
        </w:rPr>
        <w:t xml:space="preserve">Cuatro hallazgos merecen consignarse por su valor metodológico independiente del artefacto construido.</w:t>
      </w:r>
      <w:r w:rsidDel="00000000" w:rsidR="00000000" w:rsidRPr="00000000">
        <w:rPr>
          <w:rtl w:val="0"/>
        </w:rPr>
      </w:r>
    </w:p>
    <w:p w:rsidR="00000000" w:rsidDel="00000000" w:rsidP="00000000" w:rsidRDefault="00000000" w:rsidRPr="00000000" w14:paraId="00000186">
      <w:pPr>
        <w:spacing w:after="160" w:line="300" w:lineRule="auto"/>
        <w:jc w:val="both"/>
        <w:rPr/>
      </w:pPr>
      <w:r w:rsidDel="00000000" w:rsidR="00000000" w:rsidRPr="00000000">
        <w:rPr>
          <w:sz w:val="22"/>
          <w:szCs w:val="22"/>
          <w:rtl w:val="0"/>
        </w:rPr>
        <w:t xml:space="preserve">El primero es la verificación empírica de la fórmula oficial del índice, que reproduce el valor ministerial con coeficiente de determinación unitario y error nulo. Constituye validación independiente de la normativa publicada.</w:t>
      </w:r>
      <w:r w:rsidDel="00000000" w:rsidR="00000000" w:rsidRPr="00000000">
        <w:rPr>
          <w:rtl w:val="0"/>
        </w:rPr>
      </w:r>
    </w:p>
    <w:p w:rsidR="00000000" w:rsidDel="00000000" w:rsidP="00000000" w:rsidRDefault="00000000" w:rsidRPr="00000000" w14:paraId="00000187">
      <w:pPr>
        <w:spacing w:after="160" w:line="300" w:lineRule="auto"/>
        <w:jc w:val="both"/>
        <w:rPr/>
      </w:pPr>
      <w:r w:rsidDel="00000000" w:rsidR="00000000" w:rsidRPr="00000000">
        <w:rPr>
          <w:sz w:val="22"/>
          <w:szCs w:val="22"/>
          <w:rtl w:val="0"/>
        </w:rPr>
        <w:t xml:space="preserve">El segundo es la detección y corrección de la variabilidad del grupo homogéneo entre ciclos, que afecta al 35,1 % de los establecimientos y que en la representación inicial habría introducido un error sistemático precisamente en la variable que determina la selección del beneficio.</w:t>
      </w:r>
      <w:r w:rsidDel="00000000" w:rsidR="00000000" w:rsidRPr="00000000">
        <w:rPr>
          <w:rtl w:val="0"/>
        </w:rPr>
      </w:r>
    </w:p>
    <w:p w:rsidR="00000000" w:rsidDel="00000000" w:rsidP="00000000" w:rsidRDefault="00000000" w:rsidRPr="00000000" w14:paraId="00000188">
      <w:pPr>
        <w:spacing w:after="160" w:line="300" w:lineRule="auto"/>
        <w:jc w:val="both"/>
        <w:rPr/>
      </w:pPr>
      <w:r w:rsidDel="00000000" w:rsidR="00000000" w:rsidRPr="00000000">
        <w:rPr>
          <w:sz w:val="22"/>
          <w:szCs w:val="22"/>
          <w:rtl w:val="0"/>
        </w:rPr>
        <w:t xml:space="preserve">El tercero es la caracterización de la frontera de información irreducible, con identificación del instrumento faltante para cada factor acotado.</w:t>
      </w:r>
      <w:r w:rsidDel="00000000" w:rsidR="00000000" w:rsidRPr="00000000">
        <w:rPr>
          <w:rtl w:val="0"/>
        </w:rPr>
      </w:r>
    </w:p>
    <w:p w:rsidR="00000000" w:rsidDel="00000000" w:rsidP="00000000" w:rsidRDefault="00000000" w:rsidRPr="00000000" w14:paraId="00000189">
      <w:pPr>
        <w:spacing w:after="160" w:line="300" w:lineRule="auto"/>
        <w:jc w:val="both"/>
        <w:rPr/>
      </w:pPr>
      <w:r w:rsidDel="00000000" w:rsidR="00000000" w:rsidRPr="00000000">
        <w:rPr>
          <w:sz w:val="22"/>
          <w:szCs w:val="22"/>
          <w:rtl w:val="0"/>
        </w:rPr>
        <w:t xml:space="preserve">El cuarto es la cuantificación del compromiso entre precisión y explicabilidad en 0,054 unidades del coeficiente de determinación, medida concreta de un intercambio habitualmente enunciado en términos cualitativos.</w:t>
      </w:r>
      <w:r w:rsidDel="00000000" w:rsidR="00000000" w:rsidRPr="00000000">
        <w:rPr>
          <w:rtl w:val="0"/>
        </w:rPr>
      </w:r>
    </w:p>
    <w:p w:rsidR="00000000" w:rsidDel="00000000" w:rsidP="00000000" w:rsidRDefault="00000000" w:rsidRPr="00000000" w14:paraId="0000018A">
      <w:pPr>
        <w:spacing w:after="160" w:line="300" w:lineRule="auto"/>
        <w:jc w:val="both"/>
        <w:rPr/>
      </w:pPr>
      <w:r w:rsidDel="00000000" w:rsidR="00000000" w:rsidRPr="00000000">
        <w:rPr>
          <w:sz w:val="22"/>
          <w:szCs w:val="22"/>
          <w:rtl w:val="0"/>
        </w:rPr>
        <w:t xml:space="preserve">El sistema resultante no constituye una réplica del cálculo estatal ni pretende sustituir el juicio profesional de los equipos directivos. Constituye un modelo de aproximación con incertidumbre cuantificada y trazable a su origen, cuya honestidad metodológica reside en declarar con precisión qué componentes resultan predecibles con alta confianza y cuáles permanecen acotados por la disponibilidad de información. El desarrollo del prototipo de interfaz, correspondiente al cuarto objetivo específico, constituye la fase subsiguiente del proyecto.</w:t>
      </w: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spacing w:after="200" w:before="360" w:lineRule="auto"/>
        <w:rPr/>
      </w:pPr>
      <w:r w:rsidDel="00000000" w:rsidR="00000000" w:rsidRPr="00000000">
        <w:rPr>
          <w:rtl w:val="0"/>
        </w:rPr>
        <w:t xml:space="preserve">Referencias</w:t>
      </w:r>
    </w:p>
    <w:p w:rsidR="00000000" w:rsidDel="00000000" w:rsidP="00000000" w:rsidRDefault="00000000" w:rsidRPr="00000000" w14:paraId="0000018D">
      <w:pPr>
        <w:spacing w:after="140" w:line="300" w:lineRule="auto"/>
        <w:ind w:left="720" w:hanging="720"/>
        <w:rPr/>
      </w:pPr>
      <w:r w:rsidDel="00000000" w:rsidR="00000000" w:rsidRPr="00000000">
        <w:rPr>
          <w:sz w:val="22"/>
          <w:szCs w:val="22"/>
          <w:rtl w:val="0"/>
        </w:rPr>
        <w:t xml:space="preserve">Agencia de Calidad de la Educación. (2025). Glosas de las bases de datos de resultados SIMCE e Indicadores de Desarrollo Personal y Social por establecimiento. Ministerio de Educación de Chile.</w:t>
      </w:r>
      <w:r w:rsidDel="00000000" w:rsidR="00000000" w:rsidRPr="00000000">
        <w:rPr>
          <w:rtl w:val="0"/>
        </w:rPr>
      </w:r>
    </w:p>
    <w:p w:rsidR="00000000" w:rsidDel="00000000" w:rsidP="00000000" w:rsidRDefault="00000000" w:rsidRPr="00000000" w14:paraId="0000018E">
      <w:pPr>
        <w:spacing w:after="140" w:line="300" w:lineRule="auto"/>
        <w:ind w:left="720" w:hanging="720"/>
        <w:rPr/>
      </w:pPr>
      <w:r w:rsidDel="00000000" w:rsidR="00000000" w:rsidRPr="00000000">
        <w:rPr>
          <w:sz w:val="22"/>
          <w:szCs w:val="22"/>
          <w:rtl w:val="0"/>
        </w:rPr>
        <w:t xml:space="preserve">Géron, A. (2019). </w:t>
      </w:r>
      <w:r w:rsidDel="00000000" w:rsidR="00000000" w:rsidRPr="00000000">
        <w:rPr>
          <w:i w:val="1"/>
          <w:iCs w:val="1"/>
          <w:sz w:val="22"/>
          <w:szCs w:val="22"/>
          <w:rtl w:val="0"/>
        </w:rPr>
        <w:t xml:space="preserve">Hands-on machine learning with Scikit-Learn, Keras, and TensorFlow: Concepts, tools, and techniques to build intelligent systems</w:t>
      </w:r>
      <w:r w:rsidDel="00000000" w:rsidR="00000000" w:rsidRPr="00000000">
        <w:rPr>
          <w:sz w:val="22"/>
          <w:szCs w:val="22"/>
          <w:rtl w:val="0"/>
        </w:rPr>
        <w:t xml:space="preserve"> (2.ª ed.). O’Reilly Media.</w:t>
      </w:r>
      <w:r w:rsidDel="00000000" w:rsidR="00000000" w:rsidRPr="00000000">
        <w:rPr>
          <w:rtl w:val="0"/>
        </w:rPr>
      </w:r>
    </w:p>
    <w:p w:rsidR="00000000" w:rsidDel="00000000" w:rsidP="00000000" w:rsidRDefault="00000000" w:rsidRPr="00000000" w14:paraId="0000018F">
      <w:pPr>
        <w:spacing w:after="140" w:line="300" w:lineRule="auto"/>
        <w:ind w:left="720" w:hanging="720"/>
        <w:rPr/>
      </w:pPr>
      <w:r w:rsidDel="00000000" w:rsidR="00000000" w:rsidRPr="00000000">
        <w:rPr>
          <w:sz w:val="22"/>
          <w:szCs w:val="22"/>
          <w:rtl w:val="0"/>
        </w:rPr>
        <w:t xml:space="preserve">Goldstein, A., Kapelner, A., Bleich, J., &amp; Pitkin, E. (2015). Peeking inside the black box: Visualizing statistical learning with plots of individual conditional expectation. </w:t>
      </w:r>
      <w:r w:rsidDel="00000000" w:rsidR="00000000" w:rsidRPr="00000000">
        <w:rPr>
          <w:i w:val="1"/>
          <w:iCs w:val="1"/>
          <w:sz w:val="22"/>
          <w:szCs w:val="22"/>
          <w:rtl w:val="0"/>
        </w:rPr>
        <w:t xml:space="preserve">Journal of Computational and Graphical Statistics, 24</w:t>
      </w:r>
      <w:r w:rsidDel="00000000" w:rsidR="00000000" w:rsidRPr="00000000">
        <w:rPr>
          <w:sz w:val="22"/>
          <w:szCs w:val="22"/>
          <w:rtl w:val="0"/>
        </w:rPr>
        <w:t xml:space="preserve">(1), 44-65.</w:t>
      </w:r>
      <w:r w:rsidDel="00000000" w:rsidR="00000000" w:rsidRPr="00000000">
        <w:rPr>
          <w:rtl w:val="0"/>
        </w:rPr>
      </w:r>
    </w:p>
    <w:p w:rsidR="00000000" w:rsidDel="00000000" w:rsidP="00000000" w:rsidRDefault="00000000" w:rsidRPr="00000000" w14:paraId="00000190">
      <w:pPr>
        <w:spacing w:after="140" w:line="300" w:lineRule="auto"/>
        <w:ind w:left="720" w:hanging="720"/>
        <w:rPr/>
      </w:pPr>
      <w:r w:rsidDel="00000000" w:rsidR="00000000" w:rsidRPr="00000000">
        <w:rPr>
          <w:sz w:val="22"/>
          <w:szCs w:val="22"/>
          <w:rtl w:val="0"/>
        </w:rPr>
        <w:t xml:space="preserve">Lundberg, S. M., &amp; Lee, S.-I. (2017). A unified approach to interpreting model predictions. En </w:t>
      </w:r>
      <w:r w:rsidDel="00000000" w:rsidR="00000000" w:rsidRPr="00000000">
        <w:rPr>
          <w:i w:val="1"/>
          <w:iCs w:val="1"/>
          <w:sz w:val="22"/>
          <w:szCs w:val="22"/>
          <w:rtl w:val="0"/>
        </w:rPr>
        <w:t xml:space="preserve">Advances in Neural Information Processing Systems</w:t>
      </w:r>
      <w:r w:rsidDel="00000000" w:rsidR="00000000" w:rsidRPr="00000000">
        <w:rPr>
          <w:sz w:val="22"/>
          <w:szCs w:val="22"/>
          <w:rtl w:val="0"/>
        </w:rPr>
        <w:t xml:space="preserve"> (Vol. 30, pp. 4765-4774).</w:t>
      </w:r>
      <w:r w:rsidDel="00000000" w:rsidR="00000000" w:rsidRPr="00000000">
        <w:rPr>
          <w:rtl w:val="0"/>
        </w:rPr>
      </w:r>
    </w:p>
    <w:p w:rsidR="00000000" w:rsidDel="00000000" w:rsidP="00000000" w:rsidRDefault="00000000" w:rsidRPr="00000000" w14:paraId="00000191">
      <w:pPr>
        <w:spacing w:after="140" w:line="300" w:lineRule="auto"/>
        <w:ind w:left="720" w:hanging="720"/>
        <w:rPr/>
      </w:pPr>
      <w:r w:rsidDel="00000000" w:rsidR="00000000" w:rsidRPr="00000000">
        <w:rPr>
          <w:sz w:val="22"/>
          <w:szCs w:val="22"/>
          <w:rtl w:val="0"/>
        </w:rPr>
        <w:t xml:space="preserve">Ministerio de Educación de Chile. (2026). Documento técnico del proceso SNED 2026-2027. Subvención por Desempeño de Excelencia.</w:t>
      </w:r>
      <w:r w:rsidDel="00000000" w:rsidR="00000000" w:rsidRPr="00000000">
        <w:rPr>
          <w:rtl w:val="0"/>
        </w:rPr>
      </w:r>
    </w:p>
    <w:p w:rsidR="00000000" w:rsidDel="00000000" w:rsidP="00000000" w:rsidRDefault="00000000" w:rsidRPr="00000000" w14:paraId="00000192">
      <w:pPr>
        <w:spacing w:after="140" w:line="300" w:lineRule="auto"/>
        <w:ind w:left="720" w:hanging="720"/>
        <w:rPr/>
      </w:pPr>
      <w:r w:rsidDel="00000000" w:rsidR="00000000" w:rsidRPr="00000000">
        <w:rPr>
          <w:sz w:val="22"/>
          <w:szCs w:val="22"/>
          <w:rtl w:val="0"/>
        </w:rPr>
        <w:t xml:space="preserve">Ministerio de Educación de Chile. (2025). Bases de datos de rendimiento, matrícula, dotación docente y alumnos prioritarios por establecimiento. Centro de Estudios, Datos Abiertos MINEDUC.</w:t>
      </w:r>
      <w:r w:rsidDel="00000000" w:rsidR="00000000" w:rsidRPr="00000000">
        <w:rPr>
          <w:rtl w:val="0"/>
        </w:rPr>
      </w:r>
    </w:p>
    <w:p w:rsidR="00000000" w:rsidDel="00000000" w:rsidP="00000000" w:rsidRDefault="00000000" w:rsidRPr="00000000" w14:paraId="00000193">
      <w:pPr>
        <w:spacing w:after="140" w:line="300" w:lineRule="auto"/>
        <w:ind w:left="720" w:hanging="720"/>
        <w:rPr/>
      </w:pPr>
      <w:r w:rsidDel="00000000" w:rsidR="00000000" w:rsidRPr="00000000">
        <w:rPr>
          <w:sz w:val="22"/>
          <w:szCs w:val="22"/>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i w:val="1"/>
          <w:iCs w:val="1"/>
          <w:sz w:val="22"/>
          <w:szCs w:val="22"/>
          <w:rtl w:val="0"/>
        </w:rPr>
        <w:t xml:space="preserve">Journal of Machine Learning Research, 12</w:t>
      </w:r>
      <w:r w:rsidDel="00000000" w:rsidR="00000000" w:rsidRPr="00000000">
        <w:rPr>
          <w:sz w:val="22"/>
          <w:szCs w:val="22"/>
          <w:rtl w:val="0"/>
        </w:rPr>
        <w:t xml:space="preserve">, 2825-2830.</w:t>
      </w:r>
      <w:r w:rsidDel="00000000" w:rsidR="00000000" w:rsidRPr="00000000">
        <w:rPr>
          <w:rtl w:val="0"/>
        </w:rPr>
      </w:r>
    </w:p>
    <w:p w:rsidR="00000000" w:rsidDel="00000000" w:rsidP="00000000" w:rsidRDefault="00000000" w:rsidRPr="00000000" w14:paraId="00000194">
      <w:pPr>
        <w:spacing w:after="140" w:line="300" w:lineRule="auto"/>
        <w:ind w:left="720" w:hanging="720"/>
        <w:rPr/>
      </w:pPr>
      <w:r w:rsidDel="00000000" w:rsidR="00000000" w:rsidRPr="00000000">
        <w:rPr>
          <w:sz w:val="22"/>
          <w:szCs w:val="22"/>
          <w:rtl w:val="0"/>
        </w:rPr>
        <w:t xml:space="preserve">Superintendencia de Educación. (2025). Esquema de registro de la base de datos de Denuncias Ciudadanas, años 2014 a 2025. Departamento de Gestión Institucional e Innovación.</w:t>
      </w:r>
      <w:r w:rsidDel="00000000" w:rsidR="00000000" w:rsidRPr="00000000">
        <w:rPr>
          <w:rtl w:val="0"/>
        </w:rPr>
      </w:r>
    </w:p>
    <w:p w:rsidR="00000000" w:rsidDel="00000000" w:rsidP="00000000" w:rsidRDefault="00000000" w:rsidRPr="00000000" w14:paraId="00000195">
      <w:pPr>
        <w:spacing w:after="140" w:line="300" w:lineRule="auto"/>
        <w:ind w:left="720" w:hanging="720"/>
        <w:rPr/>
      </w:pPr>
      <w:r w:rsidDel="00000000" w:rsidR="00000000" w:rsidRPr="00000000">
        <w:rPr>
          <w:sz w:val="22"/>
          <w:szCs w:val="22"/>
          <w:rtl w:val="0"/>
        </w:rPr>
        <w:t xml:space="preserve">Superintendencia de Educación. (2025). Esquema de registro de la base de datos de Procesos Administrativos Finalizados, años 2016 a 2025. Departamento de Gestión Institucional e Innovación.</w:t>
      </w:r>
      <w:r w:rsidDel="00000000" w:rsidR="00000000" w:rsidRPr="00000000">
        <w:rPr>
          <w:rtl w:val="0"/>
        </w:rPr>
      </w:r>
    </w:p>
    <w:p w:rsidR="00000000" w:rsidDel="00000000" w:rsidP="00000000" w:rsidRDefault="00000000" w:rsidRPr="00000000" w14:paraId="00000196">
      <w:pPr>
        <w:spacing w:after="140" w:line="300" w:lineRule="auto"/>
        <w:ind w:left="720" w:hanging="720"/>
        <w:rPr/>
      </w:pPr>
      <w:r w:rsidDel="00000000" w:rsidR="00000000" w:rsidRPr="00000000">
        <w:rPr>
          <w:sz w:val="22"/>
          <w:szCs w:val="22"/>
          <w:rtl w:val="0"/>
        </w:rPr>
        <w:t xml:space="preserve">Superintendencia de Educación. (2025). Esquema de registro de la base de datos de Requerimientos de Mediaciones, años 2015 a 2024. Departamento de Gestión Institucional e Innovación.</w:t>
      </w:r>
      <w:r w:rsidDel="00000000" w:rsidR="00000000" w:rsidRPr="00000000">
        <w:rPr>
          <w:rtl w:val="0"/>
        </w:rPr>
      </w:r>
    </w:p>
    <w:p w:rsidR="00000000" w:rsidDel="00000000" w:rsidP="00000000" w:rsidRDefault="00000000" w:rsidRPr="00000000" w14:paraId="00000197">
      <w:pPr>
        <w:spacing w:after="140" w:line="300" w:lineRule="auto"/>
        <w:ind w:left="720" w:hanging="720"/>
        <w:rPr/>
      </w:pPr>
      <w:r w:rsidDel="00000000" w:rsidR="00000000" w:rsidRPr="00000000">
        <w:rPr>
          <w:sz w:val="22"/>
          <w:szCs w:val="22"/>
          <w:rtl w:val="0"/>
        </w:rPr>
        <w:t xml:space="preserve">Junta Nacional de Auxilio Escolar y Becas. (2025). Índice de Vulnerabilidad Escolar IVE-SINAE por establecimiento educacional.</w:t>
      </w:r>
      <w:r w:rsidDel="00000000" w:rsidR="00000000" w:rsidRPr="00000000">
        <w:rPr>
          <w:rtl w:val="0"/>
        </w:rPr>
      </w:r>
    </w:p>
    <w:p w:rsidR="00000000" w:rsidDel="00000000" w:rsidP="00000000" w:rsidRDefault="00000000" w:rsidRPr="00000000" w14:paraId="00000198">
      <w:pPr>
        <w:spacing w:after="140" w:line="300" w:lineRule="auto"/>
        <w:ind w:left="720" w:hanging="720"/>
        <w:rPr/>
      </w:pPr>
      <w:r w:rsidDel="00000000" w:rsidR="00000000" w:rsidRPr="00000000">
        <w:rPr>
          <w:sz w:val="22"/>
          <w:szCs w:val="22"/>
          <w:rtl w:val="0"/>
        </w:rPr>
        <w:t xml:space="preserve">Ley N.º 21.719 de 2024. Que regula la protección y el tratamiento de los datos personales y crea la Agencia de Protección de Datos Personales. Diario Oficial de la República de Chile.</w:t>
      </w:r>
      <w:r w:rsidDel="00000000" w:rsidR="00000000" w:rsidRPr="00000000">
        <w:rPr>
          <w:rtl w:val="0"/>
        </w:rPr>
      </w:r>
    </w:p>
    <w:p w:rsidR="00000000" w:rsidDel="00000000" w:rsidP="00000000" w:rsidRDefault="00000000" w:rsidRPr="00000000" w14:paraId="00000199">
      <w:pPr>
        <w:spacing w:before="400" w:lineRule="auto"/>
        <w:rPr/>
      </w:pPr>
      <w:r w:rsidDel="00000000" w:rsidR="00000000" w:rsidRPr="00000000">
        <w:rPr>
          <w:i w:val="1"/>
          <w:iCs w:val="1"/>
          <w:sz w:val="19"/>
          <w:szCs w:val="19"/>
          <w:rtl w:val="0"/>
        </w:rPr>
        <w:t xml:space="preserve">Nota sobre la referencia principal: las páginas citadas de Géron corresponden a la edición consultada durante el desarrollo. Se recomienda verificar la correspondencia de paginación contra el ejemplar físico empleado, dado que las ediciones sucesivas de la obra alteran la numeración.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