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1052" w:type="dxa"/>
        <w:jc w:val="center"/>
        <w:tblLook w:val="04A0" w:firstRow="1" w:lastRow="0" w:firstColumn="1" w:lastColumn="0" w:noHBand="0" w:noVBand="1"/>
      </w:tblPr>
      <w:tblGrid>
        <w:gridCol w:w="562"/>
        <w:gridCol w:w="10490"/>
      </w:tblGrid>
      <w:tr w:rsidR="00DF52B2" w:rsidRPr="0052541A" w:rsidTr="004C7557">
        <w:trPr>
          <w:jc w:val="center"/>
        </w:trPr>
        <w:tc>
          <w:tcPr>
            <w:tcW w:w="562" w:type="dxa"/>
            <w:vMerge w:val="restart"/>
            <w:shd w:val="clear" w:color="auto" w:fill="83CAEB" w:themeFill="accent1" w:themeFillTint="66"/>
            <w:vAlign w:val="center"/>
          </w:tcPr>
          <w:p w:rsidR="00DF52B2" w:rsidRPr="0052541A" w:rsidRDefault="00DF52B2" w:rsidP="004C7557">
            <w:pPr>
              <w:jc w:val="center"/>
              <w:rPr>
                <w:rFonts w:ascii="Arial Narrow" w:hAnsi="Arial Narrow" w:cs="Arial"/>
                <w:b/>
                <w:bCs/>
              </w:rPr>
            </w:pPr>
            <w:r>
              <w:rPr>
                <w:rFonts w:ascii="Arial Narrow" w:hAnsi="Arial Narrow" w:cs="Arial"/>
                <w:b/>
                <w:bCs/>
              </w:rPr>
              <w:t>N°</w:t>
            </w:r>
          </w:p>
        </w:tc>
        <w:tc>
          <w:tcPr>
            <w:tcW w:w="10490" w:type="dxa"/>
            <w:shd w:val="clear" w:color="auto" w:fill="83CAEB" w:themeFill="accent1" w:themeFillTint="66"/>
          </w:tcPr>
          <w:p w:rsidR="00DF52B2" w:rsidRPr="0052541A" w:rsidRDefault="00DF52B2" w:rsidP="004C7557">
            <w:pPr>
              <w:jc w:val="both"/>
              <w:rPr>
                <w:rFonts w:ascii="Arial Narrow" w:hAnsi="Arial Narrow" w:cs="Arial"/>
                <w:b/>
                <w:bCs/>
              </w:rPr>
            </w:pPr>
            <w:r w:rsidRPr="0052541A">
              <w:rPr>
                <w:rFonts w:ascii="Arial Narrow" w:hAnsi="Arial Narrow" w:cs="Arial"/>
                <w:b/>
                <w:bCs/>
              </w:rPr>
              <w:t xml:space="preserve">Titre </w:t>
            </w:r>
          </w:p>
        </w:tc>
      </w:tr>
      <w:tr w:rsidR="00DF52B2" w:rsidRPr="00263981" w:rsidTr="004C7557">
        <w:trPr>
          <w:jc w:val="center"/>
        </w:trPr>
        <w:tc>
          <w:tcPr>
            <w:tcW w:w="562" w:type="dxa"/>
            <w:vMerge/>
          </w:tcPr>
          <w:p w:rsidR="00DF52B2" w:rsidRPr="00263981" w:rsidRDefault="00DF52B2" w:rsidP="004C7557">
            <w:pPr>
              <w:jc w:val="both"/>
              <w:rPr>
                <w:rFonts w:ascii="Arial Narrow" w:hAnsi="Arial Narrow" w:cs="Arial"/>
              </w:rPr>
            </w:pPr>
          </w:p>
        </w:tc>
        <w:tc>
          <w:tcPr>
            <w:tcW w:w="10490" w:type="dxa"/>
          </w:tcPr>
          <w:p w:rsidR="00DF52B2" w:rsidRPr="00263981" w:rsidRDefault="00DF52B2" w:rsidP="004C7557">
            <w:pPr>
              <w:jc w:val="both"/>
              <w:rPr>
                <w:rFonts w:ascii="Arial Narrow" w:hAnsi="Arial Narrow" w:cs="Arial"/>
              </w:rPr>
            </w:pPr>
            <w:r w:rsidRPr="00337540">
              <w:rPr>
                <w:rFonts w:ascii="Arial Narrow" w:hAnsi="Arial Narrow" w:cs="Arial"/>
              </w:rPr>
              <w:t>Blockchain-Driven Solutions for Healthcare Insurance Fraud Detection and Prevention</w:t>
            </w:r>
            <w:r>
              <w:rPr>
                <w:rFonts w:ascii="Arial Narrow" w:hAnsi="Arial Narrow" w:cs="Arial"/>
              </w:rPr>
              <w:t xml:space="preserve"> </w:t>
            </w:r>
            <w:r>
              <w:rPr>
                <w:rFonts w:ascii="Arial Narrow" w:hAnsi="Arial Narrow" w:cs="Arial"/>
              </w:rPr>
              <w:fldChar w:fldCharType="begin"/>
            </w:r>
            <w:r>
              <w:rPr>
                <w:rFonts w:ascii="Arial Narrow" w:hAnsi="Arial Narrow" w:cs="Arial"/>
              </w:rPr>
              <w:instrText xml:space="preserve"> ADDIN ZOTERO_ITEM CSL_CITATION {"citationID":"b6WJLjKg","properties":{"formattedCitation":"[1]","plainCitation":"[1]","noteIndex":0},"citationItems":[{"id":179,"uris":["http://zotero.org/users/16284513/items/4AAXNQ5A"],"itemData":{"id":179,"type":"article-journal","abstract":"Healthcare insurance fraud is a growing global issue that undermines the integrity of healthcare systems and imposes significant financial losses on governments, insurers, and consumers. Fraudulent activities, including false claims, overbilling, and identity theft, inflate healthcare costs and reduce the efficiency of insurance systems. Traditional fraud detection systems rely on centralized databases and intermediaries, which are prone to inefficiencies, security vulnerabilities, and manipulation. In response to these challenges, this article proposed a decentralized blockchain-based solution to detect and prevent healthcare insurance fraud more effectively. In healthcare insurance, blockchain can create a trusted, real-time system for recording insurance claims and transactions. By securely sharing data between healthcare providers, insurance companies, and regulatory bodies, blockchain enables greater transparency and auditability. Smart contracts, self-executing contracts coded on the blockchain, can automate claim processes, reducing the potential for fraudulent claims by ensuring that all predefined conditions are met before payments are processed. Furthermore, blockchain can track every healthcare and insurance process step, from patient records and treatments to billing and reimbursement, allowing for real-time detection of irregularities. The proposed decentralized blockchain approach offers a secure and efficient solution for detecting and preventing healthcare insurance fraud. It minimizes reliance on centralized authorities, reduces operational costs, and builds a more transparent and trustworthy system (For 10 patients, the total execution time includes 0.007 ms for hashing, 0.065 ms for encryption, and 0.060 ms for decryption). The proposed system's smart contracts obtained results (Ether cost) show that submitting a claim costs 0.01677963 ETH, flagging a claim costs 0.002234 ETH, approving a claim costs 0.00385737 ETH, and the fraud detection constructor incurs the highest cost of 0.11428872 ETH. By leveraging blockchain's strengths, the healthcare industry can proactively combat fraud, protect sensitive data, and improve overall efficiency.","container-title":"SECURITY AND PRIVACY","DOI":"10.1002/spy2.70149","ISSN":"2475-6725","issue":"1","language":"en","license":"© 2025 John Wiley &amp; Sons Ltd.","note":"_eprint: https://onlinelibrary.wiley.com/doi/pdf/10.1002/spy2.70149","page":"e70149","source":"Wiley Online Library","title":"Blockchain-Driven Solutions for Healthcare Insurance Fraud Detection and Prevention","volume":"9","author":[{"family":"Das","given":"Sunayana"},{"family":"Samal","given":"Tushar Kanta"},{"family":"Mohanta","given":"Bhabendu Kumar"},{"family":"Ahamed","given":"N. Nasurudeen"}],"issued":{"date-parts":[["2025",11,23]]}}}],"schema":"https://github.com/citation-style-language/schema/raw/master/csl-citation.json"} </w:instrText>
            </w:r>
            <w:r>
              <w:rPr>
                <w:rFonts w:ascii="Arial Narrow" w:hAnsi="Arial Narrow" w:cs="Arial"/>
              </w:rPr>
              <w:fldChar w:fldCharType="separate"/>
            </w:r>
            <w:r>
              <w:rPr>
                <w:rFonts w:ascii="Arial Narrow" w:hAnsi="Arial Narrow" w:cs="Arial"/>
                <w:noProof/>
              </w:rPr>
              <w:t>[1]</w:t>
            </w:r>
            <w:r>
              <w:rPr>
                <w:rFonts w:ascii="Arial Narrow" w:hAnsi="Arial Narrow" w:cs="Arial"/>
              </w:rPr>
              <w:fldChar w:fldCharType="end"/>
            </w:r>
          </w:p>
        </w:tc>
      </w:tr>
      <w:tr w:rsidR="00DF52B2" w:rsidRPr="0052541A" w:rsidTr="004C7557">
        <w:trPr>
          <w:jc w:val="center"/>
        </w:trPr>
        <w:tc>
          <w:tcPr>
            <w:tcW w:w="562" w:type="dxa"/>
            <w:vMerge/>
            <w:shd w:val="clear" w:color="auto" w:fill="83CAEB" w:themeFill="accent1" w:themeFillTint="66"/>
          </w:tcPr>
          <w:p w:rsidR="00DF52B2" w:rsidRPr="0052541A" w:rsidRDefault="00DF52B2" w:rsidP="004C7557">
            <w:pPr>
              <w:jc w:val="both"/>
              <w:rPr>
                <w:rFonts w:ascii="Arial Narrow" w:hAnsi="Arial Narrow" w:cs="Arial"/>
                <w:b/>
                <w:bCs/>
              </w:rPr>
            </w:pPr>
          </w:p>
        </w:tc>
        <w:tc>
          <w:tcPr>
            <w:tcW w:w="10490" w:type="dxa"/>
            <w:shd w:val="clear" w:color="auto" w:fill="83CAEB" w:themeFill="accent1" w:themeFillTint="66"/>
          </w:tcPr>
          <w:p w:rsidR="00DF52B2" w:rsidRPr="0052541A" w:rsidRDefault="00DF52B2" w:rsidP="004C7557">
            <w:pPr>
              <w:jc w:val="both"/>
              <w:rPr>
                <w:rFonts w:ascii="Arial Narrow" w:hAnsi="Arial Narrow" w:cs="Arial"/>
                <w:b/>
                <w:bCs/>
              </w:rPr>
            </w:pPr>
            <w:r w:rsidRPr="0052541A">
              <w:rPr>
                <w:rFonts w:ascii="Arial Narrow" w:hAnsi="Arial Narrow" w:cs="Arial"/>
                <w:b/>
                <w:bCs/>
              </w:rPr>
              <w:t>Auteur (s)</w:t>
            </w:r>
            <w:r>
              <w:rPr>
                <w:rFonts w:ascii="Arial Narrow" w:hAnsi="Arial Narrow" w:cs="Arial"/>
                <w:b/>
                <w:bCs/>
              </w:rPr>
              <w:t xml:space="preserve"> et année de publication</w:t>
            </w:r>
          </w:p>
        </w:tc>
      </w:tr>
      <w:tr w:rsidR="00DF52B2" w:rsidRPr="00263981" w:rsidTr="004C7557">
        <w:trPr>
          <w:jc w:val="center"/>
        </w:trPr>
        <w:tc>
          <w:tcPr>
            <w:tcW w:w="562" w:type="dxa"/>
            <w:vMerge/>
          </w:tcPr>
          <w:p w:rsidR="00DF52B2" w:rsidRPr="00263981" w:rsidRDefault="00DF52B2" w:rsidP="004C7557">
            <w:pPr>
              <w:jc w:val="both"/>
              <w:rPr>
                <w:rFonts w:ascii="Arial Narrow" w:hAnsi="Arial Narrow" w:cs="Arial"/>
              </w:rPr>
            </w:pPr>
          </w:p>
        </w:tc>
        <w:tc>
          <w:tcPr>
            <w:tcW w:w="10490" w:type="dxa"/>
          </w:tcPr>
          <w:p w:rsidR="00DF52B2" w:rsidRPr="00263981" w:rsidRDefault="00DF52B2" w:rsidP="004C7557">
            <w:pPr>
              <w:jc w:val="both"/>
              <w:rPr>
                <w:rFonts w:ascii="Arial Narrow" w:hAnsi="Arial Narrow" w:cs="Arial"/>
              </w:rPr>
            </w:pPr>
            <w:r w:rsidRPr="00280FE9">
              <w:rPr>
                <w:rFonts w:ascii="Arial Narrow" w:hAnsi="Arial Narrow" w:cs="Arial"/>
              </w:rPr>
              <w:t>Sunayana Das, Tushar Kanta Samal, Bhabendu Kumar Mohanta, N. Nasurudeen Ahamed (novembre 2025)</w:t>
            </w:r>
          </w:p>
        </w:tc>
      </w:tr>
      <w:tr w:rsidR="00DF52B2" w:rsidRPr="0052541A" w:rsidTr="004C7557">
        <w:trPr>
          <w:jc w:val="center"/>
        </w:trPr>
        <w:tc>
          <w:tcPr>
            <w:tcW w:w="562" w:type="dxa"/>
            <w:vMerge/>
            <w:shd w:val="clear" w:color="auto" w:fill="83CAEB" w:themeFill="accent1" w:themeFillTint="66"/>
          </w:tcPr>
          <w:p w:rsidR="00DF52B2" w:rsidRPr="0052541A" w:rsidRDefault="00DF52B2" w:rsidP="004C7557">
            <w:pPr>
              <w:jc w:val="both"/>
              <w:rPr>
                <w:rFonts w:ascii="Arial Narrow" w:hAnsi="Arial Narrow" w:cs="Arial"/>
                <w:b/>
                <w:bCs/>
              </w:rPr>
            </w:pPr>
          </w:p>
        </w:tc>
        <w:tc>
          <w:tcPr>
            <w:tcW w:w="10490" w:type="dxa"/>
            <w:shd w:val="clear" w:color="auto" w:fill="83CAEB" w:themeFill="accent1" w:themeFillTint="66"/>
          </w:tcPr>
          <w:p w:rsidR="00DF52B2" w:rsidRPr="0052541A" w:rsidRDefault="00DF52B2" w:rsidP="004C7557">
            <w:pPr>
              <w:jc w:val="both"/>
              <w:rPr>
                <w:rFonts w:ascii="Arial Narrow" w:hAnsi="Arial Narrow" w:cs="Arial"/>
                <w:b/>
                <w:bCs/>
              </w:rPr>
            </w:pPr>
            <w:r w:rsidRPr="0052541A">
              <w:rPr>
                <w:rFonts w:ascii="Arial Narrow" w:hAnsi="Arial Narrow" w:cs="Arial"/>
                <w:b/>
                <w:bCs/>
              </w:rPr>
              <w:t xml:space="preserve">Résumé  </w:t>
            </w:r>
            <w:r>
              <w:rPr>
                <w:rFonts w:ascii="Arial Narrow" w:hAnsi="Arial Narrow" w:cs="Arial"/>
                <w:b/>
                <w:bCs/>
              </w:rPr>
              <w:t xml:space="preserve">: </w:t>
            </w:r>
            <w:r w:rsidRPr="0052541A">
              <w:rPr>
                <w:rFonts w:ascii="Arial Narrow" w:hAnsi="Arial Narrow" w:cs="Arial"/>
                <w:b/>
                <w:bCs/>
              </w:rPr>
              <w:t>généralité</w:t>
            </w:r>
            <w:r>
              <w:rPr>
                <w:rFonts w:ascii="Arial Narrow" w:hAnsi="Arial Narrow" w:cs="Arial"/>
                <w:b/>
                <w:bCs/>
              </w:rPr>
              <w:t>(G)</w:t>
            </w:r>
            <w:r w:rsidRPr="0052541A">
              <w:rPr>
                <w:rFonts w:ascii="Arial Narrow" w:hAnsi="Arial Narrow" w:cs="Arial"/>
                <w:b/>
                <w:bCs/>
              </w:rPr>
              <w:t>, méthode appliquée</w:t>
            </w:r>
            <w:r>
              <w:rPr>
                <w:rFonts w:ascii="Arial Narrow" w:hAnsi="Arial Narrow" w:cs="Arial"/>
                <w:b/>
                <w:bCs/>
              </w:rPr>
              <w:t>(M)</w:t>
            </w:r>
            <w:r w:rsidRPr="0052541A">
              <w:rPr>
                <w:rFonts w:ascii="Arial Narrow" w:hAnsi="Arial Narrow" w:cs="Arial"/>
                <w:b/>
                <w:bCs/>
              </w:rPr>
              <w:t>, résultats atteints/ intérêt</w:t>
            </w:r>
            <w:r>
              <w:rPr>
                <w:rFonts w:ascii="Arial Narrow" w:hAnsi="Arial Narrow" w:cs="Arial"/>
                <w:b/>
                <w:bCs/>
              </w:rPr>
              <w:t>(R)</w:t>
            </w:r>
            <w:r w:rsidRPr="0052541A">
              <w:rPr>
                <w:rFonts w:ascii="Arial Narrow" w:hAnsi="Arial Narrow" w:cs="Arial"/>
                <w:b/>
                <w:bCs/>
              </w:rPr>
              <w:t>, perspectives dégagées</w:t>
            </w:r>
            <w:r>
              <w:rPr>
                <w:rFonts w:ascii="Arial Narrow" w:hAnsi="Arial Narrow" w:cs="Arial"/>
                <w:b/>
                <w:bCs/>
              </w:rPr>
              <w:t>(P)</w:t>
            </w:r>
          </w:p>
        </w:tc>
      </w:tr>
      <w:tr w:rsidR="00DF52B2" w:rsidRPr="0001685E" w:rsidTr="004C7557">
        <w:trPr>
          <w:jc w:val="center"/>
        </w:trPr>
        <w:tc>
          <w:tcPr>
            <w:tcW w:w="562" w:type="dxa"/>
            <w:vMerge/>
          </w:tcPr>
          <w:p w:rsidR="00DF52B2" w:rsidRPr="0001685E" w:rsidRDefault="00DF52B2" w:rsidP="004C7557">
            <w:pPr>
              <w:jc w:val="both"/>
              <w:rPr>
                <w:rFonts w:ascii="Arial Narrow" w:hAnsi="Arial Narrow" w:cs="Arial"/>
              </w:rPr>
            </w:pPr>
          </w:p>
        </w:tc>
        <w:tc>
          <w:tcPr>
            <w:tcW w:w="10490" w:type="dxa"/>
          </w:tcPr>
          <w:p w:rsidR="00DF52B2" w:rsidRPr="006658D9" w:rsidRDefault="00DF52B2" w:rsidP="004C7557">
            <w:pPr>
              <w:jc w:val="both"/>
              <w:rPr>
                <w:rFonts w:ascii="Arial Narrow" w:hAnsi="Arial Narrow" w:cs="Arial"/>
              </w:rPr>
            </w:pPr>
            <w:r w:rsidRPr="00CF127E">
              <w:rPr>
                <w:rFonts w:ascii="Arial Narrow" w:hAnsi="Arial Narrow" w:cs="Arial"/>
                <w:b/>
                <w:bCs/>
              </w:rPr>
              <w:t>G:</w:t>
            </w:r>
            <w:r>
              <w:rPr>
                <w:rFonts w:ascii="Arial Narrow" w:hAnsi="Arial Narrow" w:cs="Arial"/>
              </w:rPr>
              <w:t xml:space="preserve"> Les fraudes dans les systèmes d’assurance maladie sont d’ordre mondial et entraine de pertes financière énormes aux gouvernements, assureurs et assurés. Elles vont de la </w:t>
            </w:r>
            <w:r w:rsidRPr="00A43C4C">
              <w:rPr>
                <w:rFonts w:ascii="Arial Narrow" w:hAnsi="Arial Narrow" w:cs="Arial"/>
              </w:rPr>
              <w:t>fausse déclaration, la surfacturation et l'usurpation d'identité,</w:t>
            </w:r>
            <w:r>
              <w:rPr>
                <w:rFonts w:ascii="Arial Narrow" w:hAnsi="Arial Narrow" w:cs="Arial"/>
              </w:rPr>
              <w:t xml:space="preserve"> et </w:t>
            </w:r>
            <w:r w:rsidRPr="00A43C4C">
              <w:rPr>
                <w:rFonts w:ascii="Arial Narrow" w:hAnsi="Arial Narrow" w:cs="Arial"/>
              </w:rPr>
              <w:t>font grimper les coûts des soins de santé et réduisent l'efficacité des systèmes d'assurance</w:t>
            </w:r>
            <w:r>
              <w:rPr>
                <w:rFonts w:ascii="Arial Narrow" w:hAnsi="Arial Narrow" w:cs="Arial"/>
              </w:rPr>
              <w:t xml:space="preserve"> et de santé. Cette étude</w:t>
            </w:r>
            <w:r w:rsidRPr="006658D9">
              <w:rPr>
                <w:rFonts w:ascii="Arial Narrow" w:hAnsi="Arial Narrow" w:cs="Arial"/>
              </w:rPr>
              <w:t xml:space="preserve"> identifie les innovations liées à la blockchain telles que la vérification décentralisée, les contrats intelligents, la création ou le</w:t>
            </w:r>
            <w:r>
              <w:rPr>
                <w:rFonts w:ascii="Arial Narrow" w:hAnsi="Arial Narrow" w:cs="Arial"/>
              </w:rPr>
              <w:t xml:space="preserve"> </w:t>
            </w:r>
            <w:r w:rsidRPr="006658D9">
              <w:rPr>
                <w:rFonts w:ascii="Arial Narrow" w:hAnsi="Arial Narrow" w:cs="Arial"/>
              </w:rPr>
              <w:t>renouvellement automatisé des certificats et la protection de la propriété intellectuelle. Elle présente les</w:t>
            </w:r>
          </w:p>
          <w:p w:rsidR="00DF52B2" w:rsidRDefault="00DF52B2" w:rsidP="004C7557">
            <w:pPr>
              <w:jc w:val="both"/>
              <w:rPr>
                <w:rFonts w:ascii="Arial Narrow" w:hAnsi="Arial Narrow" w:cs="Arial"/>
              </w:rPr>
            </w:pPr>
            <w:r w:rsidRPr="006658D9">
              <w:rPr>
                <w:rFonts w:ascii="Arial Narrow" w:hAnsi="Arial Narrow" w:cs="Arial"/>
              </w:rPr>
              <w:t>principaux enjeux liés à la blockchain dans le domaine des dossiers scolaires et des certificats, notamment la scalabilité</w:t>
            </w:r>
            <w:r>
              <w:rPr>
                <w:rFonts w:ascii="Arial Narrow" w:hAnsi="Arial Narrow" w:cs="Arial"/>
              </w:rPr>
              <w:t xml:space="preserve"> (évolutivité)</w:t>
            </w:r>
            <w:r w:rsidRPr="006658D9">
              <w:rPr>
                <w:rFonts w:ascii="Arial Narrow" w:hAnsi="Arial Narrow" w:cs="Arial"/>
              </w:rPr>
              <w:t>, la confidentialité et les questions réglementaires, et</w:t>
            </w:r>
            <w:r>
              <w:rPr>
                <w:rFonts w:ascii="Arial Narrow" w:hAnsi="Arial Narrow" w:cs="Arial"/>
              </w:rPr>
              <w:t xml:space="preserve"> </w:t>
            </w:r>
            <w:r w:rsidRPr="006658D9">
              <w:rPr>
                <w:rFonts w:ascii="Arial Narrow" w:hAnsi="Arial Narrow" w:cs="Arial"/>
              </w:rPr>
              <w:t>souligne également les préoccupations tout en mettant l'accent sur son potentiel pour</w:t>
            </w:r>
            <w:r>
              <w:rPr>
                <w:rFonts w:ascii="Arial Narrow" w:hAnsi="Arial Narrow" w:cs="Arial"/>
              </w:rPr>
              <w:t xml:space="preserve"> </w:t>
            </w:r>
            <w:r w:rsidRPr="006658D9">
              <w:rPr>
                <w:rFonts w:ascii="Arial Narrow" w:hAnsi="Arial Narrow" w:cs="Arial"/>
              </w:rPr>
              <w:t>améliorer l'éducation dans le monde entier.</w:t>
            </w:r>
          </w:p>
          <w:p w:rsidR="00DF52B2" w:rsidRPr="00C40F59" w:rsidRDefault="00DF52B2" w:rsidP="004C7557">
            <w:pPr>
              <w:jc w:val="both"/>
              <w:rPr>
                <w:rFonts w:ascii="Arial Narrow" w:hAnsi="Arial Narrow" w:cs="Arial"/>
              </w:rPr>
            </w:pPr>
            <w:r w:rsidRPr="00C40F59">
              <w:rPr>
                <w:rFonts w:ascii="Arial Narrow" w:hAnsi="Arial Narrow" w:cs="Arial"/>
                <w:b/>
                <w:bCs/>
              </w:rPr>
              <w:t>M:</w:t>
            </w:r>
            <w:r w:rsidRPr="00C40F59">
              <w:rPr>
                <w:rFonts w:ascii="Arial Narrow" w:hAnsi="Arial Narrow" w:cs="Arial"/>
              </w:rPr>
              <w:t xml:space="preserve"> </w:t>
            </w:r>
            <w:r>
              <w:rPr>
                <w:rFonts w:ascii="Arial Narrow" w:hAnsi="Arial Narrow" w:cs="Arial"/>
              </w:rPr>
              <w:t>Les auteurs ont fait une comparaison sur la base des critères abordés par les travaux antérieurs tels que : l’</w:t>
            </w:r>
            <w:r w:rsidRPr="00155A92">
              <w:rPr>
                <w:rFonts w:ascii="Arial Narrow" w:hAnsi="Arial Narrow" w:cs="Arial"/>
              </w:rPr>
              <w:t xml:space="preserve">integrité de données, </w:t>
            </w:r>
            <w:r>
              <w:rPr>
                <w:rFonts w:ascii="Arial Narrow" w:hAnsi="Arial Narrow" w:cs="Arial"/>
              </w:rPr>
              <w:t xml:space="preserve">la </w:t>
            </w:r>
            <w:r w:rsidRPr="00155A92">
              <w:rPr>
                <w:rFonts w:ascii="Arial Narrow" w:hAnsi="Arial Narrow" w:cs="Arial"/>
              </w:rPr>
              <w:t xml:space="preserve">violation de données, </w:t>
            </w:r>
            <w:r>
              <w:rPr>
                <w:rFonts w:ascii="Arial Narrow" w:hAnsi="Arial Narrow" w:cs="Arial"/>
              </w:rPr>
              <w:t xml:space="preserve">le </w:t>
            </w:r>
            <w:r w:rsidRPr="00155A92">
              <w:rPr>
                <w:rFonts w:ascii="Arial Narrow" w:hAnsi="Arial Narrow" w:cs="Arial"/>
              </w:rPr>
              <w:t xml:space="preserve">problème de confiance, </w:t>
            </w:r>
            <w:r>
              <w:rPr>
                <w:rFonts w:ascii="Arial Narrow" w:hAnsi="Arial Narrow" w:cs="Arial"/>
              </w:rPr>
              <w:t xml:space="preserve">la </w:t>
            </w:r>
            <w:r w:rsidRPr="00155A92">
              <w:rPr>
                <w:rFonts w:ascii="Arial Narrow" w:hAnsi="Arial Narrow" w:cs="Arial"/>
              </w:rPr>
              <w:t xml:space="preserve">detection de fraude, </w:t>
            </w:r>
            <w:r>
              <w:rPr>
                <w:rFonts w:ascii="Arial Narrow" w:hAnsi="Arial Narrow" w:cs="Arial"/>
              </w:rPr>
              <w:t>le d</w:t>
            </w:r>
            <w:r w:rsidRPr="00155A92">
              <w:rPr>
                <w:rFonts w:ascii="Arial Narrow" w:hAnsi="Arial Narrow" w:cs="Arial"/>
              </w:rPr>
              <w:t xml:space="preserve">éni de service et </w:t>
            </w:r>
            <w:r>
              <w:rPr>
                <w:rFonts w:ascii="Arial Narrow" w:hAnsi="Arial Narrow" w:cs="Arial"/>
              </w:rPr>
              <w:t>le r</w:t>
            </w:r>
            <w:r w:rsidRPr="00155A92">
              <w:rPr>
                <w:rFonts w:ascii="Arial Narrow" w:hAnsi="Arial Narrow" w:cs="Arial"/>
              </w:rPr>
              <w:t>éseau blockchain.</w:t>
            </w:r>
            <w:r>
              <w:rPr>
                <w:rFonts w:ascii="Arial Narrow" w:hAnsi="Arial Narrow" w:cs="Arial"/>
              </w:rPr>
              <w:t xml:space="preserve"> Ils ont opté de crypter et stocker les données (sensibles) des patients dans de nouveaux blocs de la blockchain. Seules les entités autorisées et disposant de clés cryptographiques appropriées peuvent décrypter ces données. Une procédure d’audit d’intégrité est également prévue pour s’assurer que les données stockées n’ont pas été alterées.</w:t>
            </w:r>
          </w:p>
          <w:p w:rsidR="00DF52B2" w:rsidRDefault="00DF52B2" w:rsidP="004C7557">
            <w:pPr>
              <w:jc w:val="both"/>
              <w:rPr>
                <w:rFonts w:ascii="Arial Narrow" w:hAnsi="Arial Narrow" w:cs="Arial"/>
              </w:rPr>
            </w:pPr>
            <w:r w:rsidRPr="00E87AE5">
              <w:rPr>
                <w:rFonts w:ascii="Arial Narrow" w:hAnsi="Arial Narrow" w:cs="Arial"/>
                <w:b/>
                <w:bCs/>
              </w:rPr>
              <w:t>R:</w:t>
            </w:r>
            <w:r>
              <w:rPr>
                <w:rFonts w:ascii="Arial Narrow" w:hAnsi="Arial Narrow" w:cs="Arial"/>
              </w:rPr>
              <w:t xml:space="preserve"> Le modèle proposée permet de sécuriser (par hachage + cryptage symétrique) des données(sur patientID, diagnostic, prescription, réclamation, …). Les acteurs impliqué dans ce modèle sont les patients assurés, les hopitaux, les compagnies d’assurance. Le modèle permet également le décryptage de ces données et d’effectuer les audits de prévention de fraude. Et cela à travers des algorithmes SHA-256, la blockchain Ethereum, des contrats intelligent</w:t>
            </w:r>
            <w:r w:rsidR="00B95249">
              <w:rPr>
                <w:rFonts w:ascii="Arial Narrow" w:hAnsi="Arial Narrow" w:cs="Arial"/>
              </w:rPr>
              <w:t>. Ces contrats ont été</w:t>
            </w:r>
            <w:r>
              <w:rPr>
                <w:rFonts w:ascii="Arial Narrow" w:hAnsi="Arial Narrow" w:cs="Arial"/>
              </w:rPr>
              <w:t xml:space="preserve"> écrits en solidity</w:t>
            </w:r>
            <w:r w:rsidR="00B95249">
              <w:rPr>
                <w:rFonts w:ascii="Arial Narrow" w:hAnsi="Arial Narrow" w:cs="Arial"/>
              </w:rPr>
              <w:t xml:space="preserve">, déployés </w:t>
            </w:r>
            <w:r>
              <w:rPr>
                <w:rFonts w:ascii="Arial Narrow" w:hAnsi="Arial Narrow" w:cs="Arial"/>
              </w:rPr>
              <w:t xml:space="preserve">et </w:t>
            </w:r>
            <w:r w:rsidR="00B95249">
              <w:rPr>
                <w:rFonts w:ascii="Arial Narrow" w:hAnsi="Arial Narrow" w:cs="Arial"/>
              </w:rPr>
              <w:t>expérimentés</w:t>
            </w:r>
            <w:r>
              <w:rPr>
                <w:rFonts w:ascii="Arial Narrow" w:hAnsi="Arial Narrow" w:cs="Arial"/>
              </w:rPr>
              <w:t xml:space="preserve"> sur Remix IDE</w:t>
            </w:r>
            <w:r w:rsidR="00520BE3">
              <w:rPr>
                <w:rFonts w:ascii="Arial Narrow" w:hAnsi="Arial Narrow" w:cs="Arial"/>
              </w:rPr>
              <w:t xml:space="preserve"> où est configuré le réseau Ethereum</w:t>
            </w:r>
            <w:r>
              <w:rPr>
                <w:rFonts w:ascii="Arial Narrow" w:hAnsi="Arial Narrow" w:cs="Arial"/>
              </w:rPr>
              <w:t>.</w:t>
            </w:r>
          </w:p>
          <w:p w:rsidR="00DF52B2" w:rsidRPr="004E1540" w:rsidRDefault="00DF52B2" w:rsidP="004C7557">
            <w:pPr>
              <w:jc w:val="both"/>
              <w:rPr>
                <w:rFonts w:ascii="Arial Narrow" w:hAnsi="Arial Narrow" w:cs="Arial"/>
              </w:rPr>
            </w:pPr>
            <w:r w:rsidRPr="00F90F76">
              <w:rPr>
                <w:rFonts w:ascii="Arial Narrow" w:hAnsi="Arial Narrow" w:cs="Arial"/>
                <w:b/>
                <w:bCs/>
              </w:rPr>
              <w:t>P:</w:t>
            </w:r>
            <w:r w:rsidRPr="00F90F76">
              <w:rPr>
                <w:rFonts w:ascii="Arial Narrow" w:hAnsi="Arial Narrow" w:cs="Arial"/>
              </w:rPr>
              <w:t xml:space="preserve"> </w:t>
            </w:r>
            <w:r>
              <w:rPr>
                <w:rFonts w:ascii="Arial Narrow" w:hAnsi="Arial Narrow" w:cs="Arial"/>
              </w:rPr>
              <w:t>Les auteurs ont énumérés des limites de leur modèle</w:t>
            </w:r>
            <w:r w:rsidRPr="004E1540">
              <w:rPr>
                <w:rFonts w:ascii="Arial Narrow" w:hAnsi="Arial Narrow" w:cs="Arial"/>
              </w:rPr>
              <w:t xml:space="preserve"> : </w:t>
            </w:r>
          </w:p>
          <w:p w:rsidR="00DF52B2" w:rsidRPr="004E1540" w:rsidRDefault="00DF52B2" w:rsidP="00DF52B2">
            <w:pPr>
              <w:pStyle w:val="Paragraphedeliste"/>
              <w:numPr>
                <w:ilvl w:val="0"/>
                <w:numId w:val="1"/>
              </w:numPr>
              <w:spacing w:after="160" w:line="278" w:lineRule="auto"/>
              <w:jc w:val="both"/>
              <w:rPr>
                <w:rFonts w:ascii="Arial Narrow" w:hAnsi="Arial Narrow" w:cs="Arial"/>
              </w:rPr>
            </w:pPr>
            <w:r w:rsidRPr="004E1540">
              <w:rPr>
                <w:rFonts w:ascii="Arial Narrow" w:hAnsi="Arial Narrow" w:cs="Arial"/>
              </w:rPr>
              <w:t>Le défis d</w:t>
            </w:r>
            <w:r>
              <w:rPr>
                <w:rFonts w:ascii="Arial Narrow" w:hAnsi="Arial Narrow" w:cs="Arial"/>
              </w:rPr>
              <w:t xml:space="preserve">e </w:t>
            </w:r>
            <w:r w:rsidRPr="004E1540">
              <w:rPr>
                <w:rFonts w:ascii="Arial Narrow" w:hAnsi="Arial Narrow" w:cs="Arial"/>
              </w:rPr>
              <w:t>scalabilité dès qu’on a un volume élevé de données de transactions sur Ethereum</w:t>
            </w:r>
            <w:r>
              <w:rPr>
                <w:rFonts w:ascii="Arial Narrow" w:hAnsi="Arial Narrow" w:cs="Arial"/>
              </w:rPr>
              <w:t>;</w:t>
            </w:r>
          </w:p>
          <w:p w:rsidR="00DF52B2" w:rsidRPr="004E1540" w:rsidRDefault="00DF52B2" w:rsidP="00DF52B2">
            <w:pPr>
              <w:pStyle w:val="Paragraphedeliste"/>
              <w:numPr>
                <w:ilvl w:val="0"/>
                <w:numId w:val="1"/>
              </w:numPr>
              <w:spacing w:after="160" w:line="278" w:lineRule="auto"/>
              <w:jc w:val="both"/>
              <w:rPr>
                <w:rFonts w:ascii="Arial Narrow" w:hAnsi="Arial Narrow" w:cs="Arial"/>
              </w:rPr>
            </w:pPr>
            <w:r w:rsidRPr="004E1540">
              <w:rPr>
                <w:rFonts w:ascii="Arial Narrow" w:hAnsi="Arial Narrow" w:cs="Arial"/>
              </w:rPr>
              <w:t xml:space="preserve">Le défis d’intégration car le réseau blockchain devra s’intégrer aux infrastructures déjà existantes et permettre une interopérabilité </w:t>
            </w:r>
            <w:r>
              <w:rPr>
                <w:rFonts w:ascii="Arial Narrow" w:hAnsi="Arial Narrow" w:cs="Arial"/>
              </w:rPr>
              <w:t>;</w:t>
            </w:r>
          </w:p>
          <w:p w:rsidR="00DF52B2" w:rsidRPr="004E1540" w:rsidRDefault="00DF52B2" w:rsidP="00DF52B2">
            <w:pPr>
              <w:pStyle w:val="Paragraphedeliste"/>
              <w:numPr>
                <w:ilvl w:val="0"/>
                <w:numId w:val="1"/>
              </w:numPr>
              <w:spacing w:after="160" w:line="278" w:lineRule="auto"/>
              <w:jc w:val="both"/>
              <w:rPr>
                <w:rFonts w:ascii="Arial Narrow" w:hAnsi="Arial Narrow" w:cs="Arial"/>
              </w:rPr>
            </w:pPr>
            <w:r w:rsidRPr="004E1540">
              <w:rPr>
                <w:rFonts w:ascii="Arial Narrow" w:hAnsi="Arial Narrow" w:cs="Arial"/>
              </w:rPr>
              <w:t>Le défis de la conformité des données qui doivent être collectées dans le strict respect des règlementations en matière de données sanitaires sensible</w:t>
            </w:r>
            <w:r>
              <w:rPr>
                <w:rFonts w:ascii="Arial Narrow" w:hAnsi="Arial Narrow" w:cs="Arial"/>
              </w:rPr>
              <w:t>;</w:t>
            </w:r>
          </w:p>
          <w:p w:rsidR="00DF52B2" w:rsidRPr="00A11B62" w:rsidRDefault="00DF52B2" w:rsidP="00DF52B2">
            <w:pPr>
              <w:pStyle w:val="Paragraphedeliste"/>
              <w:numPr>
                <w:ilvl w:val="0"/>
                <w:numId w:val="1"/>
              </w:numPr>
              <w:spacing w:after="160" w:line="278" w:lineRule="auto"/>
              <w:jc w:val="both"/>
              <w:rPr>
                <w:rFonts w:ascii="Arial Narrow" w:hAnsi="Arial Narrow" w:cs="Arial"/>
                <w:b/>
                <w:bCs/>
              </w:rPr>
            </w:pPr>
            <w:r w:rsidRPr="004E1540">
              <w:rPr>
                <w:rFonts w:ascii="Arial Narrow" w:hAnsi="Arial Narrow" w:cs="Arial"/>
              </w:rPr>
              <w:t>L</w:t>
            </w:r>
            <w:r>
              <w:rPr>
                <w:rFonts w:ascii="Arial Narrow" w:hAnsi="Arial Narrow" w:cs="Arial"/>
              </w:rPr>
              <w:t>a résistance à l’adoption de cette approche par les acteurs;</w:t>
            </w:r>
          </w:p>
          <w:p w:rsidR="00DF52B2" w:rsidRDefault="00DF52B2" w:rsidP="00DF52B2">
            <w:pPr>
              <w:pStyle w:val="Paragraphedeliste"/>
              <w:numPr>
                <w:ilvl w:val="0"/>
                <w:numId w:val="1"/>
              </w:numPr>
              <w:spacing w:after="160" w:line="278" w:lineRule="auto"/>
              <w:jc w:val="both"/>
              <w:rPr>
                <w:rFonts w:ascii="Arial Narrow" w:hAnsi="Arial Narrow" w:cs="Arial"/>
              </w:rPr>
            </w:pPr>
            <w:r w:rsidRPr="00C653CC">
              <w:rPr>
                <w:rFonts w:ascii="Arial Narrow" w:hAnsi="Arial Narrow" w:cs="Arial"/>
              </w:rPr>
              <w:t>Les contraintes en matière de ressources informatiques et des coûts (paiement de frais de gas)</w:t>
            </w:r>
            <w:r>
              <w:rPr>
                <w:rFonts w:ascii="Arial Narrow" w:hAnsi="Arial Narrow" w:cs="Arial"/>
              </w:rPr>
              <w:t>.</w:t>
            </w:r>
          </w:p>
          <w:p w:rsidR="00DF52B2" w:rsidRPr="00276E13" w:rsidRDefault="00DF52B2" w:rsidP="004C7557">
            <w:pPr>
              <w:jc w:val="both"/>
              <w:rPr>
                <w:rFonts w:ascii="Arial Narrow" w:hAnsi="Arial Narrow" w:cs="Arial"/>
                <w:b/>
                <w:bCs/>
              </w:rPr>
            </w:pPr>
            <w:r w:rsidRPr="00C653CC">
              <w:rPr>
                <w:rFonts w:ascii="Arial Narrow" w:hAnsi="Arial Narrow" w:cs="Arial"/>
              </w:rPr>
              <w:t>Les auteurs comptent également explorer l'intégration de l'intelligence artificielle</w:t>
            </w:r>
            <w:r>
              <w:rPr>
                <w:rFonts w:ascii="Arial Narrow" w:hAnsi="Arial Narrow" w:cs="Arial"/>
              </w:rPr>
              <w:t xml:space="preserve"> </w:t>
            </w:r>
            <w:r w:rsidRPr="00C653CC">
              <w:rPr>
                <w:rFonts w:ascii="Arial Narrow" w:hAnsi="Arial Narrow" w:cs="Arial"/>
              </w:rPr>
              <w:t>et de l'apprentissage automatique pour la détection prédictive des fraudes et</w:t>
            </w:r>
            <w:r>
              <w:rPr>
                <w:rFonts w:ascii="Arial Narrow" w:hAnsi="Arial Narrow" w:cs="Arial"/>
              </w:rPr>
              <w:t xml:space="preserve"> </w:t>
            </w:r>
            <w:r w:rsidRPr="00C653CC">
              <w:rPr>
                <w:rFonts w:ascii="Arial Narrow" w:hAnsi="Arial Narrow" w:cs="Arial"/>
              </w:rPr>
              <w:t>la détection des anomalies afin de faciliter une réponse proactive à la fraude à l'assurance maladie.</w:t>
            </w:r>
          </w:p>
        </w:tc>
      </w:tr>
      <w:tr w:rsidR="00DF52B2" w:rsidRPr="0052541A" w:rsidTr="004C7557">
        <w:trPr>
          <w:jc w:val="center"/>
        </w:trPr>
        <w:tc>
          <w:tcPr>
            <w:tcW w:w="562" w:type="dxa"/>
            <w:vMerge/>
            <w:shd w:val="clear" w:color="auto" w:fill="83CAEB" w:themeFill="accent1" w:themeFillTint="66"/>
          </w:tcPr>
          <w:p w:rsidR="00DF52B2" w:rsidRPr="0052541A" w:rsidRDefault="00DF52B2" w:rsidP="004C7557">
            <w:pPr>
              <w:jc w:val="both"/>
              <w:rPr>
                <w:rFonts w:ascii="Arial Narrow" w:hAnsi="Arial Narrow" w:cs="Arial"/>
                <w:b/>
                <w:bCs/>
              </w:rPr>
            </w:pPr>
          </w:p>
        </w:tc>
        <w:tc>
          <w:tcPr>
            <w:tcW w:w="10490" w:type="dxa"/>
            <w:shd w:val="clear" w:color="auto" w:fill="83CAEB" w:themeFill="accent1" w:themeFillTint="66"/>
          </w:tcPr>
          <w:p w:rsidR="00DF52B2" w:rsidRPr="0052541A" w:rsidRDefault="00DF52B2" w:rsidP="004C7557">
            <w:pPr>
              <w:jc w:val="both"/>
              <w:rPr>
                <w:rFonts w:ascii="Arial Narrow" w:hAnsi="Arial Narrow" w:cs="Arial"/>
                <w:b/>
                <w:bCs/>
              </w:rPr>
            </w:pPr>
            <w:r w:rsidRPr="0052541A">
              <w:rPr>
                <w:rFonts w:ascii="Arial Narrow" w:hAnsi="Arial Narrow" w:cs="Arial"/>
                <w:b/>
                <w:bCs/>
              </w:rPr>
              <w:t>Positionnement (par rapport à notre sujet, d’ordre général)</w:t>
            </w:r>
          </w:p>
        </w:tc>
      </w:tr>
      <w:tr w:rsidR="00DF52B2" w:rsidRPr="006F1A2F" w:rsidTr="004C7557">
        <w:trPr>
          <w:jc w:val="center"/>
        </w:trPr>
        <w:tc>
          <w:tcPr>
            <w:tcW w:w="562" w:type="dxa"/>
            <w:vMerge/>
          </w:tcPr>
          <w:p w:rsidR="00DF52B2" w:rsidRPr="006F1A2F" w:rsidRDefault="00DF52B2" w:rsidP="004C7557">
            <w:pPr>
              <w:jc w:val="both"/>
              <w:rPr>
                <w:rFonts w:ascii="Arial Narrow" w:hAnsi="Arial Narrow" w:cs="Arial"/>
              </w:rPr>
            </w:pPr>
          </w:p>
        </w:tc>
        <w:tc>
          <w:tcPr>
            <w:tcW w:w="10490" w:type="dxa"/>
          </w:tcPr>
          <w:p w:rsidR="00DF52B2" w:rsidRPr="006F1A2F" w:rsidRDefault="00DF52B2" w:rsidP="004C7557">
            <w:pPr>
              <w:jc w:val="both"/>
              <w:rPr>
                <w:rFonts w:ascii="Arial Narrow" w:hAnsi="Arial Narrow" w:cs="Arial"/>
              </w:rPr>
            </w:pPr>
            <w:r>
              <w:rPr>
                <w:rFonts w:ascii="Arial Narrow" w:hAnsi="Arial Narrow" w:cs="Arial"/>
              </w:rPr>
              <w:t>Les défis et perspectives dégagés dans cet article nous inspirent dans ce sens que nous abordons certains problèmes communs tels que le problème de confiance, de sécurité, d’adoption de la technologie blockchain afin d’interoperer avec des systèmes historiquement centralisés. Les auteurs abordent également des questions de cryptographie, de blockchain ethereum et de contrats intelligent qui sont aussi traitées dans le cadre de nos travaux.</w:t>
            </w:r>
          </w:p>
        </w:tc>
      </w:tr>
    </w:tbl>
    <w:p w:rsidR="00DF52B2" w:rsidRDefault="00DF52B2"/>
    <w:p w:rsidR="00DF52B2" w:rsidRDefault="00DF52B2"/>
    <w:sectPr w:rsidR="00DF52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F5F3B"/>
    <w:multiLevelType w:val="hybridMultilevel"/>
    <w:tmpl w:val="4D9A874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2136479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2B2"/>
    <w:rsid w:val="00520BE3"/>
    <w:rsid w:val="00B95249"/>
    <w:rsid w:val="00DF52B2"/>
    <w:rsid w:val="00E30B7D"/>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decimalSymbol w:val=","/>
  <w:listSeparator w:val=";"/>
  <w14:docId w14:val="1DC9A8A6"/>
  <w15:chartTrackingRefBased/>
  <w15:docId w15:val="{AC909739-46FD-2343-A75C-C30078E79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2B2"/>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DF5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F5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F52B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F52B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F52B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F52B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52B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52B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52B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52B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F52B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F52B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F52B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F52B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F52B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52B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52B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52B2"/>
    <w:rPr>
      <w:rFonts w:eastAsiaTheme="majorEastAsia" w:cstheme="majorBidi"/>
      <w:color w:val="272727" w:themeColor="text1" w:themeTint="D8"/>
    </w:rPr>
  </w:style>
  <w:style w:type="paragraph" w:styleId="Titre">
    <w:name w:val="Title"/>
    <w:basedOn w:val="Normal"/>
    <w:next w:val="Normal"/>
    <w:link w:val="TitreCar"/>
    <w:uiPriority w:val="10"/>
    <w:qFormat/>
    <w:rsid w:val="00DF52B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52B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52B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52B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52B2"/>
    <w:pPr>
      <w:spacing w:before="160"/>
      <w:jc w:val="center"/>
    </w:pPr>
    <w:rPr>
      <w:i/>
      <w:iCs/>
      <w:color w:val="404040" w:themeColor="text1" w:themeTint="BF"/>
    </w:rPr>
  </w:style>
  <w:style w:type="character" w:customStyle="1" w:styleId="CitationCar">
    <w:name w:val="Citation Car"/>
    <w:basedOn w:val="Policepardfaut"/>
    <w:link w:val="Citation"/>
    <w:uiPriority w:val="29"/>
    <w:rsid w:val="00DF52B2"/>
    <w:rPr>
      <w:i/>
      <w:iCs/>
      <w:color w:val="404040" w:themeColor="text1" w:themeTint="BF"/>
    </w:rPr>
  </w:style>
  <w:style w:type="paragraph" w:styleId="Paragraphedeliste">
    <w:name w:val="List Paragraph"/>
    <w:basedOn w:val="Normal"/>
    <w:uiPriority w:val="34"/>
    <w:qFormat/>
    <w:rsid w:val="00DF52B2"/>
    <w:pPr>
      <w:ind w:left="720"/>
      <w:contextualSpacing/>
    </w:pPr>
  </w:style>
  <w:style w:type="character" w:styleId="Accentuationintense">
    <w:name w:val="Intense Emphasis"/>
    <w:basedOn w:val="Policepardfaut"/>
    <w:uiPriority w:val="21"/>
    <w:qFormat/>
    <w:rsid w:val="00DF52B2"/>
    <w:rPr>
      <w:i/>
      <w:iCs/>
      <w:color w:val="0F4761" w:themeColor="accent1" w:themeShade="BF"/>
    </w:rPr>
  </w:style>
  <w:style w:type="paragraph" w:styleId="Citationintense">
    <w:name w:val="Intense Quote"/>
    <w:basedOn w:val="Normal"/>
    <w:next w:val="Normal"/>
    <w:link w:val="CitationintenseCar"/>
    <w:uiPriority w:val="30"/>
    <w:qFormat/>
    <w:rsid w:val="00DF5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F52B2"/>
    <w:rPr>
      <w:i/>
      <w:iCs/>
      <w:color w:val="0F4761" w:themeColor="accent1" w:themeShade="BF"/>
    </w:rPr>
  </w:style>
  <w:style w:type="character" w:styleId="Rfrenceintense">
    <w:name w:val="Intense Reference"/>
    <w:basedOn w:val="Policepardfaut"/>
    <w:uiPriority w:val="32"/>
    <w:qFormat/>
    <w:rsid w:val="00DF52B2"/>
    <w:rPr>
      <w:b/>
      <w:bCs/>
      <w:smallCaps/>
      <w:color w:val="0F4761" w:themeColor="accent1" w:themeShade="BF"/>
      <w:spacing w:val="5"/>
    </w:rPr>
  </w:style>
  <w:style w:type="table" w:styleId="Grilledutableau">
    <w:name w:val="Table Grid"/>
    <w:basedOn w:val="TableauNormal"/>
    <w:uiPriority w:val="39"/>
    <w:rsid w:val="00DF5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1075</Words>
  <Characters>5916</Characters>
  <Application>Microsoft Office Word</Application>
  <DocSecurity>0</DocSecurity>
  <Lines>5916</Lines>
  <Paragraphs>776</Paragraphs>
  <ScaleCrop>false</ScaleCrop>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2026-02-26T15:00:00Z</dcterms:created>
  <dcterms:modified xsi:type="dcterms:W3CDTF">2026-02-26T15:17:00Z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id="oWXBdWHi"/&gt;&lt;style id="http://www.zotero.org/styles/ieee" locale="fr-FR"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