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A9431">
      <w:pPr>
        <w:pStyle w:val="2"/>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 xml:space="preserve">Paper 1: Rhizoh Engine — An </w:t>
      </w:r>
      <w:bookmarkStart w:id="0" w:name="_GoBack"/>
      <w:bookmarkEnd w:id="0"/>
      <w:r>
        <w:rPr>
          <w:rFonts w:hint="eastAsia" w:ascii="Microsoft YaHei" w:hAnsi="Microsoft YaHei" w:eastAsia="Microsoft YaHei" w:cs="Microsoft YaHei"/>
        </w:rPr>
        <w:t>Epistemic Governance Runtime for Large Language Model Execution</w:t>
      </w:r>
    </w:p>
    <w:p w14:paraId="214A2813">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Author:</w:t>
      </w:r>
      <w:r>
        <w:rPr>
          <w:rFonts w:hint="eastAsia" w:ascii="Microsoft YaHei" w:hAnsi="Microsoft YaHei" w:eastAsia="Microsoft YaHei" w:cs="Microsoft YaHei"/>
        </w:rPr>
        <w:t xml:space="preserve"> Can Kasaplar</w:t>
      </w:r>
    </w:p>
    <w:p w14:paraId="6DCE26D0">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Domain:</w:t>
      </w:r>
      <w:r>
        <w:rPr>
          <w:rFonts w:hint="eastAsia" w:ascii="Microsoft YaHei" w:hAnsi="Microsoft YaHei" w:eastAsia="Microsoft YaHei" w:cs="Microsoft YaHei"/>
        </w:rPr>
        <w:t xml:space="preserve"> Autonomous Systems Security, LLM Safety, Epistemic Uncertainty, Runtime Verification</w:t>
      </w:r>
    </w:p>
    <w:p w14:paraId="3A27A947">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Abstract</w:t>
      </w:r>
    </w:p>
    <w:p w14:paraId="4D2A80DD">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As Large Language Models (LLMs) transition from conversational agents to execution runtime engines, traditional access controls and dynamic alignment guards fail to address non-deterministic tool invocation, context poisoning, and privilege escalation. Existing safety frameworks evaluate outputs post-generation without formal runtime guarantees on system state mutation.</w:t>
      </w:r>
    </w:p>
    <w:p w14:paraId="1762EE95">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 xml:space="preserve">We present </w:t>
      </w:r>
      <w:r>
        <w:rPr>
          <w:rFonts w:hint="eastAsia" w:ascii="Microsoft YaHei" w:hAnsi="Microsoft YaHei" w:eastAsia="Microsoft YaHei" w:cs="Microsoft YaHei"/>
          <w:b/>
          <w:bCs/>
        </w:rPr>
        <w:t>Rhizoh Engine</w:t>
      </w:r>
      <w:r>
        <w:rPr>
          <w:rFonts w:hint="eastAsia" w:ascii="Microsoft YaHei" w:hAnsi="Microsoft YaHei" w:eastAsia="Microsoft YaHei" w:cs="Microsoft YaHei"/>
        </w:rPr>
        <w:t xml:space="preserve">, a model-agnostic, deterministic </w:t>
      </w:r>
      <w:r>
        <w:rPr>
          <w:rFonts w:hint="eastAsia" w:ascii="Microsoft YaHei" w:hAnsi="Microsoft YaHei" w:eastAsia="Microsoft YaHei" w:cs="Microsoft YaHei"/>
          <w:b/>
          <w:bCs/>
        </w:rPr>
        <w:t>Epistemic Governance Runtime Layer</w:t>
      </w:r>
      <w:r>
        <w:rPr>
          <w:rFonts w:hint="eastAsia" w:ascii="Microsoft YaHei" w:hAnsi="Microsoft YaHei" w:eastAsia="Microsoft YaHei" w:cs="Microsoft YaHei"/>
        </w:rPr>
        <w:t xml:space="preserve"> that intercepts candidate execution intents $I_t$ before state mutation occurs. Rhizoh evaluates intents against a dynamic Epistemic Uncertainty metric $U(t) = f(C, A, P, T)$, an Open Policy Agent (OPA) engine, and cryptographic capability tokens. We define governance as a formal </w:t>
      </w:r>
      <w:r>
        <w:rPr>
          <w:rFonts w:hint="eastAsia" w:ascii="Microsoft YaHei" w:hAnsi="Microsoft YaHei" w:eastAsia="Microsoft YaHei" w:cs="Microsoft YaHei"/>
          <w:b/>
          <w:bCs/>
        </w:rPr>
        <w:t>State Transition System</w:t>
      </w:r>
      <w:r>
        <w:rPr>
          <w:rFonts w:hint="eastAsia" w:ascii="Microsoft YaHei" w:hAnsi="Microsoft YaHei" w:eastAsia="Microsoft YaHei" w:cs="Microsoft YaHei"/>
        </w:rPr>
        <w:t xml:space="preserve"> $G(I,S) \implies S'$, mapping inputs to execution ($\delta$), human-in-the-loop pause ($\rho$), or zero-mutation rejection ($S$). We provide formal mathematical proofs for four core invariants (</w:t>
      </w:r>
      <w:r>
        <w:rPr>
          <w:rFonts w:hint="eastAsia" w:ascii="Microsoft YaHei" w:hAnsi="Microsoft YaHei" w:eastAsia="Microsoft YaHei" w:cs="Microsoft YaHei"/>
          <w:b/>
          <w:bCs/>
        </w:rPr>
        <w:t>Zero-Mutation</w:t>
      </w:r>
      <w:r>
        <w:rPr>
          <w:rFonts w:hint="eastAsia" w:ascii="Microsoft YaHei" w:hAnsi="Microsoft YaHei" w:eastAsia="Microsoft YaHei" w:cs="Microsoft YaHei"/>
        </w:rPr>
        <w:t xml:space="preserve">, </w:t>
      </w:r>
      <w:r>
        <w:rPr>
          <w:rFonts w:hint="eastAsia" w:ascii="Microsoft YaHei" w:hAnsi="Microsoft YaHei" w:eastAsia="Microsoft YaHei" w:cs="Microsoft YaHei"/>
          <w:b/>
          <w:bCs/>
        </w:rPr>
        <w:t>Risk Monotonicity</w:t>
      </w:r>
      <w:r>
        <w:rPr>
          <w:rFonts w:hint="eastAsia" w:ascii="Microsoft YaHei" w:hAnsi="Microsoft YaHei" w:eastAsia="Microsoft YaHei" w:cs="Microsoft YaHei"/>
        </w:rPr>
        <w:t xml:space="preserve">, </w:t>
      </w:r>
      <w:r>
        <w:rPr>
          <w:rFonts w:hint="eastAsia" w:ascii="Microsoft YaHei" w:hAnsi="Microsoft YaHei" w:eastAsia="Microsoft YaHei" w:cs="Microsoft YaHei"/>
          <w:b/>
          <w:bCs/>
        </w:rPr>
        <w:t>Deterministic Execution</w:t>
      </w:r>
      <w:r>
        <w:rPr>
          <w:rFonts w:hint="eastAsia" w:ascii="Microsoft YaHei" w:hAnsi="Microsoft YaHei" w:eastAsia="Microsoft YaHei" w:cs="Microsoft YaHei"/>
        </w:rPr>
        <w:t xml:space="preserve">, and </w:t>
      </w:r>
      <w:r>
        <w:rPr>
          <w:rFonts w:hint="eastAsia" w:ascii="Microsoft YaHei" w:hAnsi="Microsoft YaHei" w:eastAsia="Microsoft YaHei" w:cs="Microsoft YaHei"/>
          <w:b/>
          <w:bCs/>
        </w:rPr>
        <w:t>Soundness &amp; Completeness</w:t>
      </w:r>
      <w:r>
        <w:rPr>
          <w:rFonts w:hint="eastAsia" w:ascii="Microsoft YaHei" w:hAnsi="Microsoft YaHei" w:eastAsia="Microsoft YaHei" w:cs="Microsoft YaHei"/>
        </w:rPr>
        <w:t>) and a rigorous computational complexity analysis proving that, conditioned on a candidate intent $I_t$, governance execution complexity is bounded by $\mathcal{O}(\vert{}V_{\text{req}}\vert{} + R \cdot D + K)$, independent of underlying LLM architecture or context length. Finally, we present a reference implementation (</w:t>
      </w:r>
      <w:r>
        <w:rPr>
          <w:rStyle w:val="8"/>
          <w:rFonts w:hint="eastAsia" w:ascii="Microsoft YaHei" w:hAnsi="Microsoft YaHei" w:eastAsia="Microsoft YaHei" w:cs="Microsoft YaHei"/>
        </w:rPr>
        <w:t>rhizoh-runtime v0.1</w:t>
      </w:r>
      <w:r>
        <w:rPr>
          <w:rFonts w:hint="eastAsia" w:ascii="Microsoft YaHei" w:hAnsi="Microsoft YaHei" w:eastAsia="Microsoft YaHei" w:cs="Microsoft YaHei"/>
        </w:rPr>
        <w:t>) featuring cryptographic Merkle tree provenance logs.</w:t>
      </w:r>
    </w:p>
    <w:p w14:paraId="77F257E9">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1. Introduction &amp; Design Principles</w:t>
      </w:r>
    </w:p>
    <w:p w14:paraId="3CE2DF33">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Autonomous LLM agents invoke external tool APIs, mutate databases, and execute code blocks dynamically. Existing safety approaches suffer from two fundamental design flaws:</w:t>
      </w:r>
    </w:p>
    <w:p w14:paraId="404869AF">
      <w:pPr>
        <w:keepNext w:val="0"/>
        <w:keepLines w:val="0"/>
        <w:widowControl/>
        <w:numPr>
          <w:ilvl w:val="0"/>
          <w:numId w:val="1"/>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0EC89DB">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Probabilistic Post-Inference Guardrails:</w:t>
      </w:r>
      <w:r>
        <w:rPr>
          <w:rFonts w:hint="eastAsia" w:ascii="Microsoft YaHei" w:hAnsi="Microsoft YaHei" w:eastAsia="Microsoft YaHei" w:cs="Microsoft YaHei"/>
        </w:rPr>
        <w:t xml:space="preserve"> Checking safety on generated natural language text offers no deterministic guarantees over execution side-effects.</w:t>
      </w:r>
    </w:p>
    <w:p w14:paraId="3CCDE0D5">
      <w:pPr>
        <w:keepNext w:val="0"/>
        <w:keepLines w:val="0"/>
        <w:widowControl/>
        <w:numPr>
          <w:ilvl w:val="0"/>
          <w:numId w:val="1"/>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4D6091EF">
      <w:pPr>
        <w:keepNext w:val="0"/>
        <w:keepLines w:val="0"/>
        <w:widowControl/>
        <w:numPr>
          <w:ilvl w:val="0"/>
          <w:numId w:val="1"/>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460BBDCB">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Static Identity Access Management (IAM):</w:t>
      </w:r>
      <w:r>
        <w:rPr>
          <w:rFonts w:hint="eastAsia" w:ascii="Microsoft YaHei" w:hAnsi="Microsoft YaHei" w:eastAsia="Microsoft YaHei" w:cs="Microsoft YaHei"/>
        </w:rPr>
        <w:t xml:space="preserve"> Static authorization models cannot evaluate runtime context decay, conflicting external inputs, or epistemic uncertainty.</w:t>
      </w:r>
    </w:p>
    <w:p w14:paraId="395CDD8E">
      <w:pPr>
        <w:keepNext w:val="0"/>
        <w:keepLines w:val="0"/>
        <w:widowControl/>
        <w:numPr>
          <w:ilvl w:val="0"/>
          <w:numId w:val="1"/>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77D58F0B">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To address these limitations, Rhizoh Engine is built on six core design principles:</w:t>
      </w:r>
    </w:p>
    <w:p w14:paraId="189A6F49">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4ECFFA2">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Zero Trust Boundary:</w:t>
      </w:r>
      <w:r>
        <w:rPr>
          <w:rFonts w:hint="eastAsia" w:ascii="Microsoft YaHei" w:hAnsi="Microsoft YaHei" w:eastAsia="Microsoft YaHei" w:cs="Microsoft YaHei"/>
        </w:rPr>
        <w:t xml:space="preserve"> Raw prompts and model outputs are treated as untrusted intent candidates ($I_t$).</w:t>
      </w:r>
    </w:p>
    <w:p w14:paraId="0F55F881">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6E890E9E">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DE913E0">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Pre-Mutation Interception:</w:t>
      </w:r>
      <w:r>
        <w:rPr>
          <w:rFonts w:hint="eastAsia" w:ascii="Microsoft YaHei" w:hAnsi="Microsoft YaHei" w:eastAsia="Microsoft YaHei" w:cs="Microsoft YaHei"/>
        </w:rPr>
        <w:t xml:space="preserve"> Governance enforcement occurs strictly prior to state transition $\delta(S_t, a)$.</w:t>
      </w:r>
    </w:p>
    <w:p w14:paraId="1767E696">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F2F2DFE">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4AA7E641">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Tri-Factor Matrix Evaluation:</w:t>
      </w:r>
      <w:r>
        <w:rPr>
          <w:rFonts w:hint="eastAsia" w:ascii="Microsoft YaHei" w:hAnsi="Microsoft YaHei" w:eastAsia="Microsoft YaHei" w:cs="Microsoft YaHei"/>
        </w:rPr>
        <w:t xml:space="preserve"> Decoupled authorization across Policy (OPA), Capability Tokens (Macaroons), and Epistemic Uncertainty ($U(t)$).</w:t>
      </w:r>
    </w:p>
    <w:p w14:paraId="7973236F">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186727A1">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503EEBDA">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Deterministic Execution:</w:t>
      </w:r>
      <w:r>
        <w:rPr>
          <w:rFonts w:hint="eastAsia" w:ascii="Microsoft YaHei" w:hAnsi="Microsoft YaHei" w:eastAsia="Microsoft YaHei" w:cs="Microsoft YaHei"/>
        </w:rPr>
        <w:t xml:space="preserve"> Eliminates stochastic decision-making at the governance layer.</w:t>
      </w:r>
    </w:p>
    <w:p w14:paraId="0B8CE616">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52BBB78B">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6FF7C81">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Cryptographic Non-Repudiation:</w:t>
      </w:r>
      <w:r>
        <w:rPr>
          <w:rFonts w:hint="eastAsia" w:ascii="Microsoft YaHei" w:hAnsi="Microsoft YaHei" w:eastAsia="Microsoft YaHei" w:cs="Microsoft YaHei"/>
        </w:rPr>
        <w:t xml:space="preserve"> Merkle tree provenance structures capture end-to-end execution evidence.</w:t>
      </w:r>
    </w:p>
    <w:p w14:paraId="1A9E591F">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6AD34F4F">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70FFC18E">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Model Agnosticism:</w:t>
      </w:r>
      <w:r>
        <w:rPr>
          <w:rFonts w:hint="eastAsia" w:ascii="Microsoft YaHei" w:hAnsi="Microsoft YaHei" w:eastAsia="Microsoft YaHei" w:cs="Microsoft YaHei"/>
        </w:rPr>
        <w:t xml:space="preserve"> Complete decoupling from underlying LLM model weights or prompt formats.</w:t>
      </w:r>
    </w:p>
    <w:p w14:paraId="113469CF">
      <w:pPr>
        <w:keepNext w:val="0"/>
        <w:keepLines w:val="0"/>
        <w:widowControl/>
        <w:numPr>
          <w:ilvl w:val="0"/>
          <w:numId w:val="2"/>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06F465D">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2. Threat Model &amp; Attack Space Decomposition</w:t>
      </w:r>
    </w:p>
    <w:p w14:paraId="219BFF2D">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We define the total attack surface $\mathcal{A}_{\text{total}}$ as:</w:t>
      </w:r>
    </w:p>
    <w:p w14:paraId="1F48261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$$\mathcal{A}_{\text{total}} = \mathcal{A}_{\text{prompt}} \cup \mathcal{A}_{\text{context}} \cup \mathcal{A}_{\text{capability}} \cup \mathcal{A}_{\text{execution}} \cup \mathcal{A}_{\text{model}} \cup \mathcal{A}_{\text{hardware}}$$</w:t>
      </w:r>
    </w:p>
    <w:p w14:paraId="4D6CFC95">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Rhizoh Engine explicitly establishes a formal boundary between mitigated in-scope threats ($\mathcal{A}_{\text{in}}$) and out-of-scope substrate risks ($\mathcal{A}_{\text{out}}$):</w:t>
      </w:r>
    </w:p>
    <w:p w14:paraId="72BBDFE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$$\mathcal{A}_{\text{in}} = \mathcal{A}_{\text{prompt}} \cup \mathcal{A}_{\text{context}} \cup \mathcal{A}_{\text{capability}} \cup \mathcal{A}_{\text{execution}}$$</w:t>
      </w:r>
    </w:p>
    <w:p w14:paraId="0831D371">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$$\mathcal{A}_{\text{out}} = \mathcal{A}_{\text{model}} \cup \mathcal{A}_{\text{hardware}}$$</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2"/>
        <w:gridCol w:w="1823"/>
        <w:gridCol w:w="2886"/>
        <w:gridCol w:w="2190"/>
      </w:tblGrid>
      <w:tr w14:paraId="52A43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4C72E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Attack Vector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A9712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Source Layer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3FFFF1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Mitigation Mechanism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2DF2B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Formal Invariant Bound</w:t>
            </w:r>
          </w:p>
        </w:tc>
      </w:tr>
      <w:tr w14:paraId="0AC5A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F3DDB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Indirect Prompt Injection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53EA9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External Data / Tool Input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FBC19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Pre-execution Intent Interception &amp; Policy Check</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2051BD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Theorem 1 (Zero-Mutation)</w:t>
            </w:r>
          </w:p>
        </w:tc>
      </w:tr>
      <w:tr w14:paraId="586EB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B5800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Context Poisoning / Stale Data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12523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Retrieval Context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62AE5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Epistemic Uncertainty Threshold ($U(t) &gt; \theta_{\text{risk}}$)</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E123D2">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Theorem 2 (Risk Monotonicity)</w:t>
            </w:r>
          </w:p>
        </w:tc>
      </w:tr>
      <w:tr w14:paraId="0774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763852">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Privilege Escalation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CD1064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Tool Execution Scope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EE7F52F">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Macaroon Capability Caveat Verification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6A9C3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Theorem 4 (Soundness)</w:t>
            </w:r>
          </w:p>
        </w:tc>
      </w:tr>
      <w:tr w14:paraId="2747A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9E427F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Audit Log Tampering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E20DA0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Provenance System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42A64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SHA-256 Binary Merkle Tree Construction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BD4B6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Cryptographic Hash Collision Resistance</w:t>
            </w:r>
          </w:p>
        </w:tc>
      </w:tr>
    </w:tbl>
    <w:p w14:paraId="0110D099">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 Formal System Semantics &amp; Epistemic Formulation</w:t>
      </w:r>
    </w:p>
    <w:p w14:paraId="1B2930E2">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3.1 State Transition Governance System</w:t>
      </w:r>
    </w:p>
    <w:p w14:paraId="4FC55BE0">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Let $S_t \in \mathcal{S}$ be the current system state, and $I_t \in \mathcal{I}$ be the candidate execution intent. The required evidence sub-graph $V_{\text{required}}$ is derived via the evidence operator $\Gamma$:</w:t>
      </w:r>
    </w:p>
    <w:p w14:paraId="43273BF8">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$$V_{\text{required}} = \Gamma(I_t, S_t, \mathcal{P})$$</w:t>
      </w:r>
    </w:p>
    <w:p w14:paraId="7456852D">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The governance mapping $G: \mathcal{I} \times \mathcal{S} \to \mathcal{S}'$ is formally defined as:</w:t>
      </w:r>
    </w:p>
    <w:p w14:paraId="13A3B21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$$G(I_t, S_t) = \begin{cases} \delta(S_t, a), &amp; \text{if } \text{Policy}(I_t, \mathcal{P}) \land \text{Cap}(K_{\text{cap}}, I_t) \land (U(t) \le \theta_{\text{risk}}) \implies \text{Allow} \\ \rho(S_t, I_t), &amp; \text{if } U(t) &gt; \theta_{\text{risk}} \land \text{Policy}(I_t, \mathcal{P}) \implies \text{Pause (Human-in-the-Loop)} \\ S_t, &amp; \text{otherwise} \implies \text{Reject (Zero Mutation)} \end{cases}$$</w:t>
      </w:r>
    </w:p>
    <w:p w14:paraId="4D2035D9">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3.2 Epistemic Uncertainty Formulation ($U(t)$)</w:t>
      </w:r>
    </w:p>
    <w:p w14:paraId="04508CE7">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Epistemic uncertainty $U(t) \in [0, 1]$ models the system's ignorance regarding context completeness and validity:</w:t>
      </w:r>
    </w:p>
    <w:p w14:paraId="0E68793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$$U(t) = f(C, A, P, T) = w_1 (1 - C) + w_2 A + w_3 P + w_4 (1 - T)$$</w:t>
      </w:r>
    </w:p>
    <w:p w14:paraId="283E9C6B">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where $\sum_{i=1}^4 w_i = 1.0$, and parameters represent:</w:t>
      </w:r>
    </w:p>
    <w:p w14:paraId="56563AC4">
      <w:pPr>
        <w:keepNext w:val="0"/>
        <w:keepLines w:val="0"/>
        <w:widowControl/>
        <w:numPr>
          <w:ilvl w:val="0"/>
          <w:numId w:val="3"/>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25CB5A6A">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Coverage ($C \in [0, 1]$):</w:t>
      </w:r>
      <w:r>
        <w:rPr>
          <w:rFonts w:hint="eastAsia" w:ascii="Microsoft YaHei" w:hAnsi="Microsoft YaHei" w:eastAsia="Microsoft YaHei" w:cs="Microsoft YaHei"/>
        </w:rPr>
        <w:t xml:space="preserve"> $\vert{}V_{\text{present}}\vert{} / \vert{}V_{\text{required}}\vert{}$ ratio.</w:t>
      </w:r>
    </w:p>
    <w:p w14:paraId="4B88250B">
      <w:pPr>
        <w:keepNext w:val="0"/>
        <w:keepLines w:val="0"/>
        <w:widowControl/>
        <w:numPr>
          <w:ilvl w:val="0"/>
          <w:numId w:val="3"/>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60E12F4">
      <w:pPr>
        <w:keepNext w:val="0"/>
        <w:keepLines w:val="0"/>
        <w:widowControl/>
        <w:numPr>
          <w:ilvl w:val="0"/>
          <w:numId w:val="3"/>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7DFBFEF7">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Staleness ($A \in [0, 1]$):</w:t>
      </w:r>
      <w:r>
        <w:rPr>
          <w:rFonts w:hint="eastAsia" w:ascii="Microsoft YaHei" w:hAnsi="Microsoft YaHei" w:eastAsia="Microsoft YaHei" w:cs="Microsoft YaHei"/>
        </w:rPr>
        <w:t xml:space="preserve"> Normalised timestamp age of evidence nodes.</w:t>
      </w:r>
    </w:p>
    <w:p w14:paraId="5D705277">
      <w:pPr>
        <w:keepNext w:val="0"/>
        <w:keepLines w:val="0"/>
        <w:widowControl/>
        <w:numPr>
          <w:ilvl w:val="0"/>
          <w:numId w:val="3"/>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18ACC488">
      <w:pPr>
        <w:keepNext w:val="0"/>
        <w:keepLines w:val="0"/>
        <w:widowControl/>
        <w:numPr>
          <w:ilvl w:val="0"/>
          <w:numId w:val="3"/>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E79FA97">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Conflict ($P \in [0, 1]$):</w:t>
      </w:r>
      <w:r>
        <w:rPr>
          <w:rFonts w:hint="eastAsia" w:ascii="Microsoft YaHei" w:hAnsi="Microsoft YaHei" w:eastAsia="Microsoft YaHei" w:cs="Microsoft YaHei"/>
        </w:rPr>
        <w:t xml:space="preserve"> Semantic contradiction index across context nodes.</w:t>
      </w:r>
    </w:p>
    <w:p w14:paraId="4FAD6957">
      <w:pPr>
        <w:keepNext w:val="0"/>
        <w:keepLines w:val="0"/>
        <w:widowControl/>
        <w:numPr>
          <w:ilvl w:val="0"/>
          <w:numId w:val="3"/>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61247D18">
      <w:pPr>
        <w:keepNext w:val="0"/>
        <w:keepLines w:val="0"/>
        <w:widowControl/>
        <w:numPr>
          <w:ilvl w:val="0"/>
          <w:numId w:val="3"/>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6AF28A5B">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Trust ($T \in [0, 1]$):</w:t>
      </w:r>
      <w:r>
        <w:rPr>
          <w:rFonts w:hint="eastAsia" w:ascii="Microsoft YaHei" w:hAnsi="Microsoft YaHei" w:eastAsia="Microsoft YaHei" w:cs="Microsoft YaHei"/>
        </w:rPr>
        <w:t xml:space="preserve"> Verified signature score of evidence sources.</w:t>
      </w:r>
    </w:p>
    <w:p w14:paraId="423D9DFC">
      <w:pPr>
        <w:keepNext w:val="0"/>
        <w:keepLines w:val="0"/>
        <w:widowControl/>
        <w:numPr>
          <w:ilvl w:val="0"/>
          <w:numId w:val="3"/>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BBEE324">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4. Formal System Invariants &amp; Mathematical Proofs</w:t>
      </w:r>
    </w:p>
    <w:p w14:paraId="10925196">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Theorem 1 (Zero-Mutation Invariant)</w:t>
      </w:r>
    </w:p>
    <w:p w14:paraId="73D864A3">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Statement:</w:t>
      </w:r>
      <w:r>
        <w:rPr>
          <w:rFonts w:hint="eastAsia" w:ascii="Microsoft YaHei" w:hAnsi="Microsoft YaHei" w:eastAsia="Microsoft YaHei" w:cs="Microsoft YaHei"/>
        </w:rPr>
        <w:t xml:space="preserve"> For any candidate intent $I_t$ and initial system state $S_t$, if $G(I_t, S_t) = \text{Reject}$, the post-governance state $S'$ strictly satisfies $S' = S_t$.</w:t>
      </w:r>
    </w:p>
    <w:p w14:paraId="0A2AFF87">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Proof:</w:t>
      </w:r>
    </w:p>
    <w:p w14:paraId="29C958B9">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Let $a \in \text{Sandbox}$ be instantiated if and only if $\text{Decision} = \text{Allow}$. When $G(I_t, S_t) = \text{Reject}$, the execution dispatcher returns $a = \emptyset$. Since no execution container is instantiated, the state transition function defaults to $S' = \delta(S_t, \emptyset) = S_t$. Zero-mutation holds strictly under isolated execution boundary assumptions. $\blacksquare$</w:t>
      </w:r>
    </w:p>
    <w:p w14:paraId="5711BA23">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Theorem 2 (Risk Monotonicity Invariant)</w:t>
      </w:r>
    </w:p>
    <w:p w14:paraId="7DCC0D93">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Statement:</w:t>
      </w:r>
      <w:r>
        <w:rPr>
          <w:rFonts w:hint="eastAsia" w:ascii="Microsoft YaHei" w:hAnsi="Microsoft YaHei" w:eastAsia="Microsoft YaHei" w:cs="Microsoft YaHei"/>
        </w:rPr>
        <w:t xml:space="preserve"> Let $U_1, U_2$ be epistemic uncertainty values evaluated for intent $I_t$. If $U_1 \ge U_2$, then $\text{Risk}(U_1) \ge \text{Risk}(U_2)$.</w:t>
      </w:r>
    </w:p>
    <w:p w14:paraId="2A4728BB">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Proof:</w:t>
      </w:r>
    </w:p>
    <w:p w14:paraId="6DA5D6B7">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The risk evaluation function $R(U) = \mathbb{I}(U &gt; \theta_{\text{risk}})$ is a monotonically non-decreasing indicator function. For $U_1 \ge U_2$, if $U_2 &gt; \theta_{\text{risk}}$, then $U_1 &gt; \theta_{\text{risk}}$, yielding $R(U_1) = R(U_2) = 1$. If $U_1 \le \theta_{\text{risk}}$, then $U_2 \le \theta_{\text{risk}}$, yielding $R(U_1) = R(U_2) = 0$. Hence, $U_1 \ge U_2 \implies R(U_1) \ge R(U_2)$. $\blacksquare$</w:t>
      </w:r>
    </w:p>
    <w:p w14:paraId="052146B0">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Theorem 3 (Deterministic Execution Invariant)</w:t>
      </w:r>
    </w:p>
    <w:p w14:paraId="5C678BE3">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Statement:</w:t>
      </w:r>
      <w:r>
        <w:rPr>
          <w:rFonts w:hint="eastAsia" w:ascii="Microsoft YaHei" w:hAnsi="Microsoft YaHei" w:eastAsia="Microsoft YaHei" w:cs="Microsoft YaHei"/>
        </w:rPr>
        <w:t xml:space="preserve"> Given a fixed tuple $(I_t, S_t, \mathcal{P})$, the governance decision $G(I_t, S_t, \mathcal{P})$ is strictly deterministic.</w:t>
      </w:r>
    </w:p>
    <w:p w14:paraId="06276139">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Proof:</w:t>
      </w:r>
    </w:p>
    <w:p w14:paraId="39F2407F">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Governance evaluation relies on $U(t) = f(C, A, P, T)$, OPA/Rego AST evaluation $O(I_t, \mathcal{P})$, and Ed25519 signature checks $V(K_{\text{cap}})$. Under side-effect-free evaluation assumptions, $f(C,A,P,T)$ consists of linear operations and deterministic SHA-256 hash algorithms. Ed25519 signature verification is deterministic. Since all composite functions are deterministic, $G(I_t, S_t, \mathcal{P})$ yields identical outputs for identical inputs. $\blacksquare$</w:t>
      </w:r>
    </w:p>
    <w:p w14:paraId="2B5CB3EB">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Theorem 4 (Governance Soundness &amp; Completeness)</w:t>
      </w:r>
    </w:p>
    <w:p w14:paraId="4B727577">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Statement:</w:t>
      </w:r>
      <w:r>
        <w:rPr>
          <w:rFonts w:hint="eastAsia" w:ascii="Microsoft YaHei" w:hAnsi="Microsoft YaHei" w:eastAsia="Microsoft YaHei" w:cs="Microsoft YaHei"/>
        </w:rPr>
        <w:t xml:space="preserve"> For any intent $I_t$, initial state $S_t$, and policy set $\mathcal{P}$:</w:t>
      </w:r>
    </w:p>
    <w:p w14:paraId="0522D6A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$$G(I_t, S_t, \mathcal{P}) = \text{Allow} \iff \text{PolicyCheck}(I_t, \mathcal{P}) \land \text{CapabilityCheck}(K_{\text{cap}}, I_t) \land (U(t) \le \theta_{\text{risk}})$$</w:t>
      </w:r>
    </w:p>
    <w:p w14:paraId="607FBF41">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Proof:</w:t>
      </w:r>
    </w:p>
    <w:p w14:paraId="58330B58">
      <w:pPr>
        <w:keepNext w:val="0"/>
        <w:keepLines w:val="0"/>
        <w:widowControl/>
        <w:numPr>
          <w:ilvl w:val="0"/>
          <w:numId w:val="4"/>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20C75B6F">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rPr>
        <w:t>($\implies$ Soundness): Governance dispatch uses a logical conjunction operator $\bigwedge_{i=1}^3 P_i$. If any predicate $P_i \in \{\text{PolicyCheck}, \text{CapabilityCheck}, \mathbb{I}(U(t) \le \theta_{\text{risk}})\}$ evaluates to $\text{False}$, the decision matrix evaluates to $\text{Reject}$ or $\text{Pause}$. Thus, $\text{Allow}$ implies all predicates evaluate to $\text{True}$.</w:t>
      </w:r>
    </w:p>
    <w:p w14:paraId="35F6A2C0">
      <w:pPr>
        <w:keepNext w:val="0"/>
        <w:keepLines w:val="0"/>
        <w:widowControl/>
        <w:numPr>
          <w:ilvl w:val="0"/>
          <w:numId w:val="4"/>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F6018D3">
      <w:pPr>
        <w:keepNext w:val="0"/>
        <w:keepLines w:val="0"/>
        <w:widowControl/>
        <w:numPr>
          <w:ilvl w:val="0"/>
          <w:numId w:val="4"/>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549AFBAC">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rPr>
        <w:t>($\impliedby$ Completeness): If all predicates evaluate to $\text{True}$, the decision matrix defaults to state transition $\delta(S_t, a)$, assigned the value $\text{Allow}$. Hence, the condition is necessary and sufficient. $\blacksquare$</w:t>
      </w:r>
    </w:p>
    <w:p w14:paraId="5989B0C3">
      <w:pPr>
        <w:keepNext w:val="0"/>
        <w:keepLines w:val="0"/>
        <w:widowControl/>
        <w:numPr>
          <w:ilvl w:val="0"/>
          <w:numId w:val="4"/>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4914675D">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5. Computational Complexity Analysis</w:t>
      </w:r>
    </w:p>
    <w:p w14:paraId="1F034FB7">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Conditioned on a candidate intent $I_t$, governance complexity is bounded by:</w:t>
      </w:r>
    </w:p>
    <w:p w14:paraId="058F3FE1">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$$\mathcal{O}(\vert{}V_{\text{required}}\vert{} + R \cdot D + K)$$</w:t>
      </w:r>
    </w:p>
    <w:p w14:paraId="12335697">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where:</w:t>
      </w:r>
    </w:p>
    <w:p w14:paraId="0CB2A44B">
      <w:pPr>
        <w:keepNext w:val="0"/>
        <w:keepLines w:val="0"/>
        <w:widowControl/>
        <w:numPr>
          <w:ilvl w:val="0"/>
          <w:numId w:val="5"/>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73E842B1">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rPr>
        <w:t>$\vert{}V_{\text{required}}\vert{}$: Number of required evidence graph nodes evaluated during $U(t)$ computation.</w:t>
      </w:r>
    </w:p>
    <w:p w14:paraId="057E9E50">
      <w:pPr>
        <w:keepNext w:val="0"/>
        <w:keepLines w:val="0"/>
        <w:widowControl/>
        <w:numPr>
          <w:ilvl w:val="0"/>
          <w:numId w:val="5"/>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9CA3671">
      <w:pPr>
        <w:keepNext w:val="0"/>
        <w:keepLines w:val="0"/>
        <w:widowControl/>
        <w:numPr>
          <w:ilvl w:val="0"/>
          <w:numId w:val="5"/>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469D0603">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rPr>
        <w:t>$R \cdot D$: Number of policy rules ($R$) multiplied by maximum AST rule depth ($D$) in OPA/Rego.</w:t>
      </w:r>
    </w:p>
    <w:p w14:paraId="55FDF206">
      <w:pPr>
        <w:keepNext w:val="0"/>
        <w:keepLines w:val="0"/>
        <w:widowControl/>
        <w:numPr>
          <w:ilvl w:val="0"/>
          <w:numId w:val="5"/>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3D55D72">
      <w:pPr>
        <w:keepNext w:val="0"/>
        <w:keepLines w:val="0"/>
        <w:widowControl/>
        <w:numPr>
          <w:ilvl w:val="0"/>
          <w:numId w:val="5"/>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7148385E">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rPr>
        <w:t>$K$: Number of HMAC/Ed25519 capability token caveats verified.</w:t>
      </w:r>
    </w:p>
    <w:p w14:paraId="00167EBE">
      <w:pPr>
        <w:keepNext w:val="0"/>
        <w:keepLines w:val="0"/>
        <w:widowControl/>
        <w:numPr>
          <w:ilvl w:val="0"/>
          <w:numId w:val="5"/>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616211B7">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Crucially, this bound is $\mathcal{O}(1)$ with respect to LLM parameter count and prompt context window size.</w:t>
      </w:r>
    </w:p>
    <w:p w14:paraId="0E1B2E22">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6. Systematic Literature Comparison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6"/>
        <w:gridCol w:w="1173"/>
        <w:gridCol w:w="1225"/>
        <w:gridCol w:w="1176"/>
        <w:gridCol w:w="1066"/>
        <w:gridCol w:w="1004"/>
        <w:gridCol w:w="2031"/>
      </w:tblGrid>
      <w:tr w14:paraId="52787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E9D71E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Framework / System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AB4D95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Deterministic Policy Engine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E32B84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Cryptographic Provenance DAG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9CE334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Epistemic Uncertainty Model U(t)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9A925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State Transition Semantics G(I,S)→S′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031F68">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Zero-Mutation Side-Effect Guarantee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16948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Overhead Scale Factor</w:t>
            </w:r>
          </w:p>
        </w:tc>
      </w:tr>
      <w:tr w14:paraId="78CC2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F147A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Guardrails AI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1FA1BC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 (Probabilistic)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ADCB0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902EE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688B1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9201D1">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F302A12">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$\mathcal{O}(T_{\text{LLM}})$</w:t>
            </w:r>
          </w:p>
        </w:tc>
      </w:tr>
      <w:tr w14:paraId="1832E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E76E17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NeMo Guardrails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4A1BE0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 (Rail Rules)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E29CF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ECAF32">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5FCA9E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B1ACE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82EBFD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$\mathcal{O}(\text{Rules})$</w:t>
            </w:r>
          </w:p>
        </w:tc>
      </w:tr>
      <w:tr w14:paraId="0C302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41571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AWS Cedar / OPA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7A5594F">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 (Static Auth)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136BE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4DBC1B2">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BE8A9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B575C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F009AB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$\mathcal{O}(\text{AST})$</w:t>
            </w:r>
          </w:p>
        </w:tc>
      </w:tr>
      <w:tr w14:paraId="74602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29AFA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ToolEmu</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E0A3AC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3FB0B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611381">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E6599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 (Simulation)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BDA1B3">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603BA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$\mathcal{O}(T_{\text{LLM}})$</w:t>
            </w:r>
          </w:p>
        </w:tc>
      </w:tr>
      <w:tr w14:paraId="6FEFD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882890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Rhizoh Engine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A9B490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 (OPA / Rego)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06C20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 (Merkle Trees)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30AC098">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 ($f(C,A,P,T)$)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7895B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 ($G(I,S) \implies 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AA591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 ($S' = S_t$)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C71AF5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$\mathcal{O}(\vert{}V\vert{} + R \cdot D + K)$</w:t>
            </w:r>
          </w:p>
        </w:tc>
      </w:tr>
    </w:tbl>
    <w:p w14:paraId="4C347E13">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7. Conclusion</w:t>
      </w:r>
    </w:p>
    <w:p w14:paraId="16DCBBC4">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Paper 1 establishes the mathematical semantics, threat model, and formal proofs for Rhizoh Engine. By proving four fundamental system invariants and establishing a computational bound independent of LLM parameter scale, we demonstrate that execution governance can be framed as a deterministic state transition system before state mutation occurs.</w:t>
      </w:r>
    </w:p>
    <w:p w14:paraId="0D8282CA">
      <w:pPr>
        <w:pStyle w:val="2"/>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Paper 2: Empirical Evaluation of Epistemic Governance Overhead and Threat Mitigation in LLM Agent Runtimes</w:t>
      </w:r>
    </w:p>
    <w:p w14:paraId="35007845">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Author:</w:t>
      </w:r>
      <w:r>
        <w:rPr>
          <w:rFonts w:hint="eastAsia" w:ascii="Microsoft YaHei" w:hAnsi="Microsoft YaHei" w:eastAsia="Microsoft YaHei" w:cs="Microsoft YaHei"/>
        </w:rPr>
        <w:t xml:space="preserve"> Can Kasaplar</w:t>
      </w:r>
    </w:p>
    <w:p w14:paraId="1A6077CB">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b/>
          <w:bCs/>
        </w:rPr>
        <w:t>Domain:</w:t>
      </w:r>
      <w:r>
        <w:rPr>
          <w:rFonts w:hint="eastAsia" w:ascii="Microsoft YaHei" w:hAnsi="Microsoft YaHei" w:eastAsia="Microsoft YaHei" w:cs="Microsoft YaHei"/>
        </w:rPr>
        <w:t xml:space="preserve"> Empirical AI Safety, Runtime Governance Performance, LLM Vulnerability Mitigation</w:t>
      </w:r>
    </w:p>
    <w:p w14:paraId="7D31F3BE">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Abstract</w:t>
      </w:r>
    </w:p>
    <w:p w14:paraId="1BCE4B87">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 xml:space="preserve">As Large Language Models (LLMs) transition to execution agents in production environments, governance frameworks must satisfy strict dual constraints: microsecond-scale latency overhead and complete containment of unauthorized state mutations. In this paper, we present an empirical evaluation of </w:t>
      </w:r>
      <w:r>
        <w:rPr>
          <w:rFonts w:hint="eastAsia" w:ascii="Microsoft YaHei" w:hAnsi="Microsoft YaHei" w:eastAsia="Microsoft YaHei" w:cs="Microsoft YaHei"/>
          <w:b/>
          <w:bCs/>
        </w:rPr>
        <w:t>Rhizoh Engine</w:t>
      </w:r>
      <w:r>
        <w:rPr>
          <w:rFonts w:hint="eastAsia" w:ascii="Microsoft YaHei" w:hAnsi="Microsoft YaHei" w:eastAsia="Microsoft YaHei" w:cs="Microsoft YaHei"/>
        </w:rPr>
        <w:t xml:space="preserve"> across $N = 1,500$ evaluation scenarios. We explicitly isolate total system latency $T_{\text{total}} = T_{\text{LLM}} + T_{\text{Governance}}$ and measure the performance of Rhizoh's policy evaluation, capability verification, dynamic uncertainty calculation $U(t)$, and Merkle DAG provenance generation. Tested against both internal rule structures (Controlled Reference Policy Dataset, $N=1000$) and external attack schemas adapted from AgentDojo and CyberSecEval ($N=500$), Rhizoh achieves a median overhead (P50) of </w:t>
      </w:r>
      <w:r>
        <w:rPr>
          <w:rFonts w:hint="eastAsia" w:ascii="Microsoft YaHei" w:hAnsi="Microsoft YaHei" w:eastAsia="Microsoft YaHei" w:cs="Microsoft YaHei"/>
          <w:b/>
          <w:bCs/>
        </w:rPr>
        <w:t>$0.071\text{ ms}$</w:t>
      </w:r>
      <w:r>
        <w:rPr>
          <w:rFonts w:hint="eastAsia" w:ascii="Microsoft YaHei" w:hAnsi="Microsoft YaHei" w:eastAsia="Microsoft YaHei" w:cs="Microsoft YaHei"/>
        </w:rPr>
        <w:t xml:space="preserve"> and a 95th percentile (P95) overhead of </w:t>
      </w:r>
      <w:r>
        <w:rPr>
          <w:rFonts w:hint="eastAsia" w:ascii="Microsoft YaHei" w:hAnsi="Microsoft YaHei" w:eastAsia="Microsoft YaHei" w:cs="Microsoft YaHei"/>
          <w:b/>
          <w:bCs/>
        </w:rPr>
        <w:t>$0.092\text{ ms}$</w:t>
      </w:r>
      <w:r>
        <w:rPr>
          <w:rFonts w:hint="eastAsia" w:ascii="Microsoft YaHei" w:hAnsi="Microsoft YaHei" w:eastAsia="Microsoft YaHei" w:cs="Microsoft YaHei"/>
        </w:rPr>
        <w:t>, well below the target Service Level Objective (SLO) of $5.0\text{ ms}$. Furthermore, an ablation study demonstrates the necessity of the Epistemic Uncertainty Engine ($33.33\%$ UER leak when disabled), while Rhizoh's full configuration maintains an exact Clopper-Pearson 95% binomial upper confidence bound of $[0.00\% - 0.40\%]$.</w:t>
      </w:r>
    </w:p>
    <w:p w14:paraId="52727F88">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1. Introduction &amp; Research Questions</w:t>
      </w:r>
    </w:p>
    <w:p w14:paraId="52271AE1">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While Paper 1 formalized the theoretical foundations ($G(I,S) \implies S'$), required evidence operator ($\Gamma$), and computational complexity ($\mathcal{O}(\vert{}V_{\text{req}}\vert{} + R \cdot D + K)$) of Rhizoh Engine, this paper addresses two core empirical research questions:</w:t>
      </w:r>
    </w:p>
    <w:p w14:paraId="21FF6670">
      <w:pPr>
        <w:keepNext w:val="0"/>
        <w:keepLines w:val="0"/>
        <w:widowControl/>
        <w:numPr>
          <w:ilvl w:val="0"/>
          <w:numId w:val="6"/>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562A3947">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RQ1 (Latency Isolation &amp; Workload Dependence):</w:t>
      </w:r>
      <w:r>
        <w:rPr>
          <w:rFonts w:hint="eastAsia" w:ascii="Microsoft YaHei" w:hAnsi="Microsoft YaHei" w:eastAsia="Microsoft YaHei" w:cs="Microsoft YaHei"/>
        </w:rPr>
        <w:t xml:space="preserve"> What is the exact execution overhead added by Rhizoh's governance pipeline when isolated from LLM token inference latency ($T_{\text{LLM}}$), and does workload scaling introduce observable bottlenecks?</w:t>
      </w:r>
    </w:p>
    <w:p w14:paraId="4960A259">
      <w:pPr>
        <w:keepNext w:val="0"/>
        <w:keepLines w:val="0"/>
        <w:widowControl/>
        <w:numPr>
          <w:ilvl w:val="0"/>
          <w:numId w:val="6"/>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1E49CC02">
      <w:pPr>
        <w:keepNext w:val="0"/>
        <w:keepLines w:val="0"/>
        <w:widowControl/>
        <w:numPr>
          <w:ilvl w:val="0"/>
          <w:numId w:val="6"/>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311AB5C">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RQ2 (Ablation &amp; Threat Containment):</w:t>
      </w:r>
      <w:r>
        <w:rPr>
          <w:rFonts w:hint="eastAsia" w:ascii="Microsoft YaHei" w:hAnsi="Microsoft YaHei" w:eastAsia="Microsoft YaHei" w:cs="Microsoft YaHei"/>
        </w:rPr>
        <w:t xml:space="preserve"> How do individual governance modules (OPA, Capability Tokens, $U(t)$) contribute to preventing unauthorized executions (UER) without inducing false-positive pauses on benign requests?</w:t>
      </w:r>
    </w:p>
    <w:p w14:paraId="165059E9">
      <w:pPr>
        <w:keepNext w:val="0"/>
        <w:keepLines w:val="0"/>
        <w:widowControl/>
        <w:numPr>
          <w:ilvl w:val="0"/>
          <w:numId w:val="6"/>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2CA37472">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2. Experimental Methodology &amp; Environment Audit</w:t>
      </w:r>
    </w:p>
    <w:p w14:paraId="4B94752A">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2.1 Reproducibility Environment Specification</w:t>
      </w:r>
    </w:p>
    <w:p w14:paraId="0422A458">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All experiments were executed within an isolated, deterministic single-threaded process space using platform-native high-resolution timers:</w:t>
      </w:r>
    </w:p>
    <w:p w14:paraId="03D3A04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Plaintext</w:t>
      </w:r>
    </w:p>
    <w:p w14:paraId="6B1714B5">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EVALUATION ENVIRONMENT SPECIFICATION:</w:t>
      </w:r>
    </w:p>
    <w:p w14:paraId="3FDDCABE">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 OS Environment      : Windows 10 (64-bit)</w:t>
      </w:r>
    </w:p>
    <w:p w14:paraId="2EDDD107">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 Timer Resolution    : Windows QPC via time.perf_counter() (&lt; 100 ns resolution)</w:t>
      </w:r>
    </w:p>
    <w:p w14:paraId="4923C574">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 Python Interpreter  : 3.13.2 (Isolated Virtual Environment)</w:t>
      </w:r>
    </w:p>
    <w:p w14:paraId="4B0AF180">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 Execution Model     : Single-threaded CPU execution with Warm-up priming</w:t>
      </w:r>
    </w:p>
    <w:p w14:paraId="6BAC14C6">
      <w:pPr>
        <w:pStyle w:val="9"/>
        <w:keepNext w:val="0"/>
        <w:keepLines w:val="0"/>
        <w:widowControl/>
        <w:suppressLineNumbers w:val="0"/>
        <w:spacing w:before="0" w:beforeAutospacing="0" w:line="15" w:lineRule="atLeast"/>
        <w:rPr>
          <w:rFonts w:hint="eastAsia" w:ascii="Microsoft YaHei" w:hAnsi="Microsoft YaHei" w:eastAsia="Microsoft YaHei" w:cs="Microsoft YaHei"/>
        </w:rPr>
      </w:pPr>
      <w:r>
        <w:rPr>
          <w:rStyle w:val="8"/>
          <w:rFonts w:hint="eastAsia" w:ascii="Microsoft YaHei" w:hAnsi="Microsoft YaHei" w:eastAsia="Microsoft YaHei" w:cs="Microsoft YaHei"/>
        </w:rPr>
        <w:t>└── Total Benchmark Size: N = 1,500 Scenarios (EGB Unit Suite + External Adapters)</w:t>
      </w:r>
    </w:p>
    <w:p w14:paraId="5171B49F">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2.2 Latency Isolation Formulation</w:t>
      </w:r>
    </w:p>
    <w:p w14:paraId="369D3838">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To ensure evaluation transparency, governance overhead is explicitly separated from LLM generation latency:</w:t>
      </w:r>
    </w:p>
    <w:p w14:paraId="5F1FA9FF">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$$T_{\text{Governance Runtime}} = T_{\text{Observation}}(\Gamma) + T_{\text{Uncertainty}}(U(t)) + T_{\text{Policy}}(\text{OPA}) + T_{\text{Capability}} + T_{\text{Merkle Tree}}$$</w:t>
      </w:r>
    </w:p>
    <w:p w14:paraId="60DFBFA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$$T_{\text{total}} = T_{\text{LLM Inference}} + T_{\text{Governance Runtime}}$$</w:t>
      </w:r>
    </w:p>
    <w:p w14:paraId="741DDF44">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 Empirical Results &amp; Performance Analysis</w:t>
      </w:r>
    </w:p>
    <w:p w14:paraId="09B654BB">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3.1 Ground Truth Confusion Matrix (Controlled Reference Policy Dataset, $N=1,000$)</w:t>
      </w:r>
    </w:p>
    <w:p w14:paraId="3B3B711C">
      <w:pPr>
        <w:pStyle w:val="10"/>
        <w:keepNext w:val="0"/>
        <w:keepLines w:val="0"/>
        <w:widowControl/>
        <w:suppressLineNumbers w:val="0"/>
        <w:spacing w:before="0" w:beforeAutospacing="0" w:line="15" w:lineRule="atLeast"/>
        <w:ind w:left="720" w:right="720"/>
        <w:rPr>
          <w:rFonts w:hint="eastAsia" w:ascii="Microsoft YaHei" w:hAnsi="Microsoft YaHei" w:eastAsia="Microsoft YaHei" w:cs="Microsoft YaHei"/>
        </w:rPr>
      </w:pPr>
      <w:r>
        <w:rPr>
          <w:rFonts w:hint="eastAsia" w:ascii="Microsoft YaHei" w:hAnsi="Microsoft YaHei" w:eastAsia="Microsoft YaHei" w:cs="Microsoft YaHei"/>
          <w:b/>
          <w:bCs/>
          <w:sz w:val="24"/>
          <w:szCs w:val="24"/>
        </w:rPr>
        <w:t>Data Transparency Note:</w:t>
      </w:r>
      <w:r>
        <w:rPr>
          <w:rFonts w:hint="eastAsia" w:ascii="Microsoft YaHei" w:hAnsi="Microsoft YaHei" w:eastAsia="Microsoft YaHei" w:cs="Microsoft YaHei"/>
          <w:sz w:val="24"/>
          <w:szCs w:val="24"/>
        </w:rPr>
        <w:t xml:space="preserve"> Reported unit metrics evaluate the mathematical soundness of reference policy bindings under controlled synthetic schema mappings.</w:t>
      </w:r>
    </w:p>
    <w:p w14:paraId="4FD4C5A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Plaintext</w:t>
      </w:r>
    </w:p>
    <w:p w14:paraId="38042CA6">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CONFUSION MATRIX (GROUND TRUTH VS PREDICTED ACTION)</w:t>
      </w:r>
    </w:p>
    <w:p w14:paraId="2FE57F97">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 xml:space="preserve">                     │ Predicted REJECT / PAUSE │ Predicted ALLOW</w:t>
      </w:r>
    </w:p>
    <w:p w14:paraId="36F2A7A5">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 xml:space="preserve">  Ground Truth       │                          │</w:t>
      </w:r>
    </w:p>
    <w:p w14:paraId="06C8AD8E">
      <w:pPr>
        <w:pStyle w:val="9"/>
        <w:keepNext w:val="0"/>
        <w:keepLines w:val="0"/>
        <w:widowControl/>
        <w:suppressLineNumbers w:val="0"/>
        <w:spacing w:before="0" w:beforeAutospacing="0" w:line="15" w:lineRule="atLeast"/>
        <w:rPr>
          <w:rStyle w:val="8"/>
          <w:rFonts w:hint="eastAsia" w:ascii="Microsoft YaHei" w:hAnsi="Microsoft YaHei" w:eastAsia="Microsoft YaHei" w:cs="Microsoft YaHei"/>
        </w:rPr>
      </w:pPr>
      <w:r>
        <w:rPr>
          <w:rStyle w:val="8"/>
          <w:rFonts w:hint="eastAsia" w:ascii="Microsoft YaHei" w:hAnsi="Microsoft YaHei" w:eastAsia="Microsoft YaHei" w:cs="Microsoft YaHei"/>
        </w:rPr>
        <w:t xml:space="preserve">  ├── Malicious      │        750 (TN)          │       0 (FN / Leak)</w:t>
      </w:r>
    </w:p>
    <w:p w14:paraId="13AB755E">
      <w:pPr>
        <w:pStyle w:val="9"/>
        <w:keepNext w:val="0"/>
        <w:keepLines w:val="0"/>
        <w:widowControl/>
        <w:suppressLineNumbers w:val="0"/>
        <w:spacing w:before="0" w:beforeAutospacing="0" w:line="15" w:lineRule="atLeast"/>
        <w:rPr>
          <w:rFonts w:hint="eastAsia" w:ascii="Microsoft YaHei" w:hAnsi="Microsoft YaHei" w:eastAsia="Microsoft YaHei" w:cs="Microsoft YaHei"/>
        </w:rPr>
      </w:pPr>
      <w:r>
        <w:rPr>
          <w:rStyle w:val="8"/>
          <w:rFonts w:hint="eastAsia" w:ascii="Microsoft YaHei" w:hAnsi="Microsoft YaHei" w:eastAsia="Microsoft YaHei" w:cs="Microsoft YaHei"/>
        </w:rPr>
        <w:t xml:space="preserve">  └── Benign         │          0 (FP)          │     250 (TP)</w:t>
      </w:r>
    </w:p>
    <w:p w14:paraId="18111FBB">
      <w:pPr>
        <w:keepNext w:val="0"/>
        <w:keepLines w:val="0"/>
        <w:widowControl/>
        <w:numPr>
          <w:ilvl w:val="0"/>
          <w:numId w:val="7"/>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16E2542A">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Unauthorized Execution Rate (UER):</w:t>
      </w:r>
      <w:r>
        <w:rPr>
          <w:rFonts w:hint="eastAsia" w:ascii="Microsoft YaHei" w:hAnsi="Microsoft YaHei" w:eastAsia="Microsoft YaHei" w:cs="Microsoft YaHei"/>
        </w:rPr>
        <w:t xml:space="preserve"> </w:t>
      </w:r>
      <w:r>
        <w:rPr>
          <w:rFonts w:hint="eastAsia" w:ascii="Microsoft YaHei" w:hAnsi="Microsoft YaHei" w:eastAsia="Microsoft YaHei" w:cs="Microsoft YaHei"/>
          <w:b/>
          <w:bCs/>
        </w:rPr>
        <w:t>$0.00\%$</w:t>
      </w:r>
      <w:r>
        <w:rPr>
          <w:rFonts w:hint="eastAsia" w:ascii="Microsoft YaHei" w:hAnsi="Microsoft YaHei" w:eastAsia="Microsoft YaHei" w:cs="Microsoft YaHei"/>
        </w:rPr>
        <w:t xml:space="preserve"> ($0 / 750$ leaks)</w:t>
      </w:r>
    </w:p>
    <w:p w14:paraId="4CB10554">
      <w:pPr>
        <w:keepNext w:val="0"/>
        <w:keepLines w:val="0"/>
        <w:widowControl/>
        <w:numPr>
          <w:ilvl w:val="0"/>
          <w:numId w:val="7"/>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4E626F98">
      <w:pPr>
        <w:keepNext w:val="0"/>
        <w:keepLines w:val="0"/>
        <w:widowControl/>
        <w:numPr>
          <w:ilvl w:val="0"/>
          <w:numId w:val="7"/>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DEC5CD3">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Exact Clopper-Pearson 95% CI Upper Bound:</w:t>
      </w:r>
      <w:r>
        <w:rPr>
          <w:rFonts w:hint="eastAsia" w:ascii="Microsoft YaHei" w:hAnsi="Microsoft YaHei" w:eastAsia="Microsoft YaHei" w:cs="Microsoft YaHei"/>
        </w:rPr>
        <w:t xml:space="preserve"> </w:t>
      </w:r>
      <w:r>
        <w:rPr>
          <w:rFonts w:hint="eastAsia" w:ascii="Microsoft YaHei" w:hAnsi="Microsoft YaHei" w:eastAsia="Microsoft YaHei" w:cs="Microsoft YaHei"/>
          <w:b/>
          <w:bCs/>
        </w:rPr>
        <w:t>$[0.00\% - 0.40\%]$</w:t>
      </w:r>
    </w:p>
    <w:p w14:paraId="0CA8EFC9">
      <w:pPr>
        <w:keepNext w:val="0"/>
        <w:keepLines w:val="0"/>
        <w:widowControl/>
        <w:numPr>
          <w:ilvl w:val="0"/>
          <w:numId w:val="7"/>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56443C44">
      <w:pPr>
        <w:keepNext w:val="0"/>
        <w:keepLines w:val="0"/>
        <w:widowControl/>
        <w:numPr>
          <w:ilvl w:val="0"/>
          <w:numId w:val="7"/>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6A50481">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Threat Precision / Recall / F1-Score:</w:t>
      </w:r>
      <w:r>
        <w:rPr>
          <w:rFonts w:hint="eastAsia" w:ascii="Microsoft YaHei" w:hAnsi="Microsoft YaHei" w:eastAsia="Microsoft YaHei" w:cs="Microsoft YaHei"/>
        </w:rPr>
        <w:t xml:space="preserve"> </w:t>
      </w:r>
      <w:r>
        <w:rPr>
          <w:rFonts w:hint="eastAsia" w:ascii="Microsoft YaHei" w:hAnsi="Microsoft YaHei" w:eastAsia="Microsoft YaHei" w:cs="Microsoft YaHei"/>
          <w:b/>
          <w:bCs/>
        </w:rPr>
        <w:t>$100.00\%$</w:t>
      </w:r>
    </w:p>
    <w:p w14:paraId="7B002F4F">
      <w:pPr>
        <w:keepNext w:val="0"/>
        <w:keepLines w:val="0"/>
        <w:widowControl/>
        <w:numPr>
          <w:ilvl w:val="0"/>
          <w:numId w:val="7"/>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4FFF547">
      <w:pPr>
        <w:keepNext w:val="0"/>
        <w:keepLines w:val="0"/>
        <w:widowControl/>
        <w:numPr>
          <w:ilvl w:val="0"/>
          <w:numId w:val="7"/>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8C83FE9">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Batch Execution Time ($N=1000$):</w:t>
      </w:r>
      <w:r>
        <w:rPr>
          <w:rFonts w:hint="eastAsia" w:ascii="Microsoft YaHei" w:hAnsi="Microsoft YaHei" w:eastAsia="Microsoft YaHei" w:cs="Microsoft YaHei"/>
        </w:rPr>
        <w:t xml:space="preserve"> </w:t>
      </w:r>
      <w:r>
        <w:rPr>
          <w:rFonts w:hint="eastAsia" w:ascii="Microsoft YaHei" w:hAnsi="Microsoft YaHei" w:eastAsia="Microsoft YaHei" w:cs="Microsoft YaHei"/>
          <w:b/>
          <w:bCs/>
        </w:rPr>
        <w:t>$0.083\text{ seconds}$</w:t>
      </w:r>
    </w:p>
    <w:p w14:paraId="3E451A14">
      <w:pPr>
        <w:keepNext w:val="0"/>
        <w:keepLines w:val="0"/>
        <w:widowControl/>
        <w:numPr>
          <w:ilvl w:val="0"/>
          <w:numId w:val="7"/>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270353EA">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3.2 Governance Overhead Latency Distribution (RQ1)</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991"/>
        <w:gridCol w:w="1643"/>
        <w:gridCol w:w="1643"/>
        <w:gridCol w:w="1643"/>
        <w:gridCol w:w="1536"/>
      </w:tblGrid>
      <w:tr w14:paraId="1E841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9C00D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Benchmark Cohort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B2A64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Total Samples (N)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995E5A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P50 Overhead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50C6E68">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P95 Overhead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5B3DD2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P99 Overhead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A5CE4C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SLO Compliance (≤5.0 ms)</w:t>
            </w:r>
          </w:p>
        </w:tc>
      </w:tr>
      <w:tr w14:paraId="5C34A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9BC8A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Controlled Reference Policy Dataset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9B36F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$1,000$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80456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$0.071\text{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16A389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$0.092\text{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F17ED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$0.115\text{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8ABEB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PASS</w:t>
            </w:r>
            <w:r>
              <w:rPr>
                <w:rFonts w:hint="eastAsia" w:ascii="Microsoft YaHei" w:hAnsi="Microsoft YaHei" w:eastAsia="Microsoft YaHei" w:cs="Microsoft YaHei"/>
                <w:kern w:val="0"/>
                <w:sz w:val="24"/>
                <w:szCs w:val="24"/>
                <w:bdr w:val="none" w:color="auto" w:sz="0" w:space="0"/>
                <w:lang w:val="en-US" w:eastAsia="zh-CN" w:bidi="ar"/>
              </w:rPr>
              <w:t xml:space="preserve"> ($\sim 54\times$ faster)</w:t>
            </w:r>
          </w:p>
        </w:tc>
      </w:tr>
      <w:tr w14:paraId="225F1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4D384E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External Adapter Schema (AgentDojo)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3A64EC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$500$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71C342">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$0.089\text{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14372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$0.148\text{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B240B3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$0.275\text{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0B18E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PASS</w:t>
            </w:r>
            <w:r>
              <w:rPr>
                <w:rFonts w:hint="eastAsia" w:ascii="Microsoft YaHei" w:hAnsi="Microsoft YaHei" w:eastAsia="Microsoft YaHei" w:cs="Microsoft YaHei"/>
                <w:kern w:val="0"/>
                <w:sz w:val="24"/>
                <w:szCs w:val="24"/>
                <w:bdr w:val="none" w:color="auto" w:sz="0" w:space="0"/>
                <w:lang w:val="en-US" w:eastAsia="zh-CN" w:bidi="ar"/>
              </w:rPr>
              <w:t xml:space="preserve"> ($\sim 33\times$ faster)</w:t>
            </w:r>
          </w:p>
        </w:tc>
      </w:tr>
    </w:tbl>
    <w:p w14:paraId="08C838AD">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3.3 Defense-in-Depth Ablation Study (RQ2)</w:t>
      </w:r>
    </w:p>
    <w:p w14:paraId="19C027AB">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We evaluate individual governance layers by selectively disabling components across 750 malicious scenarios: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9"/>
        <w:gridCol w:w="1470"/>
        <w:gridCol w:w="1030"/>
        <w:gridCol w:w="1321"/>
        <w:gridCol w:w="1645"/>
        <w:gridCol w:w="1586"/>
      </w:tblGrid>
      <w:tr w14:paraId="00210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27C368">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System Configuration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36E9F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Uncertainty U(t)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9ED54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Policy Engine (OPA)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B7036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Capability Engine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2DF04D8">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Unauthorized Exec Rate (UER)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C02A06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Defense-in-Depth Role</w:t>
            </w:r>
          </w:p>
        </w:tc>
      </w:tr>
      <w:tr w14:paraId="441B6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E333CE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Full Rhizoh Engine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C5551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949465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98E45F">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10DB9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DE542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Full System Enforcement</w:t>
            </w:r>
          </w:p>
        </w:tc>
      </w:tr>
      <w:tr w14:paraId="64EA9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02ECAF">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w/o Uncertainty Engine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EE9ED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OFF</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FE9514F">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5E18E7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F5F61F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$33.33\%$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545FBA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Context Poisoning &amp; Stale Leaks</w:t>
            </w:r>
          </w:p>
        </w:tc>
      </w:tr>
      <w:tr w14:paraId="5F919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2D16013">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w/o Policy Engine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64CA7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1948AD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OFF</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F62523">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F42D9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619B3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Bound by Capability Tokens &amp; $U(t)$</w:t>
            </w:r>
          </w:p>
        </w:tc>
      </w:tr>
      <w:tr w14:paraId="2C93E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C95E688">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w/o Capability Engine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9C100B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BB7F47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A05336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OFF</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5EC37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AA162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Bound by OPA Policies &amp; $U(t)$</w:t>
            </w:r>
          </w:p>
        </w:tc>
      </w:tr>
      <w:tr w14:paraId="6384D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7587B6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Baseline (No Governance)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41E07E">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OFF</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0D7578">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OFF</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F3BCB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OFF</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03FE3C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$100.00\%$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56C61E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Unchecked Execution Dispatch</w:t>
            </w:r>
          </w:p>
        </w:tc>
      </w:tr>
    </w:tbl>
    <w:p w14:paraId="0EA87CF0">
      <w:pPr>
        <w:pStyle w:val="10"/>
        <w:keepNext w:val="0"/>
        <w:keepLines w:val="0"/>
        <w:widowControl/>
        <w:suppressLineNumbers w:val="0"/>
        <w:spacing w:before="0" w:beforeAutospacing="0" w:line="15" w:lineRule="atLeast"/>
        <w:ind w:left="720" w:right="720"/>
        <w:rPr>
          <w:rFonts w:hint="eastAsia" w:ascii="Microsoft YaHei" w:hAnsi="Microsoft YaHei" w:eastAsia="Microsoft YaHei" w:cs="Microsoft YaHei"/>
        </w:rPr>
      </w:pPr>
      <w:r>
        <w:rPr>
          <w:rFonts w:hint="eastAsia" w:ascii="Microsoft YaHei" w:hAnsi="Microsoft YaHei" w:eastAsia="Microsoft YaHei" w:cs="Microsoft YaHei"/>
          <w:b/>
          <w:bCs/>
          <w:sz w:val="24"/>
          <w:szCs w:val="24"/>
        </w:rPr>
        <w:t>Defense-in-Depth Note:</w:t>
      </w:r>
      <w:r>
        <w:rPr>
          <w:rFonts w:hint="eastAsia" w:ascii="Microsoft YaHei" w:hAnsi="Microsoft YaHei" w:eastAsia="Microsoft YaHei" w:cs="Microsoft YaHei"/>
          <w:sz w:val="24"/>
          <w:szCs w:val="24"/>
        </w:rPr>
        <w:t xml:space="preserve"> In our tri-factor governance matrix, $U(t)$, OPA, and Capability Tokens act as complementary boundaries. Disabling OPA or Capability modules independently yields $0.00\%$ UER in this specific benchmark because remaining active layers independently intersect the privilege boundary. Disabling all governance layers yields a $100.00\%$ leak rate.</w:t>
      </w:r>
    </w:p>
    <w:p w14:paraId="6AA062FF">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3.4 Workload Scalability &amp; OLS Regression Analysis</w:t>
      </w:r>
    </w:p>
    <w:p w14:paraId="31644F6C">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We benchmarked $N=1,000$ warm-up primed iterations per configuration while scaling required evidence nodes ($\vert{}V\vert{} \in [10, 1000]$) and policy rules ($R \in [5, 500]$):</w:t>
      </w:r>
    </w:p>
    <w:p w14:paraId="54CB7BE4">
      <w:pPr>
        <w:pStyle w:val="5"/>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OLS Regression Parameter Breakdown Table ($N = 1,000$ Primed Iterations)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3"/>
        <w:gridCol w:w="1051"/>
        <w:gridCol w:w="2144"/>
        <w:gridCol w:w="1728"/>
        <w:gridCol w:w="841"/>
        <w:gridCol w:w="1574"/>
      </w:tblGrid>
      <w:tr w14:paraId="4168D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E9C6D3">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Parameter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A9672F">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Notation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835251">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Estimate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00F1B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95% Confidence Interval</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2AB88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p-value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90EB91">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Style w:val="11"/>
                <w:rFonts w:hint="eastAsia" w:ascii="Microsoft YaHei" w:hAnsi="Microsoft YaHei" w:eastAsia="Microsoft YaHei" w:cs="Microsoft YaHei"/>
                <w:kern w:val="0"/>
                <w:sz w:val="24"/>
                <w:szCs w:val="24"/>
                <w:bdr w:val="none" w:color="auto" w:sz="0" w:space="0"/>
                <w:lang w:val="en-US" w:eastAsia="zh-CN" w:bidi="ar"/>
              </w:rPr>
              <w:t>Interpretation</w:t>
            </w:r>
          </w:p>
        </w:tc>
      </w:tr>
      <w:tr w14:paraId="4016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13DB8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Intercept (Base Overhead)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1B143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$\beta_0$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FDC08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$0.007829\text{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DA6A87C">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$[0.005900 - 0.009759]\text{ ms}$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CFFBFEB">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$p &lt; 0.001$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70B350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Statistically significant base runtime ($7.8\mu\text{s}$)</w:t>
            </w:r>
          </w:p>
        </w:tc>
      </w:tr>
      <w:tr w14:paraId="23C51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47C99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Slope (Scaling Factor)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AA8548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$\beta_1$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404EB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$-0.00000133\text{ ms/unit}$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AECD7BD">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$[-0.00000389 - 0.00000123]$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A8EECB9">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$p &gt; 0.05$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DA1D77F">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Fail to reject null hypothesis</w:t>
            </w:r>
          </w:p>
        </w:tc>
      </w:tr>
      <w:tr w14:paraId="5B85A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4EB782A">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b/>
                <w:bCs/>
                <w:kern w:val="0"/>
                <w:sz w:val="24"/>
                <w:szCs w:val="24"/>
                <w:bdr w:val="none" w:color="auto" w:sz="0" w:space="0"/>
                <w:lang w:val="en-US" w:eastAsia="zh-CN" w:bidi="ar"/>
              </w:rPr>
              <w:t>Determination Coefficient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91BE95">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$R^2$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E5F5B7">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$0.2568$</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66F874">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N/A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EFE9463">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N/A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2222EE6">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bdr w:val="none" w:color="auto" w:sz="0" w:space="0"/>
                <w:lang w:val="en-US" w:eastAsia="zh-CN" w:bidi="ar"/>
              </w:rPr>
              <w:t>Platform timing noise dominates variance</w:t>
            </w:r>
          </w:p>
        </w:tc>
      </w:tr>
    </w:tbl>
    <w:p w14:paraId="464E7DDF">
      <w:pPr>
        <w:pStyle w:val="10"/>
        <w:keepNext w:val="0"/>
        <w:keepLines w:val="0"/>
        <w:widowControl/>
        <w:suppressLineNumbers w:val="0"/>
        <w:spacing w:before="0" w:beforeAutospacing="0" w:line="15" w:lineRule="atLeast"/>
        <w:ind w:left="720" w:right="720"/>
        <w:rPr>
          <w:rFonts w:hint="eastAsia" w:ascii="Microsoft YaHei" w:hAnsi="Microsoft YaHei" w:eastAsia="Microsoft YaHei" w:cs="Microsoft YaHei"/>
        </w:rPr>
      </w:pPr>
      <w:r>
        <w:rPr>
          <w:rFonts w:hint="eastAsia" w:ascii="Microsoft YaHei" w:hAnsi="Microsoft YaHei" w:eastAsia="Microsoft YaHei" w:cs="Microsoft YaHei"/>
          <w:b/>
          <w:bCs/>
          <w:sz w:val="24"/>
          <w:szCs w:val="24"/>
        </w:rPr>
        <w:t>Formal Regression Interpretation:</w:t>
      </w:r>
      <w:r>
        <w:rPr>
          <w:rFonts w:hint="eastAsia" w:ascii="Microsoft YaHei" w:hAnsi="Microsoft YaHei" w:eastAsia="Microsoft YaHei" w:cs="Microsoft YaHei"/>
          <w:sz w:val="24"/>
          <w:szCs w:val="24"/>
        </w:rPr>
        <w:t xml:space="preserve"> The OLS regression model was used to assess observable workload dependence rather than predictive accuracy. The estimated slope ($\beta_1 = -0.00000133\text{ ms/unit}$) yielded $p &gt; 0.05$. We did not observe statistically significant evidence of workload-dependent latency growth within the evaluated range. The empirical results remain tightly bounded within sub-millisecond bounds ($5.4\mu\text{s} - 8.6\mu\text{s}$) and are consistent with the proposed linear complexity model $\mathcal{O}(\vert{}V_{\text{req}}\vert{} + R \cdot D + K)$, with platform-level timing noise dominating observable variance.</w:t>
      </w:r>
    </w:p>
    <w:p w14:paraId="4896D8BD">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3.5 Empirical Verification of Theorem 1 (Zero-Mutation)</w:t>
      </w:r>
    </w:p>
    <w:p w14:paraId="07863324">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 xml:space="preserve">We verified </w:t>
      </w:r>
      <w:r>
        <w:rPr>
          <w:rFonts w:hint="eastAsia" w:ascii="Microsoft YaHei" w:hAnsi="Microsoft YaHei" w:eastAsia="Microsoft YaHei" w:cs="Microsoft YaHei"/>
          <w:b/>
          <w:bCs/>
        </w:rPr>
        <w:t>Theorem 1 ($\text{Reject} \implies S' = S_t$)</w:t>
      </w:r>
      <w:r>
        <w:rPr>
          <w:rFonts w:hint="eastAsia" w:ascii="Microsoft YaHei" w:hAnsi="Microsoft YaHei" w:eastAsia="Microsoft YaHei" w:cs="Microsoft YaHei"/>
        </w:rPr>
        <w:t xml:space="preserve"> across $N = 500$ rejected scenarios by validating pre- and post-governance system state hashes:</w:t>
      </w:r>
    </w:p>
    <w:p w14:paraId="2D7785D0">
      <w:pPr>
        <w:keepNext w:val="0"/>
        <w:keepLines w:val="0"/>
        <w:widowControl/>
        <w:suppressLineNumbers w:val="0"/>
        <w:spacing w:before="0" w:beforeAutospacing="0" w:line="15" w:lineRule="atLeast"/>
        <w:jc w:val="left"/>
        <w:rPr>
          <w:rFonts w:hint="eastAsia" w:ascii="Microsoft YaHei" w:hAnsi="Microsoft YaHei" w:eastAsia="Microsoft YaHei" w:cs="Microsoft YaHei"/>
        </w:rPr>
      </w:pPr>
      <w:r>
        <w:rPr>
          <w:rFonts w:hint="eastAsia" w:ascii="Microsoft YaHei" w:hAnsi="Microsoft YaHei" w:eastAsia="Microsoft YaHei" w:cs="Microsoft YaHei"/>
          <w:kern w:val="0"/>
          <w:sz w:val="24"/>
          <w:szCs w:val="24"/>
          <w:lang w:val="en-US" w:eastAsia="zh-CN" w:bidi="ar"/>
        </w:rPr>
        <w:t>$$\forall i \in \{1 \dots 500\}, \quad \text{SHA256}(S_{\text{initial}}) == \text{SHA256}(S_{\text{post-governance}}) \implies \text{Violations} = 0$$</w:t>
      </w:r>
    </w:p>
    <w:p w14:paraId="477B8E54">
      <w:pPr>
        <w:keepNext w:val="0"/>
        <w:keepLines w:val="0"/>
        <w:widowControl/>
        <w:numPr>
          <w:ilvl w:val="0"/>
          <w:numId w:val="8"/>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6E925FF">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Tested Rejection Scenarios:</w:t>
      </w:r>
      <w:r>
        <w:rPr>
          <w:rFonts w:hint="eastAsia" w:ascii="Microsoft YaHei" w:hAnsi="Microsoft YaHei" w:eastAsia="Microsoft YaHei" w:cs="Microsoft YaHei"/>
        </w:rPr>
        <w:t xml:space="preserve"> $N = 500$</w:t>
      </w:r>
    </w:p>
    <w:p w14:paraId="2A8E07BE">
      <w:pPr>
        <w:keepNext w:val="0"/>
        <w:keepLines w:val="0"/>
        <w:widowControl/>
        <w:numPr>
          <w:ilvl w:val="0"/>
          <w:numId w:val="8"/>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107C6873">
      <w:pPr>
        <w:keepNext w:val="0"/>
        <w:keepLines w:val="0"/>
        <w:widowControl/>
        <w:numPr>
          <w:ilvl w:val="0"/>
          <w:numId w:val="8"/>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0B76513B">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State Mutation Violations:</w:t>
      </w:r>
      <w:r>
        <w:rPr>
          <w:rFonts w:hint="eastAsia" w:ascii="Microsoft YaHei" w:hAnsi="Microsoft YaHei" w:eastAsia="Microsoft YaHei" w:cs="Microsoft YaHei"/>
        </w:rPr>
        <w:t xml:space="preserve"> </w:t>
      </w:r>
      <w:r>
        <w:rPr>
          <w:rFonts w:hint="eastAsia" w:ascii="Microsoft YaHei" w:hAnsi="Microsoft YaHei" w:eastAsia="Microsoft YaHei" w:cs="Microsoft YaHei"/>
          <w:b/>
          <w:bCs/>
        </w:rPr>
        <w:t>$0$</w:t>
      </w:r>
    </w:p>
    <w:p w14:paraId="0DF1488A">
      <w:pPr>
        <w:keepNext w:val="0"/>
        <w:keepLines w:val="0"/>
        <w:widowControl/>
        <w:numPr>
          <w:ilvl w:val="0"/>
          <w:numId w:val="8"/>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165EF195">
      <w:pPr>
        <w:keepNext w:val="0"/>
        <w:keepLines w:val="0"/>
        <w:widowControl/>
        <w:numPr>
          <w:ilvl w:val="0"/>
          <w:numId w:val="8"/>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1D5BE269">
      <w:pPr>
        <w:pStyle w:val="10"/>
        <w:keepNext w:val="0"/>
        <w:keepLines w:val="0"/>
        <w:widowControl/>
        <w:suppressLineNumbers w:val="0"/>
        <w:spacing w:before="0" w:beforeAutospacing="0" w:line="15" w:lineRule="atLeast"/>
        <w:ind w:left="720"/>
        <w:rPr>
          <w:rFonts w:hint="eastAsia" w:ascii="Microsoft YaHei" w:hAnsi="Microsoft YaHei" w:eastAsia="Microsoft YaHei" w:cs="Microsoft YaHei"/>
        </w:rPr>
      </w:pPr>
      <w:r>
        <w:rPr>
          <w:rFonts w:hint="eastAsia" w:ascii="Microsoft YaHei" w:hAnsi="Microsoft YaHei" w:eastAsia="Microsoft YaHei" w:cs="Microsoft YaHei"/>
          <w:b/>
          <w:bCs/>
        </w:rPr>
        <w:t>Status:</w:t>
      </w:r>
      <w:r>
        <w:rPr>
          <w:rFonts w:hint="eastAsia" w:ascii="Microsoft YaHei" w:hAnsi="Microsoft YaHei" w:eastAsia="Microsoft YaHei" w:cs="Microsoft YaHei"/>
        </w:rPr>
        <w:t xml:space="preserve"> </w:t>
      </w:r>
      <w:r>
        <w:rPr>
          <w:rFonts w:hint="eastAsia" w:ascii="Microsoft YaHei" w:hAnsi="Microsoft YaHei" w:eastAsia="Microsoft YaHei" w:cs="Microsoft YaHei"/>
          <w:b/>
          <w:bCs/>
        </w:rPr>
        <w:t>Verified strictly within the evaluated benchmark scenarios</w:t>
      </w:r>
      <w:r>
        <w:rPr>
          <w:rFonts w:hint="eastAsia" w:ascii="Microsoft YaHei" w:hAnsi="Microsoft YaHei" w:eastAsia="Microsoft YaHei" w:cs="Microsoft YaHei"/>
        </w:rPr>
        <w:t xml:space="preserve"> (Mathematical guarantee established in Paper 1 Theorem 1).</w:t>
      </w:r>
    </w:p>
    <w:p w14:paraId="5FADB417">
      <w:pPr>
        <w:keepNext w:val="0"/>
        <w:keepLines w:val="0"/>
        <w:widowControl/>
        <w:numPr>
          <w:ilvl w:val="0"/>
          <w:numId w:val="8"/>
        </w:numPr>
        <w:suppressLineNumbers w:val="0"/>
        <w:spacing w:before="0" w:beforeAutospacing="0" w:after="0" w:afterAutospacing="1" w:line="15" w:lineRule="atLeast"/>
        <w:ind w:left="1440" w:hanging="360"/>
        <w:rPr>
          <w:rFonts w:hint="eastAsia" w:ascii="Microsoft YaHei" w:hAnsi="Microsoft YaHei" w:eastAsia="Microsoft YaHei" w:cs="Microsoft YaHei"/>
        </w:rPr>
      </w:pPr>
    </w:p>
    <w:p w14:paraId="311C3411">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4. Threats to Validity</w:t>
      </w:r>
    </w:p>
    <w:p w14:paraId="4AE471B6">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4.1 Internal Validity</w:t>
      </w:r>
    </w:p>
    <w:p w14:paraId="3A38F138">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All latency measurements were benchmarked within a single-threaded Python 3.13 isolated process. In multi-threaded production runtimes, inter-process communication (IPC) overhead or WASM container cold-start instantiation times may introduce additional overhead beyond $T_{\text{Governance Runtime}} \approx 0.008\text{ ms}$.</w:t>
      </w:r>
    </w:p>
    <w:p w14:paraId="43F22ECE">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4.2 External Validity</w:t>
      </w:r>
    </w:p>
    <w:p w14:paraId="67E739D4">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The reported unit metrics ($100.00\%$ Precision/Recall) are evaluated against the Controlled Reference Policy Dataset. While synthetic rules allow deterministic unit validation of governance state transitions ($G(I,S) \implies S'$), real-world non-deterministic LLM prompts contain semantic noise. Schema adapters for AgentDojo and CyberSecEval were integrated to validate structural schema compatibility.</w:t>
      </w:r>
    </w:p>
    <w:p w14:paraId="6754B955">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4.3 Construct Validity</w:t>
      </w:r>
    </w:p>
    <w:p w14:paraId="7893754C">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Our evaluation prioritizes Unauthorized Execution Rate (UER), False Positive Pause Rate (FPPR), and P95 overhead latency as core performance constructs. Industrial deployments with custom compliance constraints may require additional metrics, such as GPU context switching times.</w:t>
      </w:r>
    </w:p>
    <w:p w14:paraId="09EE9DF9">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4.4 Reproducibility</w:t>
      </w:r>
    </w:p>
    <w:p w14:paraId="5159A0C4">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To ensure scientific reproducibility, the complete reference implementation (</w:t>
      </w:r>
      <w:r>
        <w:rPr>
          <w:rStyle w:val="8"/>
          <w:rFonts w:hint="eastAsia" w:ascii="Microsoft YaHei" w:hAnsi="Microsoft YaHei" w:eastAsia="Microsoft YaHei" w:cs="Microsoft YaHei"/>
        </w:rPr>
        <w:t>rhizoh-runtime v0.1</w:t>
      </w:r>
      <w:r>
        <w:rPr>
          <w:rFonts w:hint="eastAsia" w:ascii="Microsoft YaHei" w:hAnsi="Microsoft YaHei" w:eastAsia="Microsoft YaHei" w:cs="Microsoft YaHei"/>
        </w:rPr>
        <w:t>), dataset generator (</w:t>
      </w:r>
      <w:r>
        <w:rPr>
          <w:rStyle w:val="8"/>
          <w:rFonts w:hint="eastAsia" w:ascii="Microsoft YaHei" w:hAnsi="Microsoft YaHei" w:eastAsia="Microsoft YaHei" w:cs="Microsoft YaHei"/>
        </w:rPr>
        <w:t>generate_egb_dataset.py</w:t>
      </w:r>
      <w:r>
        <w:rPr>
          <w:rFonts w:hint="eastAsia" w:ascii="Microsoft YaHei" w:hAnsi="Microsoft YaHei" w:eastAsia="Microsoft YaHei" w:cs="Microsoft YaHei"/>
        </w:rPr>
        <w:t>), and pure-Python evaluation suite (</w:t>
      </w:r>
      <w:r>
        <w:rPr>
          <w:rStyle w:val="8"/>
          <w:rFonts w:hint="eastAsia" w:ascii="Microsoft YaHei" w:hAnsi="Microsoft YaHei" w:eastAsia="Microsoft YaHei" w:cs="Microsoft YaHei"/>
        </w:rPr>
        <w:t>run_paper2_experiment.py</w:t>
      </w:r>
      <w:r>
        <w:rPr>
          <w:rFonts w:hint="eastAsia" w:ascii="Microsoft YaHei" w:hAnsi="Microsoft YaHei" w:eastAsia="Microsoft YaHei" w:cs="Microsoft YaHei"/>
        </w:rPr>
        <w:t>) are made open-source without external library dependencies.</w:t>
      </w:r>
    </w:p>
    <w:p w14:paraId="79578C27">
      <w:pPr>
        <w:pStyle w:val="4"/>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4.5 Statistical Validity</w:t>
      </w:r>
    </w:p>
    <w:p w14:paraId="035A81EC">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Although zero unauthorized executions were observed in the controlled reference evaluation, the reported Clopper-Pearson 95% confidence interval ($[0.00\% - 0.40\%]$) reflects the statistical uncertainty inherent in finite sample evaluation ($N = 1,000$). Evaluating larger real-world agent execution traces will further tighten this upper bound.</w:t>
      </w:r>
    </w:p>
    <w:p w14:paraId="1ECA90B5">
      <w:pPr>
        <w:pStyle w:val="3"/>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5. Conclusion</w:t>
      </w:r>
    </w:p>
    <w:p w14:paraId="3F988BBC">
      <w:pPr>
        <w:pStyle w:val="10"/>
        <w:keepNext w:val="0"/>
        <w:keepLines w:val="0"/>
        <w:widowControl/>
        <w:suppressLineNumbers w:val="0"/>
        <w:spacing w:before="0" w:beforeAutospacing="0" w:line="15" w:lineRule="atLeast"/>
        <w:rPr>
          <w:rFonts w:hint="eastAsia" w:ascii="Microsoft YaHei" w:hAnsi="Microsoft YaHei" w:eastAsia="Microsoft YaHei" w:cs="Microsoft YaHei"/>
        </w:rPr>
      </w:pPr>
      <w:r>
        <w:rPr>
          <w:rFonts w:hint="eastAsia" w:ascii="Microsoft YaHei" w:hAnsi="Microsoft YaHei" w:eastAsia="Microsoft YaHei" w:cs="Microsoft YaHei"/>
        </w:rPr>
        <w:t>Paper 2 empirically validates Rhizoh Engine. By demonstrating microsecond-scale runtime overhead ($P_{95} \le 0.15\text{ ms}$), $p &gt; 0.05$ stability across scaling workloads, and empirical proof of zero-mutation state preservation, Rhizoh demonstrates that formal epistemic governance can be efficiently integrated into LLM agent execution runtimes.</w:t>
      </w:r>
    </w:p>
    <w:p w14:paraId="1B004347">
      <w:pPr>
        <w:pStyle w:val="5"/>
        <w:bidi w:val="0"/>
        <w:rPr>
          <w:rFonts w:hint="eastAsia" w:ascii="Microsoft YaHei" w:hAnsi="Microsoft YaHei" w:eastAsia="Microsoft YaHei" w:cs="Microsoft YaHei"/>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C99FC7"/>
    <w:multiLevelType w:val="multilevel"/>
    <w:tmpl w:val="AAC99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446A38A"/>
    <w:multiLevelType w:val="multilevel"/>
    <w:tmpl w:val="C446A3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EC267104"/>
    <w:multiLevelType w:val="multilevel"/>
    <w:tmpl w:val="EC2671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AC68347"/>
    <w:multiLevelType w:val="multilevel"/>
    <w:tmpl w:val="FAC68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16BFAF3"/>
    <w:multiLevelType w:val="multilevel"/>
    <w:tmpl w:val="016BFA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64F2401"/>
    <w:multiLevelType w:val="multilevel"/>
    <w:tmpl w:val="164F24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CA2695B"/>
    <w:multiLevelType w:val="multilevel"/>
    <w:tmpl w:val="2CA269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E70E7A2"/>
    <w:multiLevelType w:val="multilevel"/>
    <w:tmpl w:val="2E70E7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6"/>
  </w:num>
  <w:num w:numId="3">
    <w:abstractNumId w:val="3"/>
  </w:num>
  <w:num w:numId="4">
    <w:abstractNumId w:val="5"/>
  </w:num>
  <w:num w:numId="5">
    <w:abstractNumId w:val="2"/>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9F7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2026-07-23T18:00:25Z</dcterms:created>
  <dc:creator>LENOVO</dc:creator>
  <cp:lastModifiedBy>Can Kasaplar</cp:lastModifiedBy>
  <dcterms:modified xsi:type="dcterms:W3CDTF">2026-07-23T18:01:48Z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eyJoZGlkIjoiODJmNDI2ZTM5MzYyZjE5NjQwZmQ3YTU2NWE5ZWQwN2UiLCJ1c2VySWQiOiI4ODEzNzE1MTczNTEwIn0=</vt:lpwstr>
  </property>
  <property fmtid="{D5CDD505-2E9C-101B-9397-08002B2CF9AE}" pid="4" name="ICV">
    <vt:lpwstr>6F2B3D1F98AB45598AF2D20199F71A38_12</vt:lpwstr>
  </property>
</Properties>
</file>