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Narrative Feature Annotation — Summary by class and level</w:t>
      </w:r>
    </w:p>
    <w:p>
      <w:r>
        <w:rPr>
          <w:i/>
          <w:color w:val="555555"/>
          <w:sz w:val="16"/>
        </w:rPr>
        <w:t>Feature groups by class (rows) and level of abstraction (columns). Numbers in parentheses = count of variables (each scalar/flag = 1; each vector = its dimensionality). Low-level = raw physical/perceptual signal; mid-level = perceptual organization; high-level = semantic/conceptual.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c>
          <w:tcPr>
            <w:tcW w:type="dxa" w:w="1584"/>
            <w:shd w:val="clear" w:fill="334155"/>
          </w:tcPr>
          <w:p>
            <w:pPr>
              <w:jc w:val="center"/>
            </w:pPr>
            <w:r>
              <w:rPr>
                <w:b/>
                <w:color w:val="FFFFFF"/>
              </w:rPr>
              <w:t>Feature class</w:t>
            </w:r>
          </w:p>
        </w:tc>
        <w:tc>
          <w:tcPr>
            <w:tcW w:type="dxa" w:w="4248"/>
            <w:shd w:val="clear" w:fill="334155"/>
          </w:tcPr>
          <w:p>
            <w:pPr>
              <w:jc w:val="center"/>
            </w:pPr>
            <w:r>
              <w:rPr>
                <w:b/>
                <w:color w:val="FFFFFF"/>
              </w:rPr>
              <w:t>Low-level</w:t>
            </w:r>
          </w:p>
        </w:tc>
        <w:tc>
          <w:tcPr>
            <w:tcW w:type="dxa" w:w="4248"/>
            <w:shd w:val="clear" w:fill="334155"/>
          </w:tcPr>
          <w:p>
            <w:pPr>
              <w:jc w:val="center"/>
            </w:pPr>
            <w:r>
              <w:rPr>
                <w:b/>
                <w:color w:val="FFFFFF"/>
              </w:rPr>
              <w:t>Mid-level</w:t>
            </w:r>
          </w:p>
        </w:tc>
        <w:tc>
          <w:tcPr>
            <w:tcW w:type="dxa" w:w="4248"/>
            <w:shd w:val="clear" w:fill="334155"/>
          </w:tcPr>
          <w:p>
            <w:pPr>
              <w:jc w:val="center"/>
            </w:pPr>
            <w:r>
              <w:rPr>
                <w:b/>
                <w:color w:val="FFFFFF"/>
              </w:rPr>
              <w:t>High-level</w:t>
            </w:r>
          </w:p>
        </w:tc>
      </w:tr>
      <w:tr>
        <w:tc>
          <w:tcPr>
            <w:tcW w:type="dxa" w:w="1584"/>
            <w:shd w:val="clear" w:fill="6366F1"/>
          </w:tcPr>
          <w:p>
            <w:r>
              <w:rPr>
                <w:b/>
                <w:color w:val="FFFFFF"/>
              </w:rPr>
              <w:t>Visual</w:t>
            </w:r>
          </w:p>
        </w:tc>
        <w:tc>
          <w:tcPr>
            <w:tcW w:type="dxa" w:w="4248"/>
          </w:tcPr>
          <w:p>
            <w:r>
              <w:t>image statistics (12); optical-flow motion (3); shot cuts (2)</w:t>
            </w:r>
          </w:p>
        </w:tc>
        <w:tc>
          <w:tcPr>
            <w:tcW w:type="dxa" w:w="4248"/>
          </w:tcPr>
          <w:p>
            <w:r>
              <w:t>saliency &amp; depth (8); faces &amp; bodies (7)</w:t>
            </w:r>
          </w:p>
        </w:tc>
        <w:tc>
          <w:tcPr>
            <w:tcW w:type="dxa" w:w="4248"/>
          </w:tcPr>
          <w:p>
            <w:r>
              <w:t>SigLIP semantics — embedding + scene probes (784); DINOv2 embedding (384); action recognition (400)</w:t>
            </w:r>
          </w:p>
        </w:tc>
      </w:tr>
      <w:tr>
        <w:tc>
          <w:tcPr>
            <w:tcW w:type="dxa" w:w="1584"/>
            <w:shd w:val="clear" w:fill="06B6D4"/>
          </w:tcPr>
          <w:p>
            <w:r>
              <w:rPr>
                <w:b/>
                <w:color w:val="FFFFFF"/>
              </w:rPr>
              <w:t>Audio</w:t>
            </w:r>
          </w:p>
        </w:tc>
        <w:tc>
          <w:tcPr>
            <w:tcW w:type="dxa" w:w="4248"/>
          </w:tcPr>
          <w:p>
            <w:r>
              <w:t>acoustics — loudness / pitch / timbre / MFCC / chroma (34)</w:t>
            </w:r>
          </w:p>
        </w:tc>
        <w:tc>
          <w:tcPr>
            <w:tcW w:type="dxa" w:w="4248"/>
          </w:tcPr>
          <w:p>
            <w:r>
              <w:t>speech presence &amp; rate (2)</w:t>
            </w:r>
          </w:p>
        </w:tc>
        <w:tc>
          <w:tcPr>
            <w:tcW w:type="dxa" w:w="4248"/>
          </w:tcPr>
          <w:p>
            <w:r>
              <w:t>AudioSet sound tags (527); CLAP semantics — embedding + probes (524); vocal affect V/A/D (3)</w:t>
            </w:r>
          </w:p>
        </w:tc>
      </w:tr>
      <w:tr>
        <w:tc>
          <w:tcPr>
            <w:tcW w:type="dxa" w:w="1584"/>
            <w:shd w:val="clear" w:fill="F59E0B"/>
          </w:tcPr>
          <w:p>
            <w:r>
              <w:rPr>
                <w:b/>
                <w:color w:val="FFFFFF"/>
              </w:rPr>
              <w:t>Language</w:t>
            </w:r>
          </w:p>
        </w:tc>
        <w:tc>
          <w:tcPr>
            <w:tcW w:type="dxa" w:w="4248"/>
          </w:tcPr>
          <w:p>
            <w:r>
              <w:t>word frequency &amp; length (2)</w:t>
            </w:r>
          </w:p>
        </w:tc>
        <w:tc>
          <w:tcPr>
            <w:tcW w:type="dxa" w:w="4248"/>
          </w:tcPr>
          <w:p>
            <w:r>
              <w:t>lexical norms — valence / arousal / dominance, concreteness, AoA (5); syntactic complexity (5)</w:t>
            </w:r>
          </w:p>
        </w:tc>
        <w:tc>
          <w:tcPr>
            <w:tcW w:type="dxa" w:w="4248"/>
          </w:tcPr>
          <w:p>
            <w:r>
              <w:t>word surprisal &amp; next-word entropy (2)</w:t>
            </w:r>
          </w:p>
        </w:tc>
      </w:tr>
      <w:tr>
        <w:tc>
          <w:tcPr>
            <w:tcW w:type="dxa" w:w="1584"/>
            <w:shd w:val="clear" w:fill="EC4899"/>
          </w:tcPr>
          <w:p>
            <w:r>
              <w:rPr>
                <w:b/>
                <w:color w:val="FFFFFF"/>
              </w:rPr>
              <w:t>Social</w:t>
            </w:r>
          </w:p>
        </w:tc>
        <w:tc>
          <w:tcPr>
            <w:tcW w:type="dxa" w:w="4248"/>
          </w:tcPr>
          <w:p>
            <w:r>
              <w:t>—</w:t>
            </w:r>
          </w:p>
        </w:tc>
        <w:tc>
          <w:tcPr>
            <w:tcW w:type="dxa" w:w="4248"/>
          </w:tcPr>
          <w:p>
            <w:r>
              <w:t>agent count &amp; closest-pair distance (2)</w:t>
            </w:r>
          </w:p>
        </w:tc>
        <w:tc>
          <w:tcPr>
            <w:tcW w:type="dxa" w:w="4248"/>
          </w:tcPr>
          <w:p>
            <w:r>
              <w:t>interaction type &amp; social dominance (2)</w:t>
            </w:r>
          </w:p>
        </w:tc>
      </w:tr>
      <w:tr>
        <w:tc>
          <w:tcPr>
            <w:tcW w:type="dxa" w:w="1584"/>
            <w:shd w:val="clear" w:fill="10B981"/>
          </w:tcPr>
          <w:p>
            <w:r>
              <w:rPr>
                <w:b/>
                <w:color w:val="FFFFFF"/>
              </w:rPr>
              <w:t>Situation</w:t>
            </w:r>
          </w:p>
        </w:tc>
        <w:tc>
          <w:tcPr>
            <w:tcW w:type="dxa" w:w="4248"/>
          </w:tcPr>
          <w:p>
            <w:r>
              <w:t>—</w:t>
            </w:r>
          </w:p>
        </w:tc>
        <w:tc>
          <w:tcPr>
            <w:tcW w:type="dxa" w:w="4248"/>
          </w:tcPr>
          <w:p>
            <w:r>
              <w:t>—</w:t>
            </w:r>
          </w:p>
        </w:tc>
        <w:tc>
          <w:tcPr>
            <w:tcW w:type="dxa" w:w="4248"/>
          </w:tcPr>
          <w:p>
            <w:r>
              <w:t>scene description / setting / indoor–outdoor (3); event structure — boundaries &amp; event id (2)</w:t>
            </w:r>
          </w:p>
        </w:tc>
      </w:tr>
      <w:tr>
        <w:tc>
          <w:tcPr>
            <w:tcW w:type="dxa" w:w="1584"/>
            <w:shd w:val="clear" w:fill="EF4444"/>
          </w:tcPr>
          <w:p>
            <w:r>
              <w:rPr>
                <w:b/>
                <w:color w:val="FFFFFF"/>
              </w:rPr>
              <w:t>Affect</w:t>
            </w:r>
          </w:p>
        </w:tc>
        <w:tc>
          <w:tcPr>
            <w:tcW w:type="dxa" w:w="4248"/>
          </w:tcPr>
          <w:p>
            <w:r>
              <w:t>—</w:t>
            </w:r>
          </w:p>
        </w:tc>
        <w:tc>
          <w:tcPr>
            <w:tcW w:type="dxa" w:w="4248"/>
          </w:tcPr>
          <w:p>
            <w:r>
              <w:t>facial affect — 8 expressions + valence + arousal (10)</w:t>
            </w:r>
          </w:p>
        </w:tc>
        <w:tc>
          <w:tcPr>
            <w:tcW w:type="dxa" w:w="4248"/>
          </w:tcPr>
          <w:p>
            <w:r>
              <w:t>EmoNet image emotion (20); text emotion &amp; sentiment (32); VLM depicted emotion (3)</w:t>
            </w:r>
          </w:p>
        </w:tc>
      </w:tr>
    </w:tbl>
    <w:p>
      <w:r>
        <w:rPr>
          <w:i/>
          <w:color w:val="777777"/>
          <w:sz w:val="15"/>
        </w:rPr>
        <w:t>Totals: 6 classes, 25 feature groups, 2778 variables (dominated by the SigLIP/DINOv2/CLAP embeddings and the AudioSet/Kinetics taxonomies). Source: schema/channel_template.json.</w:t>
      </w:r>
    </w:p>
    <w:sectPr w:rsidR="00FC693F" w:rsidRPr="0006063C" w:rsidSect="0003461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