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4B43A" w14:textId="77777777" w:rsidR="00D41274" w:rsidRPr="0071275B" w:rsidRDefault="00D42D54" w:rsidP="00D60F41">
      <w:pPr>
        <w:pStyle w:val="IEEETitle"/>
        <w:ind w:left="851"/>
      </w:pPr>
      <w:r>
        <w:t>Secure and Seamless Payment for Wireless Mesh Networks</w:t>
      </w:r>
    </w:p>
    <w:p w14:paraId="5C32CC84" w14:textId="77777777"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14:paraId="23DCCDAE" w14:textId="77777777" w:rsidR="00D41274" w:rsidRPr="0071275B" w:rsidRDefault="00D42D54" w:rsidP="00D60F41">
      <w:pPr>
        <w:pStyle w:val="IEEEAuthorAffiliation"/>
        <w:ind w:left="851"/>
      </w:pPr>
      <w:r>
        <w:t>Sabanci University, Turkey</w:t>
      </w:r>
    </w:p>
    <w:p w14:paraId="68CB4B00" w14:textId="77777777" w:rsidR="002E07D5" w:rsidRDefault="002E07D5" w:rsidP="00D60F41">
      <w:pPr>
        <w:pStyle w:val="IEEEAuthorEmail"/>
        <w:ind w:left="851"/>
      </w:pPr>
      <w:r>
        <w:t>canleloglu@sabanciuniv.edu</w:t>
      </w:r>
    </w:p>
    <w:p w14:paraId="5A092114" w14:textId="77777777" w:rsidR="002E07D5" w:rsidRDefault="002E07D5" w:rsidP="00D60F41">
      <w:pPr>
        <w:pStyle w:val="IEEEAuthorEmail"/>
        <w:ind w:left="851"/>
      </w:pPr>
      <w:r>
        <w:t>canyucel@sabanciuniv.edu</w:t>
      </w:r>
    </w:p>
    <w:p w14:paraId="2B46F38E" w14:textId="77777777" w:rsidR="00D41274" w:rsidRDefault="00D42D54" w:rsidP="00D60F41">
      <w:pPr>
        <w:pStyle w:val="IEEEAuthorEmail"/>
        <w:ind w:left="851"/>
      </w:pPr>
      <w:r>
        <w:t>levi@sabanciuniv.edu</w:t>
      </w:r>
    </w:p>
    <w:p w14:paraId="5BFA48A7" w14:textId="77777777" w:rsidR="00D41274" w:rsidRDefault="00D41274" w:rsidP="00883903">
      <w:pPr>
        <w:ind w:right="-811"/>
      </w:pPr>
    </w:p>
    <w:p w14:paraId="2BC2261B"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523CA1D0" w14:textId="44C0A17E"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AF0DBF">
        <w:t xml:space="preserve">Wireless Mesh Network (WMN) is a multi-hop high-speed networking technology for broadband network access. Compared to conventional network service providing systems such as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41066A">
        <w:t>simulations;</w:t>
      </w:r>
      <w:r w:rsidR="00AF0DBF">
        <w:t xml:space="preserve"> system protocols reached steady state in every simulation, which ensures the stability of the system.</w:t>
      </w:r>
    </w:p>
    <w:p w14:paraId="7B1897C1" w14:textId="77777777" w:rsidR="00A32BFA" w:rsidRPr="00DF4D2A" w:rsidRDefault="00A32BFA" w:rsidP="00A32BFA">
      <w:pPr>
        <w:rPr>
          <w:sz w:val="20"/>
          <w:szCs w:val="20"/>
          <w:lang w:val="en-GB" w:eastAsia="en-GB"/>
        </w:rPr>
      </w:pPr>
    </w:p>
    <w:p w14:paraId="7982B63B"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695DDA9" w14:textId="77777777" w:rsidR="00AD335D" w:rsidRDefault="00AD335D" w:rsidP="00081EBE">
      <w:pPr>
        <w:pStyle w:val="IEEEHeading1"/>
      </w:pPr>
      <w:r>
        <w:t>Introduction</w:t>
      </w:r>
    </w:p>
    <w:p w14:paraId="5E656958" w14:textId="640D49E0" w:rsidR="007E320F" w:rsidRDefault="007E320F" w:rsidP="007E320F">
      <w:pPr>
        <w:pStyle w:val="IEEEParagraph"/>
      </w:pPr>
      <w:r>
        <w:t xml:space="preserve">Wireless Mesh Networks [1] offer broadband network access with high-speed network connection. WMNs are easy to deploy and cost effective compared to conventional Internet service providing infrastructures such as </w:t>
      </w:r>
      <w:r w:rsidR="009536AD">
        <w:t>high-powered</w:t>
      </w:r>
      <w: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9536AD">
        <w:rPr>
          <w:szCs w:val="20"/>
        </w:rPr>
        <w:t>3G-radio</w:t>
      </w:r>
      <w:r w:rsidR="001004E6">
        <w:rPr>
          <w:szCs w:val="20"/>
        </w:rPr>
        <w:t xml:space="preserve"> access [20]</w:t>
      </w:r>
      <w:r w:rsidR="00D72215" w:rsidRPr="00D72215">
        <w:rPr>
          <w:szCs w:val="20"/>
        </w:rPr>
        <w:t xml:space="preserve"> could also inter-connect with WMN structure</w:t>
      </w:r>
      <w:r w:rsidR="00D72215">
        <w:rPr>
          <w:sz w:val="24"/>
        </w:rPr>
        <w:t>.</w:t>
      </w:r>
    </w:p>
    <w:p w14:paraId="738743B6" w14:textId="77777777"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273D88CA" w14:textId="77777777"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14:paraId="7EB587F8" w14:textId="77777777"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14:paraId="152E2617" w14:textId="3ACDEE48"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EE29CE">
        <w:t xml:space="preserve"> The settlement of the operators and the money transfer is explained in Section 4.</w:t>
      </w:r>
      <w:r w:rsidR="003C538E">
        <w:t xml:space="preserve"> Simulation environment is explained in Section </w:t>
      </w:r>
      <w:r w:rsidR="00EE29CE">
        <w:t>5</w:t>
      </w:r>
      <w:r w:rsidR="003C538E">
        <w:t xml:space="preserve"> and u</w:t>
      </w:r>
      <w:r w:rsidR="00A72AFE">
        <w:t>nit test re</w:t>
      </w:r>
      <w:r w:rsidR="003C538E">
        <w:t xml:space="preserve">sults are presented in Section </w:t>
      </w:r>
      <w:r w:rsidR="00EE29CE">
        <w:t>6</w:t>
      </w:r>
      <w:r w:rsidR="00A72AFE">
        <w:t xml:space="preserve">. </w:t>
      </w:r>
      <w:r w:rsidR="00DF4D2A">
        <w:t xml:space="preserve">Discussion on system properties takes place in Section </w:t>
      </w:r>
      <w:r w:rsidR="00EE29CE">
        <w:t>7</w:t>
      </w:r>
      <w:r w:rsidR="00DF4D2A">
        <w:t xml:space="preserve">. </w:t>
      </w:r>
      <w:r w:rsidR="003D14B5">
        <w:t>Finally conc</w:t>
      </w:r>
      <w:r w:rsidR="003C538E">
        <w:t xml:space="preserve">lusion is </w:t>
      </w:r>
      <w:r w:rsidR="003F00D4">
        <w:t>given</w:t>
      </w:r>
      <w:r w:rsidR="00DF4D2A">
        <w:t xml:space="preserve"> in Section </w:t>
      </w:r>
      <w:r w:rsidR="00EE29CE">
        <w:t>8</w:t>
      </w:r>
      <w:r w:rsidR="00A72AFE">
        <w:t>.</w:t>
      </w:r>
    </w:p>
    <w:p w14:paraId="2677F089" w14:textId="77777777" w:rsidR="0041742D" w:rsidRDefault="00A25E7C" w:rsidP="0041742D">
      <w:pPr>
        <w:pStyle w:val="IEEEHeading1"/>
      </w:pPr>
      <w:r>
        <w:t>General Overview of Proposed Scheme and System Entities</w:t>
      </w:r>
    </w:p>
    <w:p w14:paraId="625389BD"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400F38EE" w14:textId="77777777" w:rsidR="00344CC4" w:rsidRDefault="00344CC4" w:rsidP="00310105">
      <w:pPr>
        <w:pStyle w:val="IEEETableCaption"/>
        <w:spacing w:before="0" w:after="0"/>
      </w:pPr>
    </w:p>
    <w:p w14:paraId="39D80CEC" w14:textId="77777777" w:rsidR="00A72AFE" w:rsidRDefault="00A25E7C" w:rsidP="00310105">
      <w:pPr>
        <w:pStyle w:val="IEEETableCaption"/>
        <w:spacing w:before="0" w:after="0"/>
        <w:rPr>
          <w:noProof/>
        </w:rPr>
      </w:pPr>
      <w:r>
        <w:t xml:space="preserve">TABLE </w:t>
      </w:r>
      <w:r w:rsidR="0066380B">
        <w:fldChar w:fldCharType="begin"/>
      </w:r>
      <w:r w:rsidR="009270F3">
        <w:instrText xml:space="preserve"> SEQ TABLE \* ROMAN </w:instrText>
      </w:r>
      <w:r w:rsidR="0066380B">
        <w:fldChar w:fldCharType="separate"/>
      </w:r>
      <w:r w:rsidR="00741EA2">
        <w:rPr>
          <w:noProof/>
        </w:rPr>
        <w:t>I</w:t>
      </w:r>
      <w:r w:rsidR="0066380B">
        <w:rPr>
          <w:noProof/>
        </w:rPr>
        <w:fldChar w:fldCharType="end"/>
      </w:r>
    </w:p>
    <w:p w14:paraId="30749DD7" w14:textId="77777777" w:rsidR="00A25E7C" w:rsidRDefault="00A72AFE" w:rsidP="00310105">
      <w:pPr>
        <w:pStyle w:val="IEEETableCaption"/>
        <w:spacing w:before="0" w:after="0"/>
      </w:pPr>
      <w:r>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A72AFE" w14:paraId="25BEE141" w14:textId="77777777" w:rsidTr="00BA2FB9">
        <w:trPr>
          <w:trHeight w:val="699"/>
        </w:trPr>
        <w:tc>
          <w:tcPr>
            <w:tcW w:w="2287" w:type="dxa"/>
            <w:shd w:val="clear" w:color="auto" w:fill="auto"/>
            <w:vAlign w:val="center"/>
          </w:tcPr>
          <w:p w14:paraId="04D80E5C" w14:textId="77777777" w:rsidR="00A72AFE" w:rsidRDefault="00A72AFE" w:rsidP="00A72AFE">
            <w:pPr>
              <w:pStyle w:val="IEEEParagraph"/>
              <w:ind w:firstLine="0"/>
              <w:jc w:val="center"/>
            </w:pPr>
            <w:r w:rsidRPr="0089274B">
              <w:rPr>
                <w:noProof/>
                <w:sz w:val="24"/>
                <w:lang w:val="en-US" w:eastAsia="en-US"/>
              </w:rPr>
              <w:drawing>
                <wp:inline distT="0" distB="0" distL="0" distR="0" wp14:anchorId="4FD739FA" wp14:editId="0ED7FB8C">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FAB9D4F" w14:textId="77777777"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14:paraId="3ADD20A7" w14:textId="77777777" w:rsidTr="00BA2FB9">
        <w:trPr>
          <w:trHeight w:val="847"/>
        </w:trPr>
        <w:tc>
          <w:tcPr>
            <w:tcW w:w="2287" w:type="dxa"/>
            <w:shd w:val="clear" w:color="auto" w:fill="auto"/>
            <w:vAlign w:val="center"/>
          </w:tcPr>
          <w:p w14:paraId="26D43057" w14:textId="77777777" w:rsidR="00A72AFE" w:rsidRDefault="00A72AFE" w:rsidP="00A72AFE">
            <w:pPr>
              <w:pStyle w:val="IEEEParagraph"/>
              <w:ind w:firstLine="0"/>
              <w:jc w:val="center"/>
            </w:pPr>
            <w:r w:rsidRPr="0089274B">
              <w:rPr>
                <w:noProof/>
                <w:lang w:val="en-US" w:eastAsia="en-US"/>
              </w:rPr>
              <w:drawing>
                <wp:inline distT="0" distB="0" distL="0" distR="0" wp14:anchorId="0ED9F5EA" wp14:editId="5ABBD37E">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54F3626" w14:textId="77777777" w:rsidR="00A72AFE" w:rsidRPr="009568F3" w:rsidRDefault="00A72AFE" w:rsidP="00A72AFE">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A72AFE" w14:paraId="48415B7E" w14:textId="77777777" w:rsidTr="00BA2FB9">
        <w:trPr>
          <w:trHeight w:val="1823"/>
        </w:trPr>
        <w:tc>
          <w:tcPr>
            <w:tcW w:w="2287" w:type="dxa"/>
            <w:shd w:val="clear" w:color="auto" w:fill="auto"/>
            <w:vAlign w:val="center"/>
          </w:tcPr>
          <w:p w14:paraId="503A8022"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72AD7F88" wp14:editId="050280CB">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6F526D8B" w14:textId="77777777" w:rsidR="00A72AFE" w:rsidRPr="009568F3" w:rsidRDefault="00A72AFE" w:rsidP="00A72AFE">
            <w:pPr>
              <w:pStyle w:val="IEEEParagraph"/>
              <w:ind w:firstLine="0"/>
              <w:jc w:val="center"/>
              <w:rPr>
                <w:sz w:val="16"/>
                <w:szCs w:val="16"/>
              </w:rPr>
            </w:pPr>
            <w:r w:rsidRPr="009568F3">
              <w:rPr>
                <w:sz w:val="16"/>
                <w:szCs w:val="16"/>
              </w:rPr>
              <w:t>Mesh backbone</w:t>
            </w:r>
          </w:p>
        </w:tc>
      </w:tr>
      <w:tr w:rsidR="00A72AFE" w14:paraId="0A4116D4" w14:textId="77777777" w:rsidTr="00A72AFE">
        <w:tc>
          <w:tcPr>
            <w:tcW w:w="2287" w:type="dxa"/>
            <w:shd w:val="clear" w:color="auto" w:fill="auto"/>
            <w:vAlign w:val="center"/>
          </w:tcPr>
          <w:p w14:paraId="0E5FBD21" w14:textId="77777777" w:rsidR="00A72AFE" w:rsidRDefault="00A72AFE" w:rsidP="00A72AFE">
            <w:pPr>
              <w:pStyle w:val="IEEEParagraph"/>
              <w:ind w:firstLine="0"/>
              <w:jc w:val="center"/>
            </w:pPr>
            <w:r w:rsidRPr="0089274B">
              <w:rPr>
                <w:noProof/>
                <w:lang w:val="en-US" w:eastAsia="en-US"/>
              </w:rPr>
              <w:drawing>
                <wp:inline distT="0" distB="0" distL="0" distR="0" wp14:anchorId="4C138CF0" wp14:editId="2512BEF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09E751FD"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A72AFE" w14:paraId="30A4C945" w14:textId="77777777" w:rsidTr="00BA2FB9">
        <w:trPr>
          <w:trHeight w:val="928"/>
        </w:trPr>
        <w:tc>
          <w:tcPr>
            <w:tcW w:w="2287" w:type="dxa"/>
            <w:shd w:val="clear" w:color="auto" w:fill="auto"/>
            <w:vAlign w:val="center"/>
          </w:tcPr>
          <w:p w14:paraId="7E15742A" w14:textId="77777777" w:rsidR="00A72AFE" w:rsidRDefault="00A72AFE" w:rsidP="00A72AFE">
            <w:pPr>
              <w:pStyle w:val="IEEEParagraph"/>
              <w:ind w:firstLine="0"/>
              <w:jc w:val="center"/>
            </w:pPr>
            <w:r w:rsidRPr="0089274B">
              <w:rPr>
                <w:noProof/>
                <w:lang w:val="en-US" w:eastAsia="en-US"/>
              </w:rPr>
              <w:drawing>
                <wp:inline distT="0" distB="0" distL="0" distR="0" wp14:anchorId="5B33B84E" wp14:editId="6A326E3C">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18167575" w14:textId="77777777"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14:paraId="20CD65C2" w14:textId="77777777" w:rsidTr="00BA2FB9">
        <w:trPr>
          <w:trHeight w:val="1268"/>
        </w:trPr>
        <w:tc>
          <w:tcPr>
            <w:tcW w:w="2287" w:type="dxa"/>
            <w:shd w:val="clear" w:color="auto" w:fill="auto"/>
            <w:vAlign w:val="center"/>
          </w:tcPr>
          <w:p w14:paraId="3CCA25A6"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2BBBF533" wp14:editId="64BA739A">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32131305"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02C58D23" w14:textId="77777777" w:rsidR="003D14B5" w:rsidRDefault="003D14B5" w:rsidP="009568F3">
      <w:pPr>
        <w:pStyle w:val="IEEEParagraph"/>
      </w:pPr>
    </w:p>
    <w:p w14:paraId="6FC41A08" w14:textId="77777777" w:rsidR="00314071" w:rsidRDefault="00314071" w:rsidP="009568F3">
      <w:pPr>
        <w:pStyle w:val="IEEEParagraph"/>
      </w:pPr>
      <w:r>
        <w:t>Figure 1 shows the topology of the network and connections between entities.</w:t>
      </w:r>
    </w:p>
    <w:p w14:paraId="51278617" w14:textId="77777777" w:rsidR="00314071" w:rsidRDefault="002C478E" w:rsidP="00314071">
      <w:pPr>
        <w:pStyle w:val="IEEEParagraph"/>
        <w:jc w:val="center"/>
      </w:pPr>
      <w:r>
        <w:rPr>
          <w:noProof/>
          <w:lang w:val="en-US" w:eastAsia="en-US"/>
        </w:rPr>
        <w:drawing>
          <wp:inline distT="0" distB="0" distL="0" distR="0" wp14:anchorId="5FF1BF1F" wp14:editId="583E02D8">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4500162" w14:textId="77777777" w:rsidR="00C0348C" w:rsidRPr="005916D9" w:rsidRDefault="005916D9" w:rsidP="005916D9">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741EA2">
        <w:rPr>
          <w:noProof/>
        </w:rPr>
        <w:t>1</w:t>
      </w:r>
      <w:r w:rsidR="0066380B">
        <w:fldChar w:fldCharType="end"/>
      </w:r>
      <w:r>
        <w:t>.</w:t>
      </w:r>
      <w:proofErr w:type="gramEnd"/>
      <w:r>
        <w:t xml:space="preserve"> Network Topology</w:t>
      </w:r>
    </w:p>
    <w:p w14:paraId="3C52156C"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40C9DC9"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14:paraId="630E01C8" w14:textId="77777777" w:rsidR="009568F3" w:rsidRDefault="009568F3" w:rsidP="00D93C4A">
      <w:pPr>
        <w:pStyle w:val="IEEEHeading2"/>
        <w:numPr>
          <w:ilvl w:val="0"/>
          <w:numId w:val="4"/>
        </w:numPr>
      </w:pPr>
      <w:r>
        <w:t>Connection Card Structure</w:t>
      </w:r>
    </w:p>
    <w:p w14:paraId="2B6746BA"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341104B8"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BEED4B3" w14:textId="77777777" w:rsidR="00314071" w:rsidRPr="00314071" w:rsidRDefault="00D5547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4627FF0" w14:textId="77777777" w:rsidR="00314071" w:rsidRPr="00314071" w:rsidRDefault="00D5547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31D2FAC5"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5EB3694" w14:textId="77777777" w:rsidR="00314071" w:rsidRDefault="00D5547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B998B88" w14:textId="77777777" w:rsidR="003C538E" w:rsidRPr="003C538E" w:rsidRDefault="00D5547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C8AA9FD" w14:textId="77777777" w:rsidR="001E634A" w:rsidRPr="00314071" w:rsidRDefault="00D5547D"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2EA810A0" w14:textId="77777777" w:rsidR="006D3737" w:rsidRDefault="006D3737" w:rsidP="006D3737">
      <w:pPr>
        <w:pStyle w:val="IEEEHeading2"/>
        <w:numPr>
          <w:ilvl w:val="0"/>
          <w:numId w:val="4"/>
        </w:numPr>
      </w:pPr>
      <w:r>
        <w:t>Alias Computation</w:t>
      </w:r>
    </w:p>
    <w:p w14:paraId="00928912"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0A11AD5"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0F8F2610"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01B3FA23" w14:textId="1388715E"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w:t>
      </w:r>
      <w:r w:rsidR="004217CD" w:rsidRPr="006D3737">
        <w:rPr>
          <w:rFonts w:ascii="Times New Roman" w:hAnsi="Times New Roman" w:cs="Helvetica"/>
          <w:sz w:val="20"/>
          <w:szCs w:val="20"/>
        </w:rPr>
        <w:t>nonce;</w:t>
      </w:r>
      <w:r w:rsidRPr="006D3737">
        <w:rPr>
          <w:rFonts w:ascii="Times New Roman" w:hAnsi="Times New Roman" w:cs="Helvetica"/>
          <w:sz w:val="20"/>
          <w:szCs w:val="20"/>
        </w:rPr>
        <w:t xml:space="preserve"> </w:t>
      </w:r>
      <w:r w:rsidR="004217CD">
        <w:rPr>
          <w:rFonts w:ascii="Times New Roman" w:hAnsi="Times New Roman" w:cs="Helvetica"/>
          <w:sz w:val="20"/>
          <w:szCs w:val="20"/>
        </w:rPr>
        <w:t>take the has</w:t>
      </w:r>
      <w:r w:rsidR="004217CD">
        <w:rPr>
          <w:rFonts w:ascii="Times New Roman" w:eastAsiaTheme="minorEastAsia" w:hAnsi="Times New Roman" w:cs="Helvetica"/>
          <w:sz w:val="20"/>
          <w:szCs w:val="20"/>
        </w:rPr>
        <w:t xml:space="preserve">h of the output. </w:t>
      </w:r>
      <m:oMath>
        <m:r>
          <w:rPr>
            <w:rFonts w:ascii="Cambria Math" w:hAnsi="Cambria Math" w:cs="Helvetica"/>
            <w:sz w:val="20"/>
            <w:szCs w:val="20"/>
          </w:rPr>
          <m:t xml:space="preserve">h (SN </m:t>
        </m:r>
        <m:nary>
          <m:naryPr>
            <m:chr m:val="⨁"/>
            <m:subHide m:val="1"/>
            <m:supHide m:val="1"/>
            <m:ctrlPr>
              <w:rPr>
                <w:rFonts w:ascii="Cambria Math" w:hAnsi="Cambria Math" w:cs="Helvetica"/>
                <w:i/>
                <w:sz w:val="20"/>
                <w:szCs w:val="20"/>
              </w:rPr>
            </m:ctrlPr>
          </m:naryPr>
          <m:sub/>
          <m:sup/>
          <m:e>
            <m:r>
              <w:rPr>
                <w:rFonts w:ascii="Cambria Math" w:hAnsi="Cambria Math" w:cs="Helvetica"/>
                <w:sz w:val="20"/>
                <w:szCs w:val="20"/>
              </w:rPr>
              <m:t>Nonce</m:t>
            </m:r>
          </m:e>
        </m:nary>
        <m:r>
          <w:rPr>
            <w:rFonts w:ascii="Cambria Math" w:hAnsi="Cambria Math" w:cs="Helvetica"/>
            <w:sz w:val="20"/>
            <w:szCs w:val="20"/>
          </w:rPr>
          <m:t>) =Alias</m:t>
        </m:r>
      </m:oMath>
    </w:p>
    <w:p w14:paraId="708FC307"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639CF7A" w14:textId="0B9EF347" w:rsidR="00A25E7C" w:rsidRDefault="006D3737" w:rsidP="006D3737">
      <w:pPr>
        <w:pStyle w:val="IEEEParagraph"/>
        <w:rPr>
          <w:rFonts w:cs="Helvetica"/>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w:t>
      </w:r>
      <w:r>
        <w:rPr>
          <w:rFonts w:cs="Helvetica"/>
          <w:szCs w:val="20"/>
        </w:rPr>
        <w:lastRenderedPageBreak/>
        <w:t>solves this problem</w:t>
      </w:r>
      <w:r w:rsidRPr="006D3737">
        <w:rPr>
          <w:rFonts w:cs="Helvetica"/>
          <w:szCs w:val="20"/>
        </w:rPr>
        <w:t>.</w:t>
      </w:r>
      <w:r w:rsidR="00543CA7">
        <w:rPr>
          <w:rFonts w:cs="Helvetica"/>
          <w:szCs w:val="20"/>
        </w:rPr>
        <w:t xml:space="preserve"> This check is done in Change Alias </w:t>
      </w:r>
      <w:r w:rsidR="0080361A">
        <w:rPr>
          <w:rFonts w:cs="Helvetica"/>
          <w:szCs w:val="20"/>
        </w:rPr>
        <w:t>protocol, which</w:t>
      </w:r>
      <w:r w:rsidR="00543CA7">
        <w:rPr>
          <w:rFonts w:cs="Helvetica"/>
          <w:szCs w:val="20"/>
        </w:rPr>
        <w:t xml:space="preserve"> will be mentioned in Section 3.</w:t>
      </w:r>
    </w:p>
    <w:p w14:paraId="10C5F21A" w14:textId="7BAD8928" w:rsidR="00344CC4" w:rsidRDefault="00344CC4" w:rsidP="00344CC4">
      <w:pPr>
        <w:pStyle w:val="IEEEHeading2"/>
        <w:numPr>
          <w:ilvl w:val="0"/>
          <w:numId w:val="4"/>
        </w:numPr>
      </w:pPr>
      <w:r>
        <w:t>Notations</w:t>
      </w:r>
    </w:p>
    <w:p w14:paraId="455226F6" w14:textId="3E37BD54" w:rsidR="00344CC4" w:rsidRDefault="00344CC4" w:rsidP="00344CC4">
      <w:pPr>
        <w:pStyle w:val="IEEEParagraph"/>
      </w:pPr>
      <w:r>
        <w:t xml:space="preserve">The symbols and operators used in this paper are listed </w:t>
      </w:r>
      <w:r w:rsidR="00EF5468">
        <w:t>in Table 2</w:t>
      </w:r>
      <w:r>
        <w:t>.</w:t>
      </w:r>
    </w:p>
    <w:p w14:paraId="71639A58" w14:textId="77777777" w:rsidR="00EF5468" w:rsidRDefault="00EF5468" w:rsidP="00EF5468">
      <w:pPr>
        <w:pStyle w:val="IEEETableCaption"/>
        <w:spacing w:before="0" w:after="0"/>
        <w:rPr>
          <w:noProof/>
        </w:rPr>
      </w:pPr>
      <w:r>
        <w:t xml:space="preserve">TABLE </w:t>
      </w:r>
      <w:r>
        <w:fldChar w:fldCharType="begin"/>
      </w:r>
      <w:r>
        <w:instrText xml:space="preserve"> SEQ TABLE \* ROMAN </w:instrText>
      </w:r>
      <w:r>
        <w:fldChar w:fldCharType="separate"/>
      </w:r>
      <w:r w:rsidR="00741EA2">
        <w:rPr>
          <w:noProof/>
        </w:rPr>
        <w:t>II</w:t>
      </w:r>
      <w:r>
        <w:rPr>
          <w:noProof/>
        </w:rPr>
        <w:fldChar w:fldCharType="end"/>
      </w:r>
    </w:p>
    <w:p w14:paraId="70D188E0" w14:textId="152526F8" w:rsidR="00EF5468" w:rsidRDefault="00EF5468" w:rsidP="00EF5468">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6665CB" w:rsidRPr="008F0D00" w14:paraId="0B8E3B80" w14:textId="77777777" w:rsidTr="00F20F6B">
        <w:trPr>
          <w:trHeight w:hRule="exact" w:val="737"/>
          <w:jc w:val="center"/>
        </w:trPr>
        <w:tc>
          <w:tcPr>
            <w:tcW w:w="1134" w:type="dxa"/>
            <w:vAlign w:val="center"/>
          </w:tcPr>
          <w:p w14:paraId="39711836" w14:textId="77777777" w:rsidR="006665CB" w:rsidRPr="00D158DF" w:rsidRDefault="006665CB" w:rsidP="00F20F6B">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42BA990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XOR operation</w:t>
            </w:r>
          </w:p>
        </w:tc>
      </w:tr>
      <w:tr w:rsidR="006665CB" w:rsidRPr="008F0D00" w14:paraId="6A6E7C68" w14:textId="77777777" w:rsidTr="00F20F6B">
        <w:trPr>
          <w:trHeight w:hRule="exact" w:val="737"/>
          <w:jc w:val="center"/>
        </w:trPr>
        <w:tc>
          <w:tcPr>
            <w:tcW w:w="1134" w:type="dxa"/>
            <w:vAlign w:val="center"/>
          </w:tcPr>
          <w:p w14:paraId="6A8D64AE" w14:textId="77777777" w:rsidR="006665CB" w:rsidRPr="00D158DF" w:rsidRDefault="006665CB" w:rsidP="00F20F6B">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4D5C56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Concatenation</w:t>
            </w:r>
          </w:p>
        </w:tc>
      </w:tr>
      <w:tr w:rsidR="006665CB" w:rsidRPr="008F0D00" w14:paraId="2EA240D8" w14:textId="77777777" w:rsidTr="00F20F6B">
        <w:trPr>
          <w:trHeight w:hRule="exact" w:val="737"/>
          <w:jc w:val="center"/>
        </w:trPr>
        <w:tc>
          <w:tcPr>
            <w:tcW w:w="1134" w:type="dxa"/>
            <w:vAlign w:val="center"/>
          </w:tcPr>
          <w:p w14:paraId="2BA785D0" w14:textId="77777777" w:rsidR="006665CB" w:rsidRPr="00D158DF" w:rsidRDefault="00D5547D"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4C542D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6665CB" w:rsidRPr="008F0D00" w14:paraId="2197B67B" w14:textId="77777777" w:rsidTr="00F20F6B">
        <w:trPr>
          <w:trHeight w:hRule="exact" w:val="737"/>
          <w:jc w:val="center"/>
        </w:trPr>
        <w:tc>
          <w:tcPr>
            <w:tcW w:w="1134" w:type="dxa"/>
            <w:vAlign w:val="center"/>
          </w:tcPr>
          <w:p w14:paraId="219E7949" w14:textId="77777777" w:rsidR="006665CB" w:rsidRPr="00D158DF" w:rsidRDefault="00D5547D"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79F9EB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5F4EBFEC" w14:textId="77777777" w:rsidTr="00F20F6B">
        <w:trPr>
          <w:trHeight w:hRule="exact" w:val="737"/>
          <w:jc w:val="center"/>
        </w:trPr>
        <w:tc>
          <w:tcPr>
            <w:tcW w:w="1134" w:type="dxa"/>
            <w:vAlign w:val="center"/>
          </w:tcPr>
          <w:p w14:paraId="54405FC7" w14:textId="77777777" w:rsidR="006665CB" w:rsidRPr="00D158DF" w:rsidRDefault="00D5547D" w:rsidP="00F20F6B">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44A73FF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6665CB" w:rsidRPr="008F0D00" w14:paraId="6965C18D" w14:textId="77777777" w:rsidTr="00F20F6B">
        <w:trPr>
          <w:trHeight w:hRule="exact" w:val="737"/>
          <w:jc w:val="center"/>
        </w:trPr>
        <w:tc>
          <w:tcPr>
            <w:tcW w:w="1134" w:type="dxa"/>
            <w:vAlign w:val="center"/>
          </w:tcPr>
          <w:p w14:paraId="6B25B9F7" w14:textId="77777777" w:rsidR="006665CB" w:rsidRPr="00D158DF" w:rsidRDefault="00D5547D"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215C34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1245D52D" w14:textId="77777777" w:rsidTr="00F20F6B">
        <w:trPr>
          <w:trHeight w:hRule="exact" w:val="737"/>
          <w:jc w:val="center"/>
        </w:trPr>
        <w:tc>
          <w:tcPr>
            <w:tcW w:w="1134" w:type="dxa"/>
            <w:vAlign w:val="center"/>
          </w:tcPr>
          <w:p w14:paraId="7FBF3D4C" w14:textId="77777777" w:rsidR="006665CB" w:rsidRPr="00D158DF" w:rsidRDefault="00D5547D" w:rsidP="00F20F6B">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669F8F35" w14:textId="77777777" w:rsidR="006665CB" w:rsidRPr="00D158DF" w:rsidRDefault="006665CB" w:rsidP="00F20F6B">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6665CB" w:rsidRPr="008F0D00" w14:paraId="73A53085" w14:textId="77777777" w:rsidTr="00F20F6B">
        <w:trPr>
          <w:trHeight w:hRule="exact" w:val="737"/>
          <w:jc w:val="center"/>
        </w:trPr>
        <w:tc>
          <w:tcPr>
            <w:tcW w:w="1134" w:type="dxa"/>
            <w:vAlign w:val="center"/>
          </w:tcPr>
          <w:p w14:paraId="1C0FC890"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248DEC0B" w14:textId="1DDCC4F3"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Public key of TTP</w:t>
            </w:r>
          </w:p>
        </w:tc>
      </w:tr>
      <w:tr w:rsidR="006665CB" w:rsidRPr="008F0D00" w14:paraId="16882809" w14:textId="77777777" w:rsidTr="00F20F6B">
        <w:trPr>
          <w:trHeight w:hRule="exact" w:val="737"/>
          <w:jc w:val="center"/>
        </w:trPr>
        <w:tc>
          <w:tcPr>
            <w:tcW w:w="1134" w:type="dxa"/>
            <w:vAlign w:val="center"/>
          </w:tcPr>
          <w:p w14:paraId="234345F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6DF10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Private key of TTP</w:t>
            </w:r>
          </w:p>
        </w:tc>
      </w:tr>
      <w:tr w:rsidR="006665CB" w:rsidRPr="008F0D00" w14:paraId="43254031" w14:textId="77777777" w:rsidTr="00F20F6B">
        <w:trPr>
          <w:trHeight w:hRule="exact" w:val="737"/>
          <w:jc w:val="center"/>
        </w:trPr>
        <w:tc>
          <w:tcPr>
            <w:tcW w:w="1134" w:type="dxa"/>
            <w:vAlign w:val="center"/>
          </w:tcPr>
          <w:p w14:paraId="0074A396" w14:textId="77777777" w:rsidR="006665CB" w:rsidRPr="00D158DF" w:rsidRDefault="00D5547D"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5B45B74"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6665CB" w:rsidRPr="008F0D00" w14:paraId="1DA6BB97" w14:textId="77777777" w:rsidTr="00F20F6B">
        <w:trPr>
          <w:trHeight w:hRule="exact" w:val="737"/>
          <w:jc w:val="center"/>
        </w:trPr>
        <w:tc>
          <w:tcPr>
            <w:tcW w:w="1134" w:type="dxa"/>
            <w:vAlign w:val="center"/>
          </w:tcPr>
          <w:p w14:paraId="071C6EFC" w14:textId="77777777" w:rsidR="006665CB" w:rsidRPr="00D158DF" w:rsidRDefault="00D5547D"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68DA66CD"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6665CB" w:rsidRPr="008F0D00" w14:paraId="2A1EE6F9" w14:textId="77777777" w:rsidTr="00F20F6B">
        <w:trPr>
          <w:trHeight w:hRule="exact" w:val="737"/>
          <w:jc w:val="center"/>
        </w:trPr>
        <w:tc>
          <w:tcPr>
            <w:tcW w:w="1134" w:type="dxa"/>
            <w:vAlign w:val="center"/>
          </w:tcPr>
          <w:p w14:paraId="20773FA9"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9D20B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E6AE86D" w14:textId="77777777" w:rsidTr="00F20F6B">
        <w:trPr>
          <w:trHeight w:hRule="exact" w:val="737"/>
          <w:jc w:val="center"/>
        </w:trPr>
        <w:tc>
          <w:tcPr>
            <w:tcW w:w="1134" w:type="dxa"/>
            <w:vAlign w:val="center"/>
          </w:tcPr>
          <w:p w14:paraId="7E8F9A5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6204102"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0A3F38F0" w14:textId="77777777" w:rsidTr="00F20F6B">
        <w:trPr>
          <w:trHeight w:hRule="exact" w:val="737"/>
          <w:jc w:val="center"/>
        </w:trPr>
        <w:tc>
          <w:tcPr>
            <w:tcW w:w="1134" w:type="dxa"/>
            <w:vAlign w:val="center"/>
          </w:tcPr>
          <w:p w14:paraId="6663A3B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178CA91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Serial Number</w:t>
            </w:r>
          </w:p>
        </w:tc>
      </w:tr>
      <w:tr w:rsidR="006665CB" w:rsidRPr="008F0D00" w14:paraId="029DEC24" w14:textId="77777777" w:rsidTr="00F20F6B">
        <w:trPr>
          <w:trHeight w:hRule="exact" w:val="737"/>
          <w:jc w:val="center"/>
        </w:trPr>
        <w:tc>
          <w:tcPr>
            <w:tcW w:w="1134" w:type="dxa"/>
            <w:vAlign w:val="center"/>
          </w:tcPr>
          <w:p w14:paraId="36780C68" w14:textId="77777777" w:rsidR="006665CB" w:rsidRPr="00D158DF" w:rsidRDefault="00D5547D"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3680B49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6665CB" w:rsidRPr="008F0D00" w14:paraId="29E5553B" w14:textId="77777777" w:rsidTr="00F20F6B">
        <w:trPr>
          <w:trHeight w:hRule="exact" w:val="737"/>
          <w:jc w:val="center"/>
        </w:trPr>
        <w:tc>
          <w:tcPr>
            <w:tcW w:w="1134" w:type="dxa"/>
            <w:vAlign w:val="center"/>
          </w:tcPr>
          <w:p w14:paraId="7F78D347"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w:lastRenderedPageBreak/>
                  <m:t>PA</m:t>
                </m:r>
              </m:oMath>
            </m:oMathPara>
          </w:p>
        </w:tc>
        <w:tc>
          <w:tcPr>
            <w:tcW w:w="5670" w:type="dxa"/>
            <w:vAlign w:val="center"/>
          </w:tcPr>
          <w:p w14:paraId="594E3F7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Previous Alias</w:t>
            </w:r>
          </w:p>
        </w:tc>
      </w:tr>
      <w:tr w:rsidR="006665CB" w:rsidRPr="008F0D00" w14:paraId="488EC14E" w14:textId="77777777" w:rsidTr="00F20F6B">
        <w:trPr>
          <w:trHeight w:hRule="exact" w:val="737"/>
          <w:jc w:val="center"/>
        </w:trPr>
        <w:tc>
          <w:tcPr>
            <w:tcW w:w="1134" w:type="dxa"/>
            <w:vAlign w:val="center"/>
          </w:tcPr>
          <w:p w14:paraId="5E037739"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4601A7CA"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New Alias</w:t>
            </w:r>
          </w:p>
        </w:tc>
      </w:tr>
      <w:tr w:rsidR="006665CB" w:rsidRPr="008F0D00" w14:paraId="1F756E96" w14:textId="77777777" w:rsidTr="00F20F6B">
        <w:trPr>
          <w:trHeight w:hRule="exact" w:val="737"/>
          <w:jc w:val="center"/>
        </w:trPr>
        <w:tc>
          <w:tcPr>
            <w:tcW w:w="1134" w:type="dxa"/>
            <w:vAlign w:val="center"/>
          </w:tcPr>
          <w:p w14:paraId="279AADC5" w14:textId="77777777" w:rsidR="006665CB" w:rsidRPr="00D158DF" w:rsidRDefault="00D5547D"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74092FA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9512F52" w14:textId="77777777" w:rsidTr="00F20F6B">
        <w:trPr>
          <w:trHeight w:hRule="exact" w:val="737"/>
          <w:jc w:val="center"/>
        </w:trPr>
        <w:tc>
          <w:tcPr>
            <w:tcW w:w="1134" w:type="dxa"/>
            <w:vAlign w:val="center"/>
          </w:tcPr>
          <w:p w14:paraId="7720396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2A46CDC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Initialization Vector</w:t>
            </w:r>
          </w:p>
        </w:tc>
      </w:tr>
      <w:tr w:rsidR="006665CB" w:rsidRPr="008F0D00" w14:paraId="0D5BE096" w14:textId="77777777" w:rsidTr="00F20F6B">
        <w:trPr>
          <w:trHeight w:hRule="exact" w:val="737"/>
          <w:jc w:val="center"/>
        </w:trPr>
        <w:tc>
          <w:tcPr>
            <w:tcW w:w="1134" w:type="dxa"/>
            <w:vAlign w:val="center"/>
          </w:tcPr>
          <w:p w14:paraId="3A914970"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72BB0FD9"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Timestamp</w:t>
            </w:r>
          </w:p>
        </w:tc>
      </w:tr>
      <w:tr w:rsidR="006665CB" w:rsidRPr="008F0D00" w14:paraId="2269E018" w14:textId="77777777" w:rsidTr="00F20F6B">
        <w:trPr>
          <w:trHeight w:hRule="exact" w:val="737"/>
          <w:jc w:val="center"/>
        </w:trPr>
        <w:tc>
          <w:tcPr>
            <w:tcW w:w="1134" w:type="dxa"/>
            <w:vAlign w:val="center"/>
          </w:tcPr>
          <w:p w14:paraId="18C38B93"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20CE38E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Connection Request</w:t>
            </w:r>
          </w:p>
        </w:tc>
      </w:tr>
      <w:tr w:rsidR="006665CB" w:rsidRPr="008F0D00" w14:paraId="50702697" w14:textId="77777777" w:rsidTr="00F20F6B">
        <w:trPr>
          <w:trHeight w:hRule="exact" w:val="737"/>
          <w:jc w:val="center"/>
        </w:trPr>
        <w:tc>
          <w:tcPr>
            <w:tcW w:w="1134" w:type="dxa"/>
            <w:vAlign w:val="center"/>
          </w:tcPr>
          <w:p w14:paraId="52C6BAF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2CFF12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Request</w:t>
            </w:r>
          </w:p>
        </w:tc>
      </w:tr>
      <w:tr w:rsidR="006665CB" w:rsidRPr="008F0D00" w14:paraId="586B93DD" w14:textId="77777777" w:rsidTr="00F20F6B">
        <w:trPr>
          <w:trHeight w:hRule="exact" w:val="737"/>
          <w:jc w:val="center"/>
        </w:trPr>
        <w:tc>
          <w:tcPr>
            <w:tcW w:w="1134" w:type="dxa"/>
            <w:vAlign w:val="center"/>
          </w:tcPr>
          <w:p w14:paraId="7985608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0CD4BD37"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Request</w:t>
            </w:r>
          </w:p>
        </w:tc>
      </w:tr>
      <w:tr w:rsidR="006665CB" w:rsidRPr="008F0D00" w14:paraId="4926160B" w14:textId="77777777" w:rsidTr="00F20F6B">
        <w:trPr>
          <w:trHeight w:hRule="exact" w:val="737"/>
          <w:jc w:val="center"/>
        </w:trPr>
        <w:tc>
          <w:tcPr>
            <w:tcW w:w="1134" w:type="dxa"/>
            <w:vAlign w:val="center"/>
          </w:tcPr>
          <w:p w14:paraId="3214578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516FCD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Change Alias Request</w:t>
            </w:r>
          </w:p>
        </w:tc>
      </w:tr>
      <w:tr w:rsidR="006665CB" w:rsidRPr="008F0D00" w14:paraId="677B2014" w14:textId="77777777" w:rsidTr="00F20F6B">
        <w:trPr>
          <w:trHeight w:hRule="exact" w:val="737"/>
          <w:jc w:val="center"/>
        </w:trPr>
        <w:tc>
          <w:tcPr>
            <w:tcW w:w="1134" w:type="dxa"/>
            <w:vAlign w:val="center"/>
          </w:tcPr>
          <w:p w14:paraId="552872B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0BC6DF8F"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Request</w:t>
            </w:r>
          </w:p>
        </w:tc>
      </w:tr>
      <w:tr w:rsidR="006665CB" w:rsidRPr="008F0D00" w14:paraId="7296EE0A" w14:textId="77777777" w:rsidTr="00F20F6B">
        <w:trPr>
          <w:trHeight w:hRule="exact" w:val="737"/>
          <w:jc w:val="center"/>
        </w:trPr>
        <w:tc>
          <w:tcPr>
            <w:tcW w:w="1134" w:type="dxa"/>
            <w:vAlign w:val="center"/>
          </w:tcPr>
          <w:p w14:paraId="798A82C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1C7A1C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6665CB" w:rsidRPr="008F0D00" w14:paraId="3DB1ADE0" w14:textId="77777777" w:rsidTr="00F20F6B">
        <w:trPr>
          <w:trHeight w:hRule="exact" w:val="737"/>
          <w:jc w:val="center"/>
        </w:trPr>
        <w:tc>
          <w:tcPr>
            <w:tcW w:w="1134" w:type="dxa"/>
            <w:vAlign w:val="center"/>
          </w:tcPr>
          <w:p w14:paraId="2336FB2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0F4DFB6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Acknowledgement</w:t>
            </w:r>
          </w:p>
        </w:tc>
      </w:tr>
      <w:tr w:rsidR="006665CB" w:rsidRPr="008F0D00" w14:paraId="62D8F137" w14:textId="77777777" w:rsidTr="00F20F6B">
        <w:trPr>
          <w:trHeight w:hRule="exact" w:val="737"/>
          <w:jc w:val="center"/>
        </w:trPr>
        <w:tc>
          <w:tcPr>
            <w:tcW w:w="1134" w:type="dxa"/>
            <w:vAlign w:val="center"/>
          </w:tcPr>
          <w:p w14:paraId="64684AF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1010780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Acknowledgement</w:t>
            </w:r>
          </w:p>
        </w:tc>
      </w:tr>
      <w:tr w:rsidR="006665CB" w:rsidRPr="008F0D00" w14:paraId="2C510581" w14:textId="77777777" w:rsidTr="00F20F6B">
        <w:trPr>
          <w:trHeight w:hRule="exact" w:val="737"/>
          <w:jc w:val="center"/>
        </w:trPr>
        <w:tc>
          <w:tcPr>
            <w:tcW w:w="1134" w:type="dxa"/>
            <w:vAlign w:val="center"/>
          </w:tcPr>
          <w:p w14:paraId="37AABAED"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2BD1D7D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Response</w:t>
            </w:r>
          </w:p>
        </w:tc>
      </w:tr>
    </w:tbl>
    <w:p w14:paraId="2307E093" w14:textId="77777777" w:rsidR="00344CC4" w:rsidRPr="006D3737" w:rsidRDefault="00344CC4" w:rsidP="00E8175B">
      <w:pPr>
        <w:pStyle w:val="IEEEParagraph"/>
        <w:ind w:firstLine="0"/>
        <w:rPr>
          <w:szCs w:val="20"/>
        </w:rPr>
      </w:pPr>
    </w:p>
    <w:p w14:paraId="02D97216" w14:textId="77777777" w:rsidR="008E5996" w:rsidRDefault="00603F37" w:rsidP="004E452A">
      <w:pPr>
        <w:pStyle w:val="IEEEHeading1"/>
      </w:pPr>
      <w:r>
        <w:t>Protocols</w:t>
      </w:r>
    </w:p>
    <w:p w14:paraId="6AFA65A5" w14:textId="77777777"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231A58DE" w14:textId="77777777" w:rsidR="00603F37"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w:t>
      </w:r>
      <w:r w:rsidR="00425374">
        <w:lastRenderedPageBreak/>
        <w:t>chain. This kind of similar protocols will be explained simultaneously.</w:t>
      </w:r>
    </w:p>
    <w:p w14:paraId="44CFF2AC" w14:textId="77777777" w:rsidR="003D14B5" w:rsidRPr="00425374" w:rsidRDefault="003D14B5" w:rsidP="003D14B5">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89D88E6" w14:textId="77777777" w:rsidR="00C06BB4" w:rsidRDefault="00883A74" w:rsidP="00425374">
      <w:pPr>
        <w:pStyle w:val="IEEEHeading2"/>
        <w:numPr>
          <w:ilvl w:val="1"/>
          <w:numId w:val="7"/>
        </w:numPr>
      </w:pPr>
      <w:r>
        <w:t>End-to-End Two-W</w:t>
      </w:r>
      <w:r w:rsidR="00425374">
        <w:t>ay Protocols</w:t>
      </w:r>
    </w:p>
    <w:p w14:paraId="4E99C648" w14:textId="77777777" w:rsidR="00C06BB4" w:rsidRDefault="00924D91" w:rsidP="00C06BB4">
      <w:pPr>
        <w:pStyle w:val="IEEEParagraph"/>
      </w:pPr>
      <w:r>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14:paraId="7C589331" w14:textId="77777777" w:rsidR="00934461" w:rsidRDefault="002C1949" w:rsidP="00C06BB4">
      <w:pPr>
        <w:pStyle w:val="IEEEParagraph"/>
      </w:pPr>
      <w:r>
        <w:lastRenderedPageBreak/>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6D13B33D"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27D00F7E" w14:textId="6590D809" w:rsidR="00AB2098" w:rsidRDefault="005056AA" w:rsidP="00883A74">
      <w:pPr>
        <w:pStyle w:val="IEEEParagraph"/>
        <w:jc w:val="center"/>
        <w:rPr>
          <w:sz w:val="16"/>
          <w:szCs w:val="16"/>
        </w:rPr>
      </w:pPr>
      <w:r>
        <w:rPr>
          <w:noProof/>
          <w:sz w:val="16"/>
          <w:szCs w:val="16"/>
          <w:lang w:val="en-US" w:eastAsia="en-US"/>
        </w:rPr>
        <w:lastRenderedPageBreak/>
        <w:drawing>
          <wp:inline distT="0" distB="0" distL="0" distR="0" wp14:anchorId="00BCCA35" wp14:editId="65A60D2C">
            <wp:extent cx="6477635" cy="6217920"/>
            <wp:effectExtent l="0" t="0" r="0" b="0"/>
            <wp:docPr id="1" name="Picture 1"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17920"/>
                    </a:xfrm>
                    <a:prstGeom prst="rect">
                      <a:avLst/>
                    </a:prstGeom>
                    <a:noFill/>
                    <a:ln>
                      <a:noFill/>
                    </a:ln>
                  </pic:spPr>
                </pic:pic>
              </a:graphicData>
            </a:graphic>
          </wp:inline>
        </w:drawing>
      </w:r>
    </w:p>
    <w:p w14:paraId="73EF10A3" w14:textId="77777777" w:rsidR="00DE0EEA" w:rsidRDefault="005916D9" w:rsidP="005916D9">
      <w:pPr>
        <w:pStyle w:val="Caption"/>
      </w:pPr>
      <w:proofErr w:type="gramStart"/>
      <w:r>
        <w:lastRenderedPageBreak/>
        <w:t xml:space="preserve">Figure </w:t>
      </w:r>
      <w:r w:rsidR="0066380B">
        <w:fldChar w:fldCharType="begin"/>
      </w:r>
      <w:r>
        <w:instrText xml:space="preserve"> SEQ Figure \* ARABIC </w:instrText>
      </w:r>
      <w:r w:rsidR="0066380B">
        <w:fldChar w:fldCharType="separate"/>
      </w:r>
      <w:r w:rsidR="00741EA2">
        <w:rPr>
          <w:noProof/>
        </w:rPr>
        <w:t>2</w:t>
      </w:r>
      <w:r w:rsidR="0066380B">
        <w:fldChar w:fldCharType="end"/>
      </w:r>
      <w:r>
        <w:t>.</w:t>
      </w:r>
      <w:proofErr w:type="gramEnd"/>
      <w:r>
        <w:t xml:space="preserve"> End-to-End Two-Way Protocol Flow</w:t>
      </w:r>
    </w:p>
    <w:p w14:paraId="355E4270" w14:textId="77777777" w:rsidR="00201C31" w:rsidRDefault="00201C31" w:rsidP="00201C31"/>
    <w:p w14:paraId="7C279B0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0CD59757" w14:textId="3FB73322" w:rsidR="003A22BD" w:rsidRDefault="003A22BD" w:rsidP="00C06BB4">
      <w:pPr>
        <w:pStyle w:val="IEEEParagraph"/>
        <w:rPr>
          <w:szCs w:val="20"/>
        </w:rPr>
      </w:pPr>
      <w:r>
        <w:lastRenderedPageBreak/>
        <w:t xml:space="preserve">Initial Authorization is the first protocol that a client uses in the system in order to get authorized. It is used only once by a particular user. Protocol starts with client forming up a Connection request. Considering the generic depiction Figure 2 </w:t>
      </w:r>
      <m:oMath>
        <m:r>
          <w:rPr>
            <w:rFonts w:ascii="Cambria Math" w:hAnsi="Cambria Math"/>
          </w:rPr>
          <m:t>Request = Connection Request</m:t>
        </m:r>
      </m:oMath>
      <w:r>
        <w:t xml:space="preserve"> in the case of Initial Authorization. Alias is calculated by taking the xor of Serial Number and a random nonce value as following </w:t>
      </w:r>
      <m:oMath>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r>
          <w:rPr>
            <w:rFonts w:ascii="Cambria Math" w:hAnsi="Cambria Math" w:cs="Helvetica"/>
            <w:szCs w:val="20"/>
          </w:rPr>
          <m:t xml:space="preserve"> =Alias</m:t>
        </m:r>
      </m:oMath>
      <w:r>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Pr>
          <w:szCs w:val="20"/>
        </w:rPr>
        <w:t xml:space="preserve">. When TTP receives the alias it first verifies the SN and hashes the Alias. </w:t>
      </w:r>
      <w:r w:rsidR="002F6110">
        <w:rPr>
          <w:szCs w:val="20"/>
        </w:rPr>
        <w:t xml:space="preserve">TTP and client will calculate the alias that will be used in the system as following: </w:t>
      </w:r>
      <m:oMath>
        <m:r>
          <w:rPr>
            <w:rFonts w:ascii="Cambria Math" w:hAnsi="Cambria Math"/>
            <w:szCs w:val="20"/>
          </w:rPr>
          <m:t xml:space="preserve">h </m:t>
        </m:r>
        <m:d>
          <m:dPr>
            <m:ctrlPr>
              <w:rPr>
                <w:rFonts w:ascii="Cambria Math" w:hAnsi="Cambria Math"/>
                <w:i/>
                <w:szCs w:val="20"/>
              </w:rPr>
            </m:ctrlPr>
          </m:dPr>
          <m:e>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e>
        </m:d>
        <m:r>
          <w:rPr>
            <w:rFonts w:ascii="Cambria Math" w:hAnsi="Cambria Math"/>
            <w:szCs w:val="20"/>
          </w:rPr>
          <m:t>=Alias</m:t>
        </m:r>
      </m:oMath>
      <w:r>
        <w:rPr>
          <w:szCs w:val="20"/>
        </w:rPr>
        <w:t>.</w:t>
      </w:r>
    </w:p>
    <w:p w14:paraId="5DB6D834" w14:textId="10AB4BA2"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332779">
        <w:t xml:space="preserve"> </w:t>
      </w:r>
      <w:r w:rsidR="00F31295">
        <w:t>hash token index</w:t>
      </w:r>
      <w:r>
        <w:t xml:space="preserve">. </w:t>
      </w:r>
      <w:r w:rsidR="001D7680">
        <w:t xml:space="preserve">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sidR="001D7680">
        <w:rPr>
          <w:szCs w:val="20"/>
        </w:rPr>
        <w:t xml:space="preserve"> where </w:t>
      </w:r>
      <m:oMath>
        <m:r>
          <w:rPr>
            <w:rFonts w:ascii="Cambria Math" w:hAnsi="Cambria Math"/>
            <w:szCs w:val="20"/>
          </w:rPr>
          <m:t>i&gt;0</m:t>
        </m:r>
      </m:oMath>
      <w:r w:rsidR="001D7680">
        <w:rPr>
          <w:szCs w:val="20"/>
        </w:rPr>
        <w:t>.</w:t>
      </w:r>
      <w:r w:rsidR="00031E0C">
        <w:rPr>
          <w:szCs w:val="20"/>
        </w:rPr>
        <w:t xml:space="preserve"> In Initial Authorization and Reuse of a Connection Card protocols </w:t>
      </w:r>
      <w:r w:rsidR="002F6110">
        <w:rPr>
          <w:szCs w:val="20"/>
        </w:rPr>
        <w:t>performing an XOR operation of SN with a random nonce forms a new Alias</w:t>
      </w:r>
      <w:r w:rsidR="005C3D77">
        <w:rPr>
          <w:szCs w:val="20"/>
        </w:rPr>
        <w:t>.</w:t>
      </w:r>
    </w:p>
    <w:p w14:paraId="4A913DEC" w14:textId="70A34F26"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r w:rsidR="001D7680">
        <w:t xml:space="preserve"> In Disconnection protocol </w:t>
      </w:r>
      <m:oMath>
        <m:r>
          <w:rPr>
            <w:rFonts w:ascii="Cambria Math" w:hAnsi="Cambria Math"/>
          </w:rPr>
          <m:t>Request = Disconnection Request (DR)</m:t>
        </m:r>
      </m:oMath>
      <w:r w:rsidR="001D7680">
        <w:t xml:space="preserve">. DR is formed </w:t>
      </w:r>
      <w:r w:rsidR="00031E0C">
        <w:t xml:space="preserve">as the same as a Connection Request the only difference is packet </w:t>
      </w:r>
      <w:r w:rsidR="00CB355C">
        <w:t>overhead, which</w:t>
      </w:r>
      <w:r w:rsidR="00031E0C">
        <w:t xml:space="preserve"> determines the packet’s aim. There are 9 </w:t>
      </w:r>
      <w:r w:rsidR="00CB355C">
        <w:t>protocols</w:t>
      </w:r>
      <w:r w:rsidR="00031E0C">
        <w:t xml:space="preserve"> that are used by the </w:t>
      </w:r>
      <w:r w:rsidR="00AF4C96">
        <w:t>client;</w:t>
      </w:r>
      <w:r w:rsidR="00031E0C">
        <w:t xml:space="preserve"> so 4-bit packet overhead is enough for this purpose. </w:t>
      </w:r>
      <w:r w:rsidR="005C3D77">
        <w:t>In Disconnection protocol client does not change it’s alias but uses the existing one. Therefore TTP could understand that the client with the particular alias wants to disconnect from the system.</w:t>
      </w:r>
    </w:p>
    <w:p w14:paraId="41016A50" w14:textId="756B6F23"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rsidR="005C3D77">
        <w:t xml:space="preserve"> by calculating </w:t>
      </w:r>
      <m:oMath>
        <m:r>
          <w:rPr>
            <w:rFonts w:ascii="Cambria Math" w:hAnsi="Cambria Math"/>
          </w:rPr>
          <m:t>New Alias=h (SN⨁Nonc</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t xml:space="preserve"> and send it to the TTP for signature</w:t>
      </w:r>
      <w:r w:rsidR="00EE29CE">
        <w:t xml:space="preserve"> and hash</w:t>
      </w:r>
      <w:r>
        <w:t>. The overall process is called Change Alias protocol.</w:t>
      </w:r>
      <w:r w:rsidR="00031E0C">
        <w:t xml:space="preserve">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rsidR="00031E0C">
        <w:t>. When TTP receives the CAR and it decrypts the content using it’s private key. Checks the last</w:t>
      </w:r>
      <w:r w:rsidR="005C3D77">
        <w:t xml:space="preserve"> used hash token, if it is equal to the hash token that resides in the CAR then TTP signs the new Alias and the HashToken</w:t>
      </w:r>
      <w:r w:rsidR="00D83129">
        <w:t xml:space="preserve"> value</w:t>
      </w:r>
      <w:r w:rsidR="005C3D77">
        <w:t>. In this protocol TTP does not update client’s status in the database because Change Alias protocol keeps a connected client connected, thus an update is not necessary.</w:t>
      </w:r>
    </w:p>
    <w:p w14:paraId="6E586842" w14:textId="77777777" w:rsidR="001A09EB" w:rsidRDefault="001A09EB" w:rsidP="001A09EB">
      <w:pPr>
        <w:pStyle w:val="IEEEHeading2"/>
        <w:numPr>
          <w:ilvl w:val="1"/>
          <w:numId w:val="7"/>
        </w:numPr>
      </w:pPr>
      <w:r>
        <w:lastRenderedPageBreak/>
        <w:t>Access Point Authentication</w:t>
      </w:r>
    </w:p>
    <w:p w14:paraId="50A4AD14" w14:textId="77777777" w:rsidR="001A09EB" w:rsidRPr="001A09EB" w:rsidRDefault="00920D17" w:rsidP="001A09EB">
      <w:pPr>
        <w:pStyle w:val="IEEEParagraph"/>
        <w:jc w:val="center"/>
      </w:pPr>
      <w:r>
        <w:rPr>
          <w:noProof/>
          <w:lang w:val="en-US" w:eastAsia="en-US"/>
        </w:rPr>
        <w:drawing>
          <wp:inline distT="0" distB="0" distL="0" distR="0" wp14:anchorId="1CB9DEB8" wp14:editId="21A2002D">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5890B0E8" w14:textId="77777777" w:rsidR="00392783" w:rsidRPr="00AD22E5" w:rsidRDefault="00AD22E5" w:rsidP="00AD22E5">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741EA2">
        <w:rPr>
          <w:noProof/>
        </w:rPr>
        <w:t>3</w:t>
      </w:r>
      <w:r w:rsidR="0066380B">
        <w:fldChar w:fldCharType="end"/>
      </w:r>
      <w:r>
        <w:t>.</w:t>
      </w:r>
      <w:proofErr w:type="gramEnd"/>
      <w:r>
        <w:t xml:space="preserve"> Access Point Authentication</w:t>
      </w:r>
    </w:p>
    <w:p w14:paraId="41DF898D" w14:textId="77777777" w:rsidR="00DE0EEA" w:rsidRPr="00201C31" w:rsidRDefault="00DE0EEA" w:rsidP="001A09EB">
      <w:pPr>
        <w:jc w:val="both"/>
        <w:rPr>
          <w:i/>
        </w:rPr>
      </w:pPr>
    </w:p>
    <w:p w14:paraId="37ACB4D3"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77A1CAE1"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14F11DD7" w14:textId="77777777" w:rsidR="00ED7651" w:rsidRDefault="00ED7651" w:rsidP="00ED7651">
      <w:pPr>
        <w:pStyle w:val="IEEEHeading2"/>
        <w:numPr>
          <w:ilvl w:val="1"/>
          <w:numId w:val="7"/>
        </w:numPr>
      </w:pPr>
      <w:r>
        <w:t>Distributing Access Point Public Keys</w:t>
      </w:r>
    </w:p>
    <w:p w14:paraId="01127D94" w14:textId="77777777" w:rsidR="00ED7651" w:rsidRPr="00515210" w:rsidRDefault="00ED7651" w:rsidP="00ED7651">
      <w:pPr>
        <w:pStyle w:val="IEEEParagraph"/>
        <w:ind w:firstLine="0"/>
        <w:jc w:val="center"/>
      </w:pPr>
      <w:r>
        <w:rPr>
          <w:noProof/>
          <w:lang w:val="en-US" w:eastAsia="en-US"/>
        </w:rPr>
        <w:drawing>
          <wp:inline distT="0" distB="0" distL="0" distR="0" wp14:anchorId="5EED9530" wp14:editId="5B814048">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3D683A48" w14:textId="77777777" w:rsidR="00ED7651" w:rsidRDefault="00ED7651" w:rsidP="00ED7651">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741EA2">
        <w:rPr>
          <w:noProof/>
        </w:rPr>
        <w:t>4</w:t>
      </w:r>
      <w:r w:rsidR="0066380B">
        <w:fldChar w:fldCharType="end"/>
      </w:r>
      <w:r>
        <w:t>.</w:t>
      </w:r>
      <w:proofErr w:type="gramEnd"/>
      <w:r>
        <w:t xml:space="preserve"> Distributing Access Point Public Keys</w:t>
      </w:r>
    </w:p>
    <w:p w14:paraId="6290B9BE" w14:textId="77777777" w:rsidR="00ED7651" w:rsidRPr="00977C7C" w:rsidRDefault="00ED7651" w:rsidP="00ED7651">
      <w:pPr>
        <w:pStyle w:val="IEEEParagraph"/>
        <w:jc w:val="center"/>
        <w:rPr>
          <w:szCs w:val="20"/>
        </w:rPr>
      </w:pPr>
    </w:p>
    <w:p w14:paraId="65328E4E" w14:textId="77777777"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F8A2FD5" w14:textId="77777777"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w:t>
      </w:r>
      <w:r w:rsidRPr="00BF0D6D">
        <w:rPr>
          <w:rFonts w:cs="Helvetica"/>
          <w:szCs w:val="20"/>
        </w:rPr>
        <w:lastRenderedPageBreak/>
        <w:t>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5359F4FD" w14:textId="77777777" w:rsidR="00805D97" w:rsidRDefault="00805D97" w:rsidP="00805D97">
      <w:pPr>
        <w:pStyle w:val="IEEEHeading2"/>
        <w:numPr>
          <w:ilvl w:val="1"/>
          <w:numId w:val="7"/>
        </w:numPr>
      </w:pPr>
      <w:r>
        <w:t>Packet Transfer</w:t>
      </w:r>
    </w:p>
    <w:p w14:paraId="3D187C5B" w14:textId="77777777" w:rsidR="00805D97" w:rsidRDefault="002C478E" w:rsidP="00805D97">
      <w:pPr>
        <w:pStyle w:val="IEEEParagraph"/>
        <w:jc w:val="center"/>
      </w:pPr>
      <w:r>
        <w:rPr>
          <w:noProof/>
          <w:lang w:val="en-US" w:eastAsia="en-US"/>
        </w:rPr>
        <w:drawing>
          <wp:inline distT="0" distB="0" distL="0" distR="0" wp14:anchorId="088BEEF0" wp14:editId="7B5A2C6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6F677EDB" w14:textId="77777777" w:rsidR="00201C31" w:rsidRDefault="00201C31" w:rsidP="00201C31">
      <w:pPr>
        <w:pStyle w:val="Caption"/>
        <w:rPr>
          <w:szCs w:val="16"/>
        </w:rPr>
      </w:pPr>
      <w:r>
        <w:t xml:space="preserve">Figure </w:t>
      </w:r>
      <w:r w:rsidR="00ED7651">
        <w:t>5</w:t>
      </w:r>
      <w:r>
        <w:t>. Packet Transfer</w:t>
      </w:r>
    </w:p>
    <w:p w14:paraId="707A828E" w14:textId="77777777" w:rsidR="00392783" w:rsidRPr="00201C31" w:rsidRDefault="00392783" w:rsidP="00805D97">
      <w:pPr>
        <w:pStyle w:val="IEEEParagraph"/>
        <w:jc w:val="center"/>
        <w:rPr>
          <w:szCs w:val="20"/>
        </w:rPr>
      </w:pPr>
    </w:p>
    <w:p w14:paraId="26EF6A1D" w14:textId="77777777"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 xml:space="preserve">is called after </w:t>
      </w:r>
      <w:r w:rsidR="00805D97">
        <w:lastRenderedPageBreak/>
        <w:t>e.g. 2 minutes, user could not get a refund for</w:t>
      </w:r>
      <w:r>
        <w:t xml:space="preserve"> the</w:t>
      </w:r>
      <w:r w:rsidR="00805D97">
        <w:t xml:space="preserve"> remaining 3 minutes.</w:t>
      </w:r>
    </w:p>
    <w:p w14:paraId="49C69CFF" w14:textId="77777777"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020D1B5D" w14:textId="77777777" w:rsidR="00370E14" w:rsidRDefault="00370E14" w:rsidP="00370E14">
      <w:pPr>
        <w:pStyle w:val="IEEEHeading2"/>
        <w:numPr>
          <w:ilvl w:val="1"/>
          <w:numId w:val="7"/>
        </w:numPr>
      </w:pPr>
      <w:r>
        <w:t>Seamless Mobility and Roaming (Payment Related)</w:t>
      </w:r>
    </w:p>
    <w:p w14:paraId="35F13864" w14:textId="5B9AE5AD" w:rsidR="00370E14" w:rsidRDefault="00370E14" w:rsidP="00370E14">
      <w:pPr>
        <w:pStyle w:val="IEEEHeading2"/>
        <w:ind w:left="288"/>
        <w:jc w:val="center"/>
        <w:rPr>
          <w:i w:val="0"/>
        </w:rPr>
      </w:pPr>
      <w:r>
        <w:rPr>
          <w:noProof/>
          <w:lang w:val="en-US" w:eastAsia="en-US"/>
        </w:rPr>
        <w:drawing>
          <wp:inline distT="0" distB="0" distL="0" distR="0" wp14:anchorId="606A1355" wp14:editId="60749CE3">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50A9B51" w14:textId="14CA682B" w:rsidR="00370E14" w:rsidRDefault="00370E14" w:rsidP="00370E14">
      <w:pPr>
        <w:pStyle w:val="Caption"/>
        <w:rPr>
          <w:szCs w:val="16"/>
        </w:rPr>
      </w:pPr>
      <w:r>
        <w:t>Figure 6. Seamless Mobility and Roaming</w:t>
      </w:r>
    </w:p>
    <w:p w14:paraId="5664D34A" w14:textId="77777777" w:rsidR="00370E14" w:rsidRDefault="00370E14" w:rsidP="00370E14">
      <w:pPr>
        <w:pStyle w:val="IEEEParagraph"/>
      </w:pPr>
    </w:p>
    <w:p w14:paraId="32F55FAC" w14:textId="77777777" w:rsidR="00370E14" w:rsidRPr="00370E14" w:rsidRDefault="00370E14" w:rsidP="00370E14">
      <w:pPr>
        <w:pStyle w:val="IEEEParagraph"/>
      </w:pPr>
    </w:p>
    <w:p w14:paraId="32197331" w14:textId="258C6359" w:rsidR="00370E14" w:rsidRDefault="00370E14" w:rsidP="00370E14">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74B397B7" w14:textId="1564DF78" w:rsidR="00370E14" w:rsidRDefault="00370E14" w:rsidP="00370E14">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1EAF3C3D" w14:textId="77777777" w:rsidR="00370E14" w:rsidRDefault="00370E14" w:rsidP="00370E14">
      <w:pPr>
        <w:pStyle w:val="IEEEParagraph"/>
      </w:pPr>
      <w:r>
        <w:t xml:space="preserve">Finally the new access point and the client run a </w:t>
      </w:r>
      <w:r w:rsidRPr="004008DA">
        <w:rPr>
          <w:i/>
        </w:rPr>
        <w:t>Challenge-Response Protocol</w:t>
      </w:r>
      <w:r>
        <w:t xml:space="preserve"> to authenticate the new access point.</w:t>
      </w:r>
    </w:p>
    <w:p w14:paraId="19555877" w14:textId="7A2F7E4E" w:rsidR="003A22BD" w:rsidRPr="00370E14" w:rsidRDefault="00370E14" w:rsidP="003A22BD">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6381C0E5" w14:textId="77777777" w:rsidR="00805D97" w:rsidRDefault="00805D97" w:rsidP="00805D97">
      <w:pPr>
        <w:pStyle w:val="IEEEHeading2"/>
        <w:numPr>
          <w:ilvl w:val="1"/>
          <w:numId w:val="7"/>
        </w:numPr>
      </w:pPr>
      <w:r>
        <w:t>Update Packets</w:t>
      </w:r>
    </w:p>
    <w:p w14:paraId="03D1FE5E"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2A180237" w14:textId="77777777" w:rsidR="00805D97" w:rsidRDefault="00145C21" w:rsidP="00805D97">
      <w:pPr>
        <w:pStyle w:val="IEEEParagraph"/>
        <w:jc w:val="center"/>
        <w:rPr>
          <w:szCs w:val="20"/>
        </w:rPr>
      </w:pPr>
      <w:r>
        <w:rPr>
          <w:noProof/>
          <w:szCs w:val="20"/>
          <w:lang w:val="en-US" w:eastAsia="en-US"/>
        </w:rPr>
        <w:lastRenderedPageBreak/>
        <w:drawing>
          <wp:inline distT="0" distB="0" distL="0" distR="0" wp14:anchorId="4D673720" wp14:editId="0BBAA543">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7619B5F1" w14:textId="4EC3714F" w:rsidR="0003341D" w:rsidRDefault="0089274B" w:rsidP="0003341D">
      <w:pPr>
        <w:pStyle w:val="Caption"/>
      </w:pPr>
      <w:r>
        <w:t xml:space="preserve">Figure </w:t>
      </w:r>
      <w:r w:rsidR="00370E14">
        <w:t>7</w:t>
      </w:r>
      <w:r w:rsidR="0003341D">
        <w:t>. Update Packets</w:t>
      </w:r>
    </w:p>
    <w:p w14:paraId="5365E712" w14:textId="77777777" w:rsidR="00145C21" w:rsidRDefault="00145C21" w:rsidP="00145C21"/>
    <w:p w14:paraId="075E7595"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4DD19903" w14:textId="1039705E"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370E14">
        <w:rPr>
          <w:sz w:val="20"/>
          <w:szCs w:val="20"/>
        </w:rPr>
        <w:t>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97AFC7A" w14:textId="06986D91" w:rsidR="00BF0D6D" w:rsidRDefault="00805D97" w:rsidP="00370E14">
      <w:pPr>
        <w:pStyle w:val="IEEEParagraph"/>
      </w:pPr>
      <w:r>
        <w:t>In this protocol, client sends concatenation of 128-bit alias and 128-bit hash token to the operator. Operators update TTP in case of a drop. This protocol is a one way end-to-end protocol.</w:t>
      </w:r>
    </w:p>
    <w:p w14:paraId="6FE087B4" w14:textId="77777777" w:rsidR="003A22BD" w:rsidRDefault="003A22BD" w:rsidP="003A22BD">
      <w:pPr>
        <w:pStyle w:val="IEEEHeading1"/>
        <w:tabs>
          <w:tab w:val="clear" w:pos="4825"/>
          <w:tab w:val="num" w:pos="288"/>
        </w:tabs>
      </w:pPr>
      <w:r>
        <w:t>Payment to the Operators (Settlement)</w:t>
      </w:r>
    </w:p>
    <w:p w14:paraId="13C2E713" w14:textId="77777777" w:rsidR="003A22BD" w:rsidRPr="00BA4015" w:rsidRDefault="003A22BD" w:rsidP="003A22BD">
      <w:pPr>
        <w:ind w:firstLine="215"/>
        <w:jc w:val="both"/>
        <w:rPr>
          <w:sz w:val="20"/>
          <w:szCs w:val="20"/>
        </w:rPr>
      </w:pPr>
      <w:r w:rsidRPr="00BA4015">
        <w:rPr>
          <w:sz w:val="20"/>
          <w:szCs w:val="20"/>
        </w:rPr>
        <w:t xml:space="preserve">In </w:t>
      </w:r>
      <w:r>
        <w:rPr>
          <w:sz w:val="20"/>
          <w:szCs w:val="20"/>
        </w:rPr>
        <w:t>SSPayWMN</w:t>
      </w:r>
      <w:r w:rsidRPr="00BA4015">
        <w:rPr>
          <w:sz w:val="20"/>
          <w:szCs w:val="20"/>
        </w:rPr>
        <w:t xml:space="preserve">, operators claim their money from the TTP by showing their service logs. A log proves a service that has been provided between a connection request and a disconnection request. </w:t>
      </w:r>
    </w:p>
    <w:p w14:paraId="37277FEC" w14:textId="77777777" w:rsidR="003A22BD" w:rsidRPr="002667C9" w:rsidRDefault="003A22BD" w:rsidP="003A22BD">
      <w:pPr>
        <w:ind w:firstLine="215"/>
        <w:jc w:val="both"/>
        <w:rPr>
          <w:sz w:val="20"/>
          <w:szCs w:val="20"/>
        </w:rPr>
      </w:pPr>
      <m:oMathPara>
        <m:oMathParaPr>
          <m:jc m:val="center"/>
        </m:oMathParaPr>
        <m:oMath>
          <m:r>
            <w:rPr>
              <w:rFonts w:ascii="Cambria Math" w:hAnsi="Cambria Math" w:cs="Helvetica"/>
              <w:sz w:val="20"/>
              <w:szCs w:val="20"/>
            </w:rPr>
            <m:t>Log = OpId∥Connection Request∥</m:t>
          </m:r>
        </m:oMath>
      </m:oMathPara>
    </w:p>
    <w:p w14:paraId="0163472C" w14:textId="77777777" w:rsidR="003A22BD" w:rsidRPr="00C940E3" w:rsidRDefault="003A22BD" w:rsidP="003A22BD">
      <w:pPr>
        <w:ind w:firstLine="215"/>
        <w:jc w:val="both"/>
        <w:rPr>
          <w:sz w:val="20"/>
          <w:szCs w:val="20"/>
        </w:rPr>
      </w:pPr>
      <m:oMathPara>
        <m:oMath>
          <m:r>
            <w:rPr>
              <w:rFonts w:ascii="Cambria Math" w:hAnsi="Cambria Math" w:cs="Helvetica"/>
              <w:sz w:val="20"/>
              <w:szCs w:val="20"/>
            </w:rPr>
            <m:t>Signed Connection Response∥TS</m:t>
          </m:r>
        </m:oMath>
      </m:oMathPara>
    </w:p>
    <w:p w14:paraId="58AE0C92" w14:textId="77777777" w:rsidR="003A22BD" w:rsidRPr="00BA4015" w:rsidRDefault="003A22BD" w:rsidP="003A22BD">
      <w:pPr>
        <w:ind w:firstLine="215"/>
        <w:jc w:val="both"/>
        <w:rPr>
          <w:sz w:val="20"/>
          <w:szCs w:val="20"/>
        </w:rPr>
      </w:pPr>
      <w:r w:rsidRPr="00BA4015">
        <w:rPr>
          <w:sz w:val="20"/>
          <w:szCs w:val="20"/>
        </w:rPr>
        <w:t>Operators store connection requests (CR) of the clients; CRs are formed in the</w:t>
      </w:r>
      <w:r>
        <w:rPr>
          <w:sz w:val="20"/>
          <w:szCs w:val="20"/>
        </w:rPr>
        <w:t xml:space="preserve"> </w:t>
      </w:r>
      <w:r w:rsidRPr="00BA4015">
        <w:rPr>
          <w:sz w:val="20"/>
          <w:szCs w:val="20"/>
        </w:rPr>
        <w:t>Initial Authorization and Reuse of a Connection Card protocols. When a client makes a disconnection request, operator stores the disconnection request (DR) as well. After receiving the DR, operator forms its log as follows.</w:t>
      </w:r>
    </w:p>
    <w:p w14:paraId="28250F9D" w14:textId="77777777" w:rsidR="003A22BD" w:rsidRPr="000E11F9" w:rsidRDefault="003A22BD" w:rsidP="003A22BD">
      <w:pPr>
        <w:ind w:firstLine="215"/>
        <w:jc w:val="both"/>
        <w:rPr>
          <w:sz w:val="20"/>
          <w:szCs w:val="20"/>
        </w:rPr>
      </w:pPr>
      <m:oMathPara>
        <m:oMathParaPr>
          <m:jc m:val="center"/>
        </m:oMathParaPr>
        <m:oMath>
          <m:r>
            <w:rPr>
              <w:rFonts w:ascii="Cambria Math" w:hAnsi="Cambria Math" w:cs="Helvetica"/>
              <w:sz w:val="20"/>
              <w:szCs w:val="20"/>
            </w:rPr>
            <m:t xml:space="preserve">Log = OpId ∥Disconnection Request </m:t>
          </m:r>
          <m:d>
            <m:dPr>
              <m:ctrlPr>
                <w:rPr>
                  <w:rFonts w:ascii="Cambria Math" w:hAnsi="Cambria Math" w:cs="Helvetica"/>
                  <w:i/>
                  <w:sz w:val="20"/>
                  <w:szCs w:val="20"/>
                </w:rPr>
              </m:ctrlPr>
            </m:dPr>
            <m:e>
              <m:r>
                <w:rPr>
                  <w:rFonts w:ascii="Cambria Math" w:hAnsi="Cambria Math" w:cs="Helvetica"/>
                  <w:sz w:val="20"/>
                  <w:szCs w:val="20"/>
                </w:rPr>
                <m:t>DR</m:t>
              </m:r>
            </m:e>
          </m:d>
          <m:r>
            <w:rPr>
              <w:rFonts w:ascii="Cambria Math" w:hAnsi="Cambria Math" w:cs="Helvetica"/>
              <w:sz w:val="20"/>
              <w:szCs w:val="20"/>
            </w:rPr>
            <m:t>∥</m:t>
          </m:r>
        </m:oMath>
      </m:oMathPara>
    </w:p>
    <w:p w14:paraId="30D4BF6C" w14:textId="77777777" w:rsidR="003A22BD" w:rsidRPr="00C940E3" w:rsidRDefault="003A22BD" w:rsidP="003A22BD">
      <w:pPr>
        <w:jc w:val="both"/>
        <w:rPr>
          <w:sz w:val="20"/>
          <w:szCs w:val="20"/>
        </w:rPr>
      </w:pPr>
      <m:oMathPara>
        <m:oMath>
          <m:r>
            <w:rPr>
              <w:rFonts w:ascii="Cambria Math" w:hAnsi="Cambria Math" w:cs="Helvetica"/>
              <w:sz w:val="20"/>
              <w:szCs w:val="20"/>
            </w:rPr>
            <m:t>Signed Disconnection Response ∥TS</m:t>
          </m:r>
        </m:oMath>
      </m:oMathPara>
    </w:p>
    <w:p w14:paraId="6CC04D5A" w14:textId="77777777" w:rsidR="003A22BD" w:rsidRPr="00BA4015" w:rsidRDefault="003A22BD" w:rsidP="003A22BD">
      <w:pPr>
        <w:ind w:firstLine="215"/>
        <w:jc w:val="both"/>
        <w:rPr>
          <w:sz w:val="20"/>
          <w:szCs w:val="20"/>
        </w:rPr>
      </w:pPr>
      <w:r w:rsidRPr="00BA4015">
        <w:rPr>
          <w:sz w:val="20"/>
          <w:szCs w:val="20"/>
        </w:rPr>
        <w:lastRenderedPageBreak/>
        <w:t>TS stand for timestamp in the logs. T</w:t>
      </w:r>
      <w:r>
        <w:rPr>
          <w:sz w:val="20"/>
          <w:szCs w:val="20"/>
        </w:rPr>
        <w:t>imestamps</w:t>
      </w:r>
      <w:r w:rsidRPr="00BA4015">
        <w:rPr>
          <w:sz w:val="20"/>
          <w:szCs w:val="20"/>
        </w:rPr>
        <w:t xml:space="preserve"> are mandatory in the logs to make TTP’s job easier. </w:t>
      </w:r>
    </w:p>
    <w:p w14:paraId="28645B99" w14:textId="77777777" w:rsidR="003A22BD" w:rsidRDefault="003A22BD" w:rsidP="003A22BD">
      <w:pPr>
        <w:ind w:firstLine="215"/>
        <w:jc w:val="both"/>
        <w:rPr>
          <w:sz w:val="20"/>
          <w:szCs w:val="20"/>
        </w:rPr>
      </w:pPr>
      <w:r w:rsidRPr="00BA4015">
        <w:rPr>
          <w:sz w:val="20"/>
          <w:szCs w:val="20"/>
        </w:rPr>
        <w:t>When TTP receives two consecutive logs from an operator:</w:t>
      </w:r>
    </w:p>
    <w:p w14:paraId="2D1AD79F" w14:textId="77777777" w:rsidR="003A22BD" w:rsidRDefault="003A22BD" w:rsidP="003A22BD">
      <w:pPr>
        <w:pStyle w:val="ListParagraph"/>
        <w:numPr>
          <w:ilvl w:val="0"/>
          <w:numId w:val="19"/>
        </w:numPr>
        <w:jc w:val="both"/>
        <w:rPr>
          <w:rFonts w:ascii="Times New Roman" w:hAnsi="Times New Roman" w:cs="Times New Roman"/>
          <w:sz w:val="20"/>
          <w:szCs w:val="20"/>
        </w:rPr>
      </w:pPr>
      <w:r w:rsidRPr="00FE735A">
        <w:rPr>
          <w:rFonts w:ascii="Times New Roman" w:hAnsi="Times New Roman" w:cs="Times New Roman"/>
          <w:sz w:val="20"/>
          <w:szCs w:val="20"/>
        </w:rPr>
        <w:t>TTP will sort the logs according to their TS value.</w:t>
      </w:r>
    </w:p>
    <w:p w14:paraId="79CEBCD5" w14:textId="77777777" w:rsidR="003A22BD" w:rsidRPr="00FE735A" w:rsidRDefault="003A22BD" w:rsidP="003A22BD">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TTP first decrypts CR since it is encrypted with the public key of TTP. CR consists of Alias, Nonce and the first hash token to be used to get service.</w:t>
      </w:r>
    </w:p>
    <w:p w14:paraId="0B2F41ED" w14:textId="77777777" w:rsidR="003A22BD" w:rsidRPr="00BA4015" w:rsidRDefault="003A22BD" w:rsidP="003A22BD">
      <w:pPr>
        <w:pStyle w:val="ListParagraph"/>
        <w:spacing w:after="0" w:line="240" w:lineRule="auto"/>
        <w:ind w:left="0" w:firstLine="215"/>
        <w:jc w:val="both"/>
        <w:rPr>
          <w:rFonts w:cs="Helvetica"/>
          <w:sz w:val="20"/>
          <w:szCs w:val="20"/>
        </w:rPr>
      </w:pPr>
      <w:r w:rsidRPr="00BA4015">
        <w:rPr>
          <w:rFonts w:ascii="Times New Roman" w:hAnsi="Times New Roman" w:cs="Times New Roman"/>
          <w:sz w:val="20"/>
          <w:szCs w:val="20"/>
        </w:rPr>
        <w:t>Consider</w:t>
      </w:r>
    </w:p>
    <w:p w14:paraId="2F00CF08" w14:textId="77777777" w:rsidR="003A22BD" w:rsidRPr="00BA4015" w:rsidRDefault="003A22BD" w:rsidP="003A22BD">
      <w:pPr>
        <w:pStyle w:val="ListParagraph"/>
        <w:spacing w:after="0" w:line="240" w:lineRule="auto"/>
        <w:ind w:left="0" w:firstLine="215"/>
        <w:jc w:val="both"/>
        <w:rPr>
          <w:rFonts w:ascii="Cambria Math" w:hAnsi="Cambria Math" w:cs="Helvetica"/>
          <w:sz w:val="20"/>
          <w:szCs w:val="20"/>
          <w:oMath/>
        </w:rPr>
      </w:pPr>
      <m:oMathPara>
        <m:oMathParaPr>
          <m:jc m:val="center"/>
        </m:oMathParaPr>
        <m:oMath>
          <m:r>
            <w:rPr>
              <w:rFonts w:ascii="Cambria Math" w:hAnsi="Cambria Math" w:cs="Helvetica"/>
              <w:sz w:val="20"/>
              <w:szCs w:val="20"/>
            </w:rPr>
            <m:t xml:space="preserve">CR = </m:t>
          </m:r>
          <m:sSub>
            <m:sSubPr>
              <m:ctrlPr>
                <w:rPr>
                  <w:rFonts w:ascii="Cambria Math" w:hAnsi="Cambria Math" w:cs="Helvetica"/>
                  <w:i/>
                  <w:sz w:val="20"/>
                  <w:szCs w:val="20"/>
                </w:rPr>
              </m:ctrlPr>
            </m:sSubPr>
            <m:e>
              <m:r>
                <w:rPr>
                  <w:rFonts w:ascii="Cambria Math" w:hAnsi="Cambria Math" w:cs="Helvetica"/>
                  <w:sz w:val="20"/>
                  <w:szCs w:val="20"/>
                </w:rPr>
                <m:t>E</m:t>
              </m:r>
            </m:e>
            <m:sub>
              <m:r>
                <w:rPr>
                  <w:rFonts w:ascii="Cambria Math" w:hAnsi="Cambria Math" w:cs="Helvetica"/>
                  <w:sz w:val="20"/>
                  <w:szCs w:val="20"/>
                  <w:vertAlign w:val="subscript"/>
                </w:rPr>
                <m:t>PU-TTP</m:t>
              </m:r>
            </m:sub>
          </m:sSub>
          <m:r>
            <w:rPr>
              <w:rFonts w:ascii="Cambria Math" w:hAnsi="Cambria Math" w:cs="Helvetica"/>
              <w:sz w:val="20"/>
              <w:szCs w:val="20"/>
            </w:rPr>
            <m:t xml:space="preserve"> (N </m:t>
          </m:r>
          <m:r>
            <w:rPr>
              <w:rFonts w:ascii="Cambria Math" w:hAnsi="Cambria Math" w:cs="Helvetica"/>
              <w:color w:val="000000"/>
              <w:sz w:val="20"/>
              <w:szCs w:val="20"/>
              <w:shd w:val="clear" w:color="auto" w:fill="FFFFFF"/>
            </w:rPr>
            <m:t xml:space="preserve">⊕ SN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N </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H</m:t>
              </m:r>
            </m:e>
            <m:sub>
              <m:r>
                <w:rPr>
                  <w:rFonts w:ascii="Cambria Math" w:hAnsi="Cambria Math" w:cs="Helvetica"/>
                  <w:color w:val="000000"/>
                  <w:sz w:val="20"/>
                  <w:szCs w:val="20"/>
                  <w:shd w:val="clear" w:color="auto" w:fill="FFFFFF"/>
                </w:rPr>
                <m:t>f</m:t>
              </m:r>
            </m:sub>
          </m:sSub>
          <m:r>
            <w:rPr>
              <w:rFonts w:ascii="Cambria Math" w:hAnsi="Cambria Math" w:cs="Helvetica"/>
              <w:sz w:val="20"/>
              <w:szCs w:val="20"/>
            </w:rPr>
            <m:t xml:space="preserve">) </m:t>
          </m:r>
        </m:oMath>
      </m:oMathPara>
    </w:p>
    <w:p w14:paraId="4D1326A5" w14:textId="77777777" w:rsidR="003A22BD" w:rsidRPr="00BA4015" w:rsidRDefault="003A22BD" w:rsidP="003A22BD">
      <w:pPr>
        <w:pStyle w:val="ListParagraph"/>
        <w:spacing w:after="0" w:line="240" w:lineRule="auto"/>
        <w:ind w:left="0" w:firstLine="215"/>
        <w:jc w:val="both"/>
        <w:rPr>
          <w:rFonts w:ascii="Times New Roman" w:eastAsiaTheme="minorEastAsia" w:hAnsi="Times New Roman" w:cs="Times New Roman"/>
          <w:sz w:val="20"/>
          <w:szCs w:val="20"/>
        </w:rPr>
      </w:pPr>
      <w:r w:rsidRPr="00BA4015">
        <w:rPr>
          <w:rFonts w:ascii="Times New Roman" w:hAnsi="Times New Roman" w:cs="Times New Roman"/>
          <w:sz w:val="20"/>
          <w:szCs w:val="20"/>
        </w:rPr>
        <w:t>TTP decrypts it using its private key, and gets SN by the XOR operation:</w:t>
      </w:r>
      <w:r>
        <w:rPr>
          <w:rFonts w:ascii="Times New Roman" w:hAnsi="Times New Roman" w:cs="Times New Roman"/>
          <w:sz w:val="20"/>
          <w:szCs w:val="20"/>
        </w:rPr>
        <w:t xml:space="preserve"> </w:t>
      </w:r>
    </w:p>
    <w:p w14:paraId="72BE5F61" w14:textId="77777777" w:rsidR="003A22BD" w:rsidRPr="00BA4015" w:rsidRDefault="003A22BD" w:rsidP="003A22BD">
      <w:pPr>
        <w:pStyle w:val="ListParagraph"/>
        <w:spacing w:after="0" w:line="240" w:lineRule="auto"/>
        <w:ind w:left="0" w:firstLine="215"/>
        <w:jc w:val="both"/>
        <w:rPr>
          <w:rFonts w:cs="Helvetica"/>
          <w:sz w:val="20"/>
          <w:szCs w:val="20"/>
        </w:rPr>
      </w:pPr>
      <m:oMathPara>
        <m:oMathParaPr>
          <m:jc m:val="center"/>
        </m:oMathParaPr>
        <m:oMath>
          <m:r>
            <w:rPr>
              <w:rFonts w:ascii="Cambria Math" w:hAnsi="Cambria Math" w:cs="Helvetica"/>
              <w:sz w:val="20"/>
              <w:szCs w:val="20"/>
            </w:rPr>
            <m:t xml:space="preserve">N </m:t>
          </m:r>
          <m:r>
            <w:rPr>
              <w:rFonts w:ascii="Cambria Math" w:hAnsi="Cambria Math" w:cs="Helvetica"/>
              <w:color w:val="000000"/>
              <w:sz w:val="20"/>
              <w:szCs w:val="20"/>
              <w:shd w:val="clear" w:color="auto" w:fill="FFFFFF"/>
            </w:rPr>
            <m:t>⊕ SN ⊕ N = S</m:t>
          </m:r>
          <m:r>
            <w:rPr>
              <w:rFonts w:ascii="Cambria Math" w:hAnsi="Cambria Math" w:cs="Helvetica"/>
              <w:color w:val="000000"/>
              <w:sz w:val="20"/>
              <w:szCs w:val="20"/>
              <w:shd w:val="clear" w:color="auto" w:fill="FFFFFF"/>
            </w:rPr>
            <m:t>N</m:t>
          </m:r>
        </m:oMath>
      </m:oMathPara>
    </w:p>
    <w:p w14:paraId="0C5E0B78" w14:textId="77777777" w:rsidR="003A22BD" w:rsidRPr="00BA4015" w:rsidRDefault="003A22BD" w:rsidP="003A22BD">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Note that SN’s first token used is H</w:t>
      </w:r>
      <w:r w:rsidRPr="00BA4015">
        <w:rPr>
          <w:rFonts w:ascii="Times New Roman" w:hAnsi="Times New Roman" w:cs="Times New Roman"/>
          <w:sz w:val="20"/>
          <w:szCs w:val="20"/>
          <w:vertAlign w:val="subscript"/>
        </w:rPr>
        <w:t>f</w:t>
      </w:r>
      <w:r w:rsidRPr="00BA4015">
        <w:rPr>
          <w:rFonts w:ascii="Times New Roman" w:hAnsi="Times New Roman" w:cs="Times New Roman"/>
          <w:sz w:val="20"/>
          <w:szCs w:val="20"/>
        </w:rPr>
        <w:t xml:space="preserve">. </w:t>
      </w:r>
    </w:p>
    <w:p w14:paraId="0EEABE8F" w14:textId="77777777" w:rsidR="003A22BD" w:rsidRPr="000B634A" w:rsidRDefault="003A22BD" w:rsidP="003A22BD">
      <w:pPr>
        <w:pStyle w:val="ListParagraph"/>
        <w:numPr>
          <w:ilvl w:val="0"/>
          <w:numId w:val="20"/>
        </w:numPr>
        <w:jc w:val="both"/>
        <w:rPr>
          <w:rFonts w:ascii="Times New Roman" w:hAnsi="Times New Roman" w:cs="Times New Roman"/>
          <w:sz w:val="20"/>
          <w:szCs w:val="20"/>
        </w:rPr>
      </w:pPr>
      <w:r w:rsidRPr="000B634A">
        <w:rPr>
          <w:rFonts w:ascii="Times New Roman" w:hAnsi="Times New Roman" w:cs="Times New Roman"/>
          <w:sz w:val="20"/>
          <w:szCs w:val="20"/>
        </w:rPr>
        <w:t>TTP decrypts the Signed Connection Response using its public key, and gets the alias and the hash token. TTP compares the values with the ones in connection request. If they match, then the log is marked as valid.</w:t>
      </w:r>
    </w:p>
    <w:p w14:paraId="5E9D1DC2" w14:textId="77777777" w:rsidR="003A22BD" w:rsidRPr="000B634A" w:rsidRDefault="003A22BD" w:rsidP="003A22BD">
      <w:pPr>
        <w:pStyle w:val="ListParagraph"/>
        <w:numPr>
          <w:ilvl w:val="0"/>
          <w:numId w:val="20"/>
        </w:numPr>
        <w:jc w:val="both"/>
        <w:rPr>
          <w:rFonts w:ascii="Times New Roman" w:hAnsi="Times New Roman" w:cs="Times New Roman"/>
          <w:sz w:val="20"/>
          <w:szCs w:val="20"/>
        </w:rPr>
      </w:pPr>
      <w:r w:rsidRPr="000B634A">
        <w:rPr>
          <w:rFonts w:ascii="Times New Roman" w:hAnsi="Times New Roman" w:cs="Times New Roman"/>
          <w:sz w:val="20"/>
          <w:szCs w:val="20"/>
        </w:rPr>
        <w:t>The abovementioned log is only a service starter; operator needs to show service-ending log to claim its money from the TTP.</w:t>
      </w:r>
    </w:p>
    <w:p w14:paraId="4C8B82F4" w14:textId="77777777" w:rsidR="003A22BD" w:rsidRPr="00BA4015" w:rsidRDefault="003A22BD" w:rsidP="003A22BD">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Service ending log naturally has a larger TS value; therefore</w:t>
      </w:r>
      <w:r>
        <w:rPr>
          <w:rFonts w:ascii="Times New Roman" w:hAnsi="Times New Roman" w:cs="Times New Roman"/>
          <w:sz w:val="20"/>
          <w:szCs w:val="20"/>
        </w:rPr>
        <w:t xml:space="preserve"> </w:t>
      </w:r>
      <w:r w:rsidRPr="00BA4015">
        <w:rPr>
          <w:rFonts w:ascii="Times New Roman" w:hAnsi="Times New Roman" w:cs="Times New Roman"/>
          <w:sz w:val="20"/>
          <w:szCs w:val="20"/>
        </w:rPr>
        <w:t>this log comes later in the sorted list of logs.</w:t>
      </w:r>
    </w:p>
    <w:p w14:paraId="1F2B9E90" w14:textId="77777777" w:rsidR="003A22BD" w:rsidRPr="00BA4015" w:rsidRDefault="003A22BD" w:rsidP="003A22BD">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lastRenderedPageBreak/>
        <w:t>TTP takes the ending log and decrypts DR using its private key.</w:t>
      </w:r>
    </w:p>
    <w:p w14:paraId="676EBE92" w14:textId="77777777" w:rsidR="003A22BD" w:rsidRPr="00BA4015" w:rsidRDefault="003A22BD" w:rsidP="003A22BD">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TTP gets Alias, Nonce and the hash token from the decrypted DR. TTP makes the</w:t>
      </w:r>
      <w:r>
        <w:rPr>
          <w:rFonts w:ascii="Times New Roman" w:hAnsi="Times New Roman" w:cs="Times New Roman"/>
          <w:sz w:val="20"/>
          <w:szCs w:val="20"/>
        </w:rPr>
        <w:t xml:space="preserve"> </w:t>
      </w:r>
      <w:r w:rsidRPr="00BA4015">
        <w:rPr>
          <w:rFonts w:ascii="Times New Roman" w:hAnsi="Times New Roman" w:cs="Times New Roman"/>
          <w:sz w:val="20"/>
          <w:szCs w:val="20"/>
        </w:rPr>
        <w:t xml:space="preserve">XOR operation: </w:t>
      </w:r>
      <m:oMath>
        <m:r>
          <w:rPr>
            <w:rFonts w:ascii="Cambria Math" w:hAnsi="Cambria Math" w:cs="Times New Roman"/>
            <w:sz w:val="20"/>
            <w:szCs w:val="20"/>
          </w:rPr>
          <m:t xml:space="preserve">N </m:t>
        </m:r>
        <m:r>
          <w:rPr>
            <w:rFonts w:ascii="Cambria Math" w:hAnsi="Cambria Math" w:cs="Times New Roman"/>
            <w:color w:val="000000"/>
            <w:sz w:val="20"/>
            <w:szCs w:val="20"/>
            <w:shd w:val="clear" w:color="auto" w:fill="FFFFFF"/>
          </w:rPr>
          <m:t>⊕ SN ⊕ N = SN</m:t>
        </m:r>
      </m:oMath>
      <w:r>
        <w:rPr>
          <w:rFonts w:ascii="Times New Roman" w:eastAsiaTheme="minorEastAsia" w:hAnsi="Times New Roman" w:cs="Times New Roman"/>
          <w:color w:val="000000"/>
          <w:sz w:val="20"/>
          <w:szCs w:val="20"/>
          <w:shd w:val="clear" w:color="auto" w:fill="FFFFFF"/>
        </w:rPr>
        <w:t xml:space="preserve"> </w:t>
      </w:r>
      <w:r w:rsidRPr="00BA4015">
        <w:rPr>
          <w:rFonts w:ascii="Times New Roman" w:hAnsi="Times New Roman" w:cs="Times New Roman"/>
          <w:bCs/>
          <w:color w:val="000000"/>
          <w:sz w:val="20"/>
          <w:szCs w:val="20"/>
          <w:shd w:val="clear" w:color="auto" w:fill="FFFFFF"/>
        </w:rPr>
        <w:t>and gets the SN. Note that SN used is the hash token came with the DR to end the service.</w:t>
      </w:r>
    </w:p>
    <w:p w14:paraId="1E91D317" w14:textId="77777777" w:rsidR="003A22BD" w:rsidRPr="000B634A" w:rsidRDefault="003A22BD" w:rsidP="003A22BD">
      <w:pPr>
        <w:pStyle w:val="ListParagraph"/>
        <w:numPr>
          <w:ilvl w:val="0"/>
          <w:numId w:val="21"/>
        </w:numPr>
        <w:jc w:val="both"/>
        <w:rPr>
          <w:rFonts w:ascii="Times New Roman" w:hAnsi="Times New Roman" w:cs="Times New Roman"/>
          <w:bCs/>
          <w:color w:val="000000"/>
          <w:sz w:val="20"/>
          <w:szCs w:val="20"/>
          <w:shd w:val="clear" w:color="auto" w:fill="FFFFFF"/>
        </w:rPr>
      </w:pPr>
      <w:r w:rsidRPr="000B634A">
        <w:rPr>
          <w:rFonts w:ascii="Times New Roman" w:hAnsi="Times New Roman" w:cs="Times New Roman"/>
          <w:sz w:val="20"/>
          <w:szCs w:val="20"/>
        </w:rPr>
        <w:t>TTP takes the Signed Disconnection Response and decrypts it using its public key. TTP gets the alias and the hash token from it, and compares the values with the ones came with the DR. If the values match, TTP considers the log as a valid service-ending log.</w:t>
      </w:r>
    </w:p>
    <w:p w14:paraId="5B5BC9FC" w14:textId="77777777" w:rsidR="003A22BD" w:rsidRPr="000B634A" w:rsidRDefault="003A22BD" w:rsidP="003A22BD">
      <w:pPr>
        <w:pStyle w:val="ListParagraph"/>
        <w:numPr>
          <w:ilvl w:val="0"/>
          <w:numId w:val="21"/>
        </w:numPr>
        <w:jc w:val="both"/>
        <w:rPr>
          <w:rFonts w:ascii="Times New Roman" w:hAnsi="Times New Roman" w:cs="Times New Roman"/>
          <w:sz w:val="20"/>
          <w:szCs w:val="20"/>
        </w:rPr>
      </w:pPr>
      <w:r w:rsidRPr="000B634A">
        <w:rPr>
          <w:rFonts w:ascii="Times New Roman" w:hAnsi="Times New Roman" w:cs="Times New Roman"/>
          <w:sz w:val="20"/>
          <w:szCs w:val="20"/>
        </w:rPr>
        <w:t>After validating the logs, TTP performs the hash operation over service ending hash token until it reaches the service starter hash token. TTP counts these hash operations. This count is mapped to funds for the provided service.</w:t>
      </w:r>
    </w:p>
    <w:p w14:paraId="6B609DF6" w14:textId="77777777" w:rsidR="003A22BD"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However the misusage of the logs should be reckoned. Consider the situation of a client:</w:t>
      </w:r>
    </w:p>
    <w:p w14:paraId="7498E944" w14:textId="77777777" w:rsidR="003A22BD" w:rsidRPr="007A477D" w:rsidRDefault="003A22BD" w:rsidP="003A22BD">
      <w:pPr>
        <w:pStyle w:val="ListParagraph"/>
        <w:numPr>
          <w:ilvl w:val="0"/>
          <w:numId w:val="18"/>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her home operator between H</w:t>
      </w:r>
      <w:r w:rsidRPr="00BA4015">
        <w:rPr>
          <w:rFonts w:ascii="Times New Roman" w:hAnsi="Times New Roman" w:cs="Times New Roman"/>
          <w:bCs/>
          <w:color w:val="000000"/>
          <w:sz w:val="20"/>
          <w:szCs w:val="20"/>
          <w:shd w:val="clear" w:color="auto" w:fill="FFFFFF"/>
          <w:vertAlign w:val="subscript"/>
        </w:rPr>
        <w:t>0</w:t>
      </w:r>
      <w:r w:rsidRPr="00BA4015">
        <w:rPr>
          <w:rFonts w:ascii="Times New Roman" w:hAnsi="Times New Roman" w:cs="Times New Roman"/>
          <w:bCs/>
          <w:color w:val="000000"/>
          <w:sz w:val="20"/>
          <w:szCs w:val="20"/>
          <w:shd w:val="clear" w:color="auto" w:fill="FFFFFF"/>
        </w:rPr>
        <w:t xml:space="preserve"> and H</w:t>
      </w:r>
      <w:r w:rsidRPr="00BA4015">
        <w:rPr>
          <w:rFonts w:ascii="Times New Roman" w:hAnsi="Times New Roman" w:cs="Times New Roman"/>
          <w:bCs/>
          <w:color w:val="000000"/>
          <w:sz w:val="20"/>
          <w:szCs w:val="20"/>
          <w:shd w:val="clear" w:color="auto" w:fill="FFFFFF"/>
          <w:vertAlign w:val="subscript"/>
        </w:rPr>
        <w:t>10</w:t>
      </w:r>
    </w:p>
    <w:p w14:paraId="2939BC22" w14:textId="77777777" w:rsidR="003A22BD" w:rsidRPr="007A477D" w:rsidRDefault="003A22BD" w:rsidP="003A22BD">
      <w:pPr>
        <w:pStyle w:val="ListParagraph"/>
        <w:numPr>
          <w:ilvl w:val="0"/>
          <w:numId w:val="18"/>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a foreign operator between H</w:t>
      </w:r>
      <w:r w:rsidRPr="00BA4015">
        <w:rPr>
          <w:rFonts w:ascii="Times New Roman" w:hAnsi="Times New Roman" w:cs="Times New Roman"/>
          <w:bCs/>
          <w:color w:val="000000"/>
          <w:sz w:val="20"/>
          <w:szCs w:val="20"/>
          <w:shd w:val="clear" w:color="auto" w:fill="FFFFFF"/>
          <w:vertAlign w:val="subscript"/>
        </w:rPr>
        <w:t>11</w:t>
      </w:r>
      <w:r w:rsidRPr="00BA4015">
        <w:rPr>
          <w:rFonts w:ascii="Times New Roman" w:hAnsi="Times New Roman" w:cs="Times New Roman"/>
          <w:bCs/>
          <w:color w:val="000000"/>
          <w:sz w:val="20"/>
          <w:szCs w:val="20"/>
          <w:shd w:val="clear" w:color="auto" w:fill="FFFFFF"/>
        </w:rPr>
        <w:t xml:space="preserve"> and H</w:t>
      </w:r>
      <w:r w:rsidRPr="00BA4015">
        <w:rPr>
          <w:rFonts w:ascii="Times New Roman" w:hAnsi="Times New Roman" w:cs="Times New Roman"/>
          <w:bCs/>
          <w:color w:val="000000"/>
          <w:sz w:val="20"/>
          <w:szCs w:val="20"/>
          <w:shd w:val="clear" w:color="auto" w:fill="FFFFFF"/>
          <w:vertAlign w:val="subscript"/>
        </w:rPr>
        <w:t>20</w:t>
      </w:r>
    </w:p>
    <w:p w14:paraId="26F32385" w14:textId="77777777" w:rsidR="003A22BD" w:rsidRPr="007A477D" w:rsidRDefault="003A22BD" w:rsidP="003A22BD">
      <w:pPr>
        <w:pStyle w:val="ListParagraph"/>
        <w:numPr>
          <w:ilvl w:val="0"/>
          <w:numId w:val="18"/>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her home operator between H</w:t>
      </w:r>
      <w:r w:rsidRPr="00BA4015">
        <w:rPr>
          <w:rFonts w:ascii="Times New Roman" w:hAnsi="Times New Roman" w:cs="Times New Roman"/>
          <w:bCs/>
          <w:color w:val="000000"/>
          <w:sz w:val="20"/>
          <w:szCs w:val="20"/>
          <w:shd w:val="clear" w:color="auto" w:fill="FFFFFF"/>
          <w:vertAlign w:val="subscript"/>
        </w:rPr>
        <w:t>21</w:t>
      </w:r>
      <w:r w:rsidRPr="00BA4015">
        <w:rPr>
          <w:rFonts w:ascii="Times New Roman" w:hAnsi="Times New Roman" w:cs="Times New Roman"/>
          <w:bCs/>
          <w:color w:val="000000"/>
          <w:sz w:val="20"/>
          <w:szCs w:val="20"/>
          <w:shd w:val="clear" w:color="auto" w:fill="FFFFFF"/>
        </w:rPr>
        <w:t xml:space="preserve"> and H</w:t>
      </w:r>
      <w:r>
        <w:rPr>
          <w:rFonts w:ascii="Times New Roman" w:hAnsi="Times New Roman" w:cs="Times New Roman"/>
          <w:bCs/>
          <w:color w:val="000000"/>
          <w:sz w:val="20"/>
          <w:szCs w:val="20"/>
          <w:shd w:val="clear" w:color="auto" w:fill="FFFFFF"/>
          <w:vertAlign w:val="subscript"/>
        </w:rPr>
        <w:t>30</w:t>
      </w:r>
    </w:p>
    <w:p w14:paraId="58A65D83" w14:textId="77777777" w:rsidR="003A22BD" w:rsidRPr="00BA4015"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In this type of situation home operator has two CRs and DRs,</w:t>
      </w:r>
      <w:r>
        <w:rPr>
          <w:bCs/>
          <w:color w:val="000000"/>
          <w:sz w:val="20"/>
          <w:szCs w:val="20"/>
          <w:shd w:val="clear" w:color="auto" w:fill="FFFFFF"/>
        </w:rPr>
        <w:t xml:space="preserve"> </w:t>
      </w:r>
      <w:r w:rsidRPr="00BA4015">
        <w:rPr>
          <w:bCs/>
          <w:color w:val="000000"/>
          <w:sz w:val="20"/>
          <w:szCs w:val="20"/>
          <w:shd w:val="clear" w:color="auto" w:fill="FFFFFF"/>
        </w:rPr>
        <w:t>whereas foreign operator has a CR and DR. Home operator has the following logs:</w:t>
      </w:r>
    </w:p>
    <w:p w14:paraId="015E4D46" w14:textId="77777777" w:rsidR="003A22BD" w:rsidRPr="00BA4015" w:rsidRDefault="003A22BD" w:rsidP="003A22BD">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Log1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0</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0</m:t>
                  </m:r>
                </m:sub>
              </m:sSub>
            </m:sub>
          </m:sSub>
        </m:oMath>
      </m:oMathPara>
    </w:p>
    <w:p w14:paraId="19C73260" w14:textId="77777777" w:rsidR="003A22BD" w:rsidRPr="00BA4015" w:rsidRDefault="003A22BD" w:rsidP="003A22BD">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Log2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10</m:t>
                  </m:r>
                </m:sub>
              </m:sSub>
            </m:sub>
          </m:sSub>
          <m:r>
            <w:rPr>
              <w:rFonts w:ascii="Cambria Math" w:hAnsi="Cambria Math" w:cs="Helvetica"/>
              <w:color w:val="000000"/>
              <w:sz w:val="20"/>
              <w:szCs w:val="20"/>
              <w:shd w:val="clear" w:color="auto" w:fill="FFFFFF"/>
            </w:rPr>
            <m:t xml:space="preserve">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10</m:t>
                  </m:r>
                </m:sub>
              </m:sSub>
            </m:sub>
          </m:sSub>
        </m:oMath>
      </m:oMathPara>
    </w:p>
    <w:p w14:paraId="09E44C58" w14:textId="77777777" w:rsidR="003A22BD" w:rsidRPr="00BA4015" w:rsidRDefault="003A22BD" w:rsidP="003A22BD">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Log3 = OpID</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21</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21</m:t>
                  </m:r>
                </m:sub>
              </m:sSub>
            </m:sub>
          </m:sSub>
        </m:oMath>
      </m:oMathPara>
    </w:p>
    <w:p w14:paraId="1651852E" w14:textId="77777777" w:rsidR="003A22BD" w:rsidRPr="00BA4015" w:rsidRDefault="003A22BD" w:rsidP="003A22BD">
      <w:pPr>
        <w:ind w:firstLine="215"/>
        <w:jc w:val="both"/>
        <w:rPr>
          <w:rFonts w:eastAsiaTheme="minorEastAsia" w:cs="Helvetica"/>
          <w:color w:val="000000"/>
          <w:sz w:val="20"/>
          <w:szCs w:val="20"/>
          <w:shd w:val="clear" w:color="auto" w:fill="FFFFFF"/>
        </w:rPr>
      </w:pPr>
      <m:oMathPara>
        <m:oMathParaPr>
          <m:jc m:val="center"/>
        </m:oMathParaPr>
        <m:oMath>
          <m:r>
            <w:rPr>
              <w:rFonts w:ascii="Cambria Math" w:hAnsi="Cambria Math" w:cs="Helvetica"/>
              <w:color w:val="000000"/>
              <w:sz w:val="20"/>
              <w:szCs w:val="20"/>
              <w:shd w:val="clear" w:color="auto" w:fill="FFFFFF"/>
            </w:rPr>
            <m:t>Log4 = OpID</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30</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30</m:t>
                  </m:r>
                </m:sub>
              </m:sSub>
            </m:sub>
          </m:sSub>
        </m:oMath>
      </m:oMathPara>
    </w:p>
    <w:p w14:paraId="506EF031" w14:textId="77777777" w:rsidR="003A22BD" w:rsidRPr="00BA4015"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The home operator has served between H</w:t>
      </w:r>
      <w:r w:rsidRPr="00BA4015">
        <w:rPr>
          <w:bCs/>
          <w:color w:val="000000"/>
          <w:sz w:val="20"/>
          <w:szCs w:val="20"/>
          <w:shd w:val="clear" w:color="auto" w:fill="FFFFFF"/>
          <w:vertAlign w:val="subscript"/>
        </w:rPr>
        <w:t>0</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10</w:t>
      </w:r>
      <w:r w:rsidRPr="0073546A">
        <w:rPr>
          <w:bCs/>
          <w:color w:val="000000"/>
          <w:sz w:val="20"/>
          <w:szCs w:val="20"/>
          <w:shd w:val="clear" w:color="auto" w:fill="FFFFFF"/>
        </w:rPr>
        <w:t xml:space="preserve"> </w:t>
      </w:r>
      <w:r w:rsidRPr="00BA4015">
        <w:rPr>
          <w:bCs/>
          <w:color w:val="000000"/>
          <w:sz w:val="20"/>
          <w:szCs w:val="20"/>
          <w:shd w:val="clear" w:color="auto" w:fill="FFFFFF"/>
        </w:rPr>
        <w:t>and also has served between H</w:t>
      </w:r>
      <w:r w:rsidRPr="00BA4015">
        <w:rPr>
          <w:bCs/>
          <w:color w:val="000000"/>
          <w:sz w:val="20"/>
          <w:szCs w:val="20"/>
          <w:shd w:val="clear" w:color="auto" w:fill="FFFFFF"/>
          <w:vertAlign w:val="subscript"/>
        </w:rPr>
        <w:t>21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30</w:t>
      </w:r>
      <w:r w:rsidRPr="00BA4015">
        <w:rPr>
          <w:bCs/>
          <w:color w:val="000000"/>
          <w:sz w:val="20"/>
          <w:szCs w:val="20"/>
          <w:shd w:val="clear" w:color="auto" w:fill="FFFFFF"/>
        </w:rPr>
        <w:t>. Home operator would want to take the money for serving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It could pretend that it has served the client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by not sending Log2 and Log3. Since Log2 indicates that client is disconnected from the operator at H</w:t>
      </w:r>
      <w:r w:rsidRPr="00BA4015">
        <w:rPr>
          <w:bCs/>
          <w:color w:val="000000"/>
          <w:sz w:val="20"/>
          <w:szCs w:val="20"/>
          <w:shd w:val="clear" w:color="auto" w:fill="FFFFFF"/>
          <w:vertAlign w:val="subscript"/>
        </w:rPr>
        <w:t>10</w:t>
      </w:r>
      <w:r w:rsidRPr="00BA4015">
        <w:rPr>
          <w:bCs/>
          <w:color w:val="000000"/>
          <w:sz w:val="20"/>
          <w:szCs w:val="20"/>
          <w:shd w:val="clear" w:color="auto" w:fill="FFFFFF"/>
        </w:rPr>
        <w:t xml:space="preserve"> and Log3 suggests that the client started to get service from the operator at H</w:t>
      </w:r>
      <w:r w:rsidRPr="00BA4015">
        <w:rPr>
          <w:bCs/>
          <w:color w:val="000000"/>
          <w:sz w:val="20"/>
          <w:szCs w:val="20"/>
          <w:shd w:val="clear" w:color="auto" w:fill="FFFFFF"/>
          <w:vertAlign w:val="subscript"/>
        </w:rPr>
        <w:t>21</w:t>
      </w:r>
      <w:r w:rsidRPr="00BA4015">
        <w:rPr>
          <w:bCs/>
          <w:color w:val="000000"/>
          <w:sz w:val="20"/>
          <w:szCs w:val="20"/>
          <w:shd w:val="clear" w:color="auto" w:fill="FFFFFF"/>
        </w:rPr>
        <w:t>. Sending only Log1 and Log4 results TTP to think that the home operator has served the client between H</w:t>
      </w:r>
      <w:r w:rsidRPr="00BA4015">
        <w:rPr>
          <w:bCs/>
          <w:color w:val="000000"/>
          <w:sz w:val="20"/>
          <w:szCs w:val="20"/>
          <w:shd w:val="clear" w:color="auto" w:fill="FFFFFF"/>
          <w:vertAlign w:val="subscript"/>
        </w:rPr>
        <w:t>0</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30</w:t>
      </w:r>
      <w:r w:rsidRPr="00BA4015">
        <w:rPr>
          <w:bCs/>
          <w:color w:val="000000"/>
          <w:sz w:val="20"/>
          <w:szCs w:val="20"/>
          <w:shd w:val="clear" w:color="auto" w:fill="FFFFFF"/>
        </w:rPr>
        <w:t>. This way operator would want money for serving 30 hash tokens.</w:t>
      </w:r>
    </w:p>
    <w:p w14:paraId="4B016C04" w14:textId="77777777" w:rsidR="003A22BD" w:rsidRPr="00BA4015"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Abovementioned situation</w:t>
      </w:r>
      <w:r>
        <w:rPr>
          <w:bCs/>
          <w:color w:val="000000"/>
          <w:sz w:val="20"/>
          <w:szCs w:val="20"/>
          <w:shd w:val="clear" w:color="auto" w:fill="FFFFFF"/>
        </w:rPr>
        <w:t xml:space="preserve"> </w:t>
      </w:r>
      <w:r w:rsidRPr="00BA4015">
        <w:rPr>
          <w:bCs/>
          <w:color w:val="000000"/>
          <w:sz w:val="20"/>
          <w:szCs w:val="20"/>
          <w:shd w:val="clear" w:color="auto" w:fill="FFFFFF"/>
        </w:rPr>
        <w:t>suggests that there should be another operator, which has served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Second operator would have two logs as follows.</w:t>
      </w:r>
    </w:p>
    <w:p w14:paraId="1099C04E" w14:textId="77777777" w:rsidR="003A22BD" w:rsidRPr="00BA4015" w:rsidRDefault="003A22BD" w:rsidP="003A22BD">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Log5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11</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11</m:t>
                  </m:r>
                </m:sub>
              </m:sSub>
            </m:sub>
          </m:sSub>
        </m:oMath>
      </m:oMathPara>
    </w:p>
    <w:p w14:paraId="7573248F" w14:textId="77777777" w:rsidR="003A22BD" w:rsidRPr="00BA4015" w:rsidRDefault="003A22BD" w:rsidP="003A22BD">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 xml:space="preserve">Log6 = OpID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20</m:t>
                  </m:r>
                </m:sub>
              </m:sSub>
            </m:sub>
          </m:sSub>
          <m:r>
            <w:rPr>
              <w:rFonts w:ascii="Cambria Math" w:hAnsi="Cambria Math" w:cs="Helvetica"/>
              <w:color w:val="000000"/>
              <w:sz w:val="20"/>
              <w:szCs w:val="20"/>
              <w:shd w:val="clear" w:color="auto" w:fill="FFFFFF"/>
            </w:rPr>
            <m:t xml:space="preserve">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20</m:t>
                  </m:r>
                </m:sub>
              </m:sSub>
            </m:sub>
          </m:sSub>
        </m:oMath>
      </m:oMathPara>
    </w:p>
    <w:p w14:paraId="5D4E72F1" w14:textId="77777777" w:rsidR="003A22BD" w:rsidRPr="00BA4015"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Foreign operator proves that it has served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by showing the signed RP and DA. </w:t>
      </w:r>
    </w:p>
    <w:p w14:paraId="259C5E18" w14:textId="77777777" w:rsidR="003A22BD" w:rsidRPr="00BA4015"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TTP would see that it has already paid home operator for service to that particular client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This means that home operator has tricked TTP to pay more. </w:t>
      </w:r>
    </w:p>
    <w:p w14:paraId="101AD16A" w14:textId="7AD290B0" w:rsidR="003A22BD" w:rsidRDefault="003A22BD" w:rsidP="003A22BD">
      <w:pPr>
        <w:pStyle w:val="IEEEParagraph"/>
      </w:pPr>
      <w:r w:rsidRPr="00BA4015">
        <w:rPr>
          <w:bCs/>
          <w:color w:val="000000"/>
          <w:szCs w:val="20"/>
          <w:shd w:val="clear" w:color="auto" w:fill="FFFFFF"/>
        </w:rPr>
        <w:lastRenderedPageBreak/>
        <w:t>In the proposed system TTP is the one who has the authority, it pays operators their money. If the TTP finds an operator misbehaving it could give a penalty to the operator and do not pay for future services, or there could be several other kinds of penalties, since TTP has the proof it could bring the subject to the court as well.</w:t>
      </w:r>
    </w:p>
    <w:p w14:paraId="1E3497C2" w14:textId="77777777" w:rsidR="003C538E" w:rsidRDefault="003C538E" w:rsidP="003C538E">
      <w:pPr>
        <w:pStyle w:val="IEEEHeading1"/>
      </w:pPr>
      <w:r>
        <w:t>Simulation Environment</w:t>
      </w:r>
    </w:p>
    <w:p w14:paraId="62AEB33C" w14:textId="77A38442" w:rsidR="003C538E" w:rsidRDefault="00526646" w:rsidP="00ED7651">
      <w:pPr>
        <w:pStyle w:val="IEEEParagraph"/>
      </w:pPr>
      <w:r>
        <w:t>The network topology is hierarchical</w:t>
      </w:r>
      <w:r w:rsidR="00DF4D2A">
        <w:t xml:space="preserve"> and WMN supports </w:t>
      </w:r>
      <w:r w:rsidR="00C537F9">
        <w:t>connections with other IEEE 802.11 protocols [14, 15], clients communicate</w:t>
      </w:r>
      <w:r>
        <w:t xml:space="preserv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w:t>
      </w:r>
      <w:r w:rsidR="00A86C89">
        <w:t>3</w:t>
      </w:r>
      <w:r w:rsidR="00310105">
        <w:t xml:space="preserve">. </w:t>
      </w:r>
      <w:r w:rsidR="00310105" w:rsidRPr="00854D4F">
        <w:rPr>
          <w:i/>
        </w:rPr>
        <w:t>Update Interval</w:t>
      </w:r>
      <w:r w:rsidR="00310105">
        <w:t xml:space="preserve"> </w:t>
      </w:r>
      <w:r w:rsidR="0056749B">
        <w:t>determines the time value between two update packets that access point send to TTP</w:t>
      </w:r>
      <w:r w:rsidR="00310105">
        <w:t>.</w:t>
      </w:r>
    </w:p>
    <w:p w14:paraId="631EE2C1" w14:textId="77777777" w:rsidR="00310105" w:rsidRDefault="00310105" w:rsidP="00310105">
      <w:pPr>
        <w:pStyle w:val="IEEETableCaption"/>
        <w:spacing w:before="0" w:after="0"/>
      </w:pPr>
    </w:p>
    <w:p w14:paraId="32EDFDC6" w14:textId="75937AA0" w:rsidR="00310105" w:rsidRDefault="00310105" w:rsidP="00310105">
      <w:pPr>
        <w:pStyle w:val="IEEETableCaption"/>
        <w:spacing w:before="0" w:after="0"/>
        <w:ind w:firstLine="215"/>
        <w:rPr>
          <w:noProof/>
        </w:rPr>
      </w:pPr>
      <w:r>
        <w:t xml:space="preserve">TABLE </w:t>
      </w:r>
      <w:r w:rsidR="00344CC4">
        <w:fldChar w:fldCharType="begin"/>
      </w:r>
      <w:r w:rsidR="00344CC4">
        <w:instrText xml:space="preserve"> SEQ TABLE \* ROMAN </w:instrText>
      </w:r>
      <w:r w:rsidR="00344CC4">
        <w:fldChar w:fldCharType="separate"/>
      </w:r>
      <w:r w:rsidR="00741EA2">
        <w:rPr>
          <w:noProof/>
        </w:rPr>
        <w:t>III</w:t>
      </w:r>
      <w:r w:rsidR="00344CC4">
        <w:rPr>
          <w:noProof/>
        </w:rPr>
        <w:fldChar w:fldCharType="end"/>
      </w:r>
    </w:p>
    <w:p w14:paraId="6F2D71D7" w14:textId="77777777" w:rsidR="00310105" w:rsidRDefault="00310105" w:rsidP="00310105">
      <w:pPr>
        <w:pStyle w:val="IEEEParagraph"/>
        <w:jc w:val="center"/>
      </w:pPr>
      <w:r>
        <w:t>AP Specifications</w:t>
      </w:r>
    </w:p>
    <w:tbl>
      <w:tblPr>
        <w:tblStyle w:val="TableGrid"/>
        <w:tblW w:w="0" w:type="auto"/>
        <w:tblLook w:val="04A0" w:firstRow="1" w:lastRow="0" w:firstColumn="1" w:lastColumn="0" w:noHBand="0" w:noVBand="1"/>
      </w:tblPr>
      <w:tblGrid>
        <w:gridCol w:w="2581"/>
        <w:gridCol w:w="2582"/>
      </w:tblGrid>
      <w:tr w:rsidR="00E71709" w14:paraId="103505A3" w14:textId="77777777" w:rsidTr="00344CC4">
        <w:tc>
          <w:tcPr>
            <w:tcW w:w="2581" w:type="dxa"/>
          </w:tcPr>
          <w:p w14:paraId="3D7527F0" w14:textId="77777777" w:rsidR="00E71709" w:rsidRPr="00E71709" w:rsidRDefault="00E71709" w:rsidP="00344CC4">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14:paraId="5289EC24" w14:textId="77777777" w:rsidR="00E71709" w:rsidRPr="00E71709" w:rsidRDefault="00E71709" w:rsidP="00344CC4">
            <w:pPr>
              <w:pStyle w:val="IEEEParagraph"/>
              <w:ind w:firstLine="0"/>
              <w:rPr>
                <w:sz w:val="16"/>
                <w:szCs w:val="16"/>
              </w:rPr>
            </w:pPr>
            <w:r w:rsidRPr="00E71709">
              <w:rPr>
                <w:sz w:val="16"/>
                <w:szCs w:val="16"/>
              </w:rPr>
              <w:t>6-54Mbps – Wi-Fi</w:t>
            </w:r>
          </w:p>
        </w:tc>
      </w:tr>
      <w:tr w:rsidR="00E71709" w14:paraId="368F8730" w14:textId="77777777" w:rsidTr="00344CC4">
        <w:tc>
          <w:tcPr>
            <w:tcW w:w="2581" w:type="dxa"/>
          </w:tcPr>
          <w:p w14:paraId="5D25E88C" w14:textId="77777777" w:rsidR="00E71709" w:rsidRPr="00E71709" w:rsidRDefault="00E71709" w:rsidP="00344CC4">
            <w:pPr>
              <w:pStyle w:val="IEEEParagraph"/>
              <w:ind w:firstLine="0"/>
              <w:rPr>
                <w:sz w:val="16"/>
                <w:szCs w:val="16"/>
              </w:rPr>
            </w:pPr>
            <w:r w:rsidRPr="00E71709">
              <w:rPr>
                <w:sz w:val="16"/>
                <w:szCs w:val="16"/>
              </w:rPr>
              <w:t>AP-Gateway Distance</w:t>
            </w:r>
          </w:p>
        </w:tc>
        <w:tc>
          <w:tcPr>
            <w:tcW w:w="2582" w:type="dxa"/>
          </w:tcPr>
          <w:p w14:paraId="125734C1" w14:textId="77777777" w:rsidR="00E71709" w:rsidRPr="00E71709" w:rsidRDefault="00E71709" w:rsidP="00344CC4">
            <w:pPr>
              <w:pStyle w:val="IEEEParagraph"/>
              <w:ind w:firstLine="0"/>
              <w:rPr>
                <w:sz w:val="16"/>
                <w:szCs w:val="16"/>
              </w:rPr>
            </w:pPr>
            <w:r w:rsidRPr="00E71709">
              <w:rPr>
                <w:sz w:val="16"/>
                <w:szCs w:val="16"/>
              </w:rPr>
              <w:t>100m</w:t>
            </w:r>
          </w:p>
        </w:tc>
      </w:tr>
      <w:tr w:rsidR="00E71709" w14:paraId="2D8CCF49" w14:textId="77777777" w:rsidTr="00344CC4">
        <w:tc>
          <w:tcPr>
            <w:tcW w:w="2581" w:type="dxa"/>
          </w:tcPr>
          <w:p w14:paraId="3B420352" w14:textId="77777777" w:rsidR="00E71709" w:rsidRPr="00E71709" w:rsidRDefault="00E71709" w:rsidP="00344CC4">
            <w:pPr>
              <w:pStyle w:val="IEEEParagraph"/>
              <w:ind w:firstLine="0"/>
              <w:rPr>
                <w:sz w:val="16"/>
                <w:szCs w:val="16"/>
              </w:rPr>
            </w:pPr>
            <w:r w:rsidRPr="00E71709">
              <w:rPr>
                <w:sz w:val="16"/>
                <w:szCs w:val="16"/>
              </w:rPr>
              <w:t>Service Duration per token</w:t>
            </w:r>
          </w:p>
        </w:tc>
        <w:tc>
          <w:tcPr>
            <w:tcW w:w="2582" w:type="dxa"/>
          </w:tcPr>
          <w:p w14:paraId="6E86342F" w14:textId="77777777" w:rsidR="00E71709" w:rsidRPr="00E71709" w:rsidRDefault="00E71709" w:rsidP="00344CC4">
            <w:pPr>
              <w:pStyle w:val="IEEEParagraph"/>
              <w:ind w:firstLine="0"/>
              <w:rPr>
                <w:sz w:val="16"/>
                <w:szCs w:val="16"/>
              </w:rPr>
            </w:pPr>
            <w:r w:rsidRPr="00E71709">
              <w:rPr>
                <w:sz w:val="16"/>
                <w:szCs w:val="16"/>
              </w:rPr>
              <w:t>5minutes</w:t>
            </w:r>
          </w:p>
        </w:tc>
      </w:tr>
      <w:tr w:rsidR="00E71709" w14:paraId="60189967" w14:textId="77777777" w:rsidTr="00344CC4">
        <w:tc>
          <w:tcPr>
            <w:tcW w:w="2581" w:type="dxa"/>
          </w:tcPr>
          <w:p w14:paraId="0DF8DFB1" w14:textId="77777777" w:rsidR="00E71709" w:rsidRPr="00E71709" w:rsidRDefault="00E71709" w:rsidP="00344CC4">
            <w:pPr>
              <w:pStyle w:val="IEEEParagraph"/>
              <w:ind w:firstLine="0"/>
              <w:rPr>
                <w:sz w:val="16"/>
                <w:szCs w:val="16"/>
              </w:rPr>
            </w:pPr>
            <w:r w:rsidRPr="00E71709">
              <w:rPr>
                <w:sz w:val="16"/>
                <w:szCs w:val="16"/>
              </w:rPr>
              <w:t>Update Interval</w:t>
            </w:r>
          </w:p>
        </w:tc>
        <w:tc>
          <w:tcPr>
            <w:tcW w:w="2582" w:type="dxa"/>
          </w:tcPr>
          <w:p w14:paraId="1FAA374F" w14:textId="77777777" w:rsidR="00E71709" w:rsidRPr="00E71709" w:rsidRDefault="00E71709" w:rsidP="00344CC4">
            <w:pPr>
              <w:pStyle w:val="IEEEParagraph"/>
              <w:ind w:firstLine="0"/>
              <w:rPr>
                <w:sz w:val="16"/>
                <w:szCs w:val="16"/>
              </w:rPr>
            </w:pPr>
            <w:r w:rsidRPr="00E71709">
              <w:rPr>
                <w:sz w:val="16"/>
                <w:szCs w:val="16"/>
              </w:rPr>
              <w:t>11 minutes</w:t>
            </w:r>
          </w:p>
        </w:tc>
      </w:tr>
    </w:tbl>
    <w:p w14:paraId="2AC1FE1A" w14:textId="77777777" w:rsidR="008C7709" w:rsidRDefault="008C7709" w:rsidP="00310105">
      <w:pPr>
        <w:pStyle w:val="IEEEParagraph"/>
      </w:pPr>
    </w:p>
    <w:p w14:paraId="6F3E04AF" w14:textId="6099D8FA" w:rsidR="00310105" w:rsidRDefault="003E2D87" w:rsidP="00310105">
      <w:pPr>
        <w:pStyle w:val="IEEEParagraph"/>
      </w:pPr>
      <w:r>
        <w:t>The</w:t>
      </w:r>
      <w:r w:rsidR="008C7709">
        <w:t xml:space="preserve"> network consists of 32 gateways and 100 access points. In unit simulation there is only one mobile client whereas in real-life scenario simulations there are 300 mobile clients.</w:t>
      </w:r>
    </w:p>
    <w:p w14:paraId="3946943A" w14:textId="77777777" w:rsidR="002B53E1" w:rsidRDefault="002B53E1" w:rsidP="002B53E1">
      <w:pPr>
        <w:pStyle w:val="IEEEHeading2"/>
      </w:pPr>
      <w:r>
        <w:t>Public Key Operations and Their Timings</w:t>
      </w:r>
    </w:p>
    <w:p w14:paraId="53DEE3B8" w14:textId="77777777" w:rsidR="00B21E99" w:rsidRDefault="00B21E99" w:rsidP="002B53E1">
      <w:pPr>
        <w:pStyle w:val="IEEEParagraph"/>
      </w:pPr>
      <w:r>
        <w:t>Public Key Cryptography timings for access points and gateways are mentioned in [11]. For operator servers and TTP servers, timings from [12] are used. For mobile clients, performance values from [13] are used. For AES timings the values from [21] are used, which results a 0.00004 second of delay for AES on Linksys WRT54GS. The same value is used for gateways as well. Timings of hash algorithms are taken from [22].</w:t>
      </w:r>
    </w:p>
    <w:p w14:paraId="23529C26" w14:textId="28D2F6A4" w:rsidR="0090045C" w:rsidRDefault="0090045C" w:rsidP="002B53E1">
      <w:pPr>
        <w:pStyle w:val="IEEEParagraph"/>
      </w:pPr>
      <w:r>
        <w:t xml:space="preserve">Platform specifications are shown in Table </w:t>
      </w:r>
      <w:r w:rsidR="00A86C89">
        <w:t>4</w:t>
      </w:r>
      <w:r>
        <w:t xml:space="preserve">, and RSA timings are shown in Table </w:t>
      </w:r>
      <w:r w:rsidR="00A86C89">
        <w:t>5</w:t>
      </w:r>
      <w:r>
        <w:t>.</w:t>
      </w:r>
    </w:p>
    <w:p w14:paraId="333D1720" w14:textId="77777777" w:rsidR="0090045C" w:rsidRDefault="0090045C" w:rsidP="002B53E1">
      <w:pPr>
        <w:pStyle w:val="IEEEParagraph"/>
      </w:pPr>
    </w:p>
    <w:p w14:paraId="49ACFEBE" w14:textId="7DC3D6FD" w:rsidR="0090045C" w:rsidRDefault="0090045C" w:rsidP="0090045C">
      <w:pPr>
        <w:pStyle w:val="IEEETableCaption"/>
        <w:spacing w:before="0" w:after="0"/>
        <w:ind w:firstLine="215"/>
        <w:rPr>
          <w:noProof/>
        </w:rPr>
      </w:pPr>
      <w:r>
        <w:t xml:space="preserve">TABLE </w:t>
      </w:r>
      <w:r w:rsidR="00A86C89">
        <w:t>IV</w:t>
      </w:r>
    </w:p>
    <w:p w14:paraId="0CB589E1" w14:textId="77777777" w:rsidR="0090045C" w:rsidRDefault="0090045C" w:rsidP="0090045C">
      <w:pPr>
        <w:pStyle w:val="IEEEParagraph"/>
        <w:jc w:val="center"/>
      </w:pPr>
      <w:r>
        <w:t>Platform Specifications</w:t>
      </w:r>
    </w:p>
    <w:tbl>
      <w:tblPr>
        <w:tblStyle w:val="TableGrid"/>
        <w:tblW w:w="0" w:type="auto"/>
        <w:tblLook w:val="04A0" w:firstRow="1" w:lastRow="0" w:firstColumn="1" w:lastColumn="0" w:noHBand="0" w:noVBand="1"/>
      </w:tblPr>
      <w:tblGrid>
        <w:gridCol w:w="885"/>
        <w:gridCol w:w="1069"/>
        <w:gridCol w:w="1296"/>
        <w:gridCol w:w="998"/>
        <w:gridCol w:w="991"/>
      </w:tblGrid>
      <w:tr w:rsidR="00E71709" w14:paraId="545D66EF" w14:textId="77777777" w:rsidTr="00E71709">
        <w:tc>
          <w:tcPr>
            <w:tcW w:w="885" w:type="dxa"/>
            <w:vAlign w:val="center"/>
          </w:tcPr>
          <w:p w14:paraId="2B7741D3" w14:textId="77777777" w:rsidR="00E71709" w:rsidRPr="00E71709" w:rsidRDefault="00E71709" w:rsidP="00E71709">
            <w:pPr>
              <w:pStyle w:val="IEEEParagraph"/>
              <w:ind w:firstLine="0"/>
              <w:jc w:val="center"/>
              <w:rPr>
                <w:sz w:val="16"/>
                <w:szCs w:val="16"/>
              </w:rPr>
            </w:pPr>
          </w:p>
        </w:tc>
        <w:tc>
          <w:tcPr>
            <w:tcW w:w="1069" w:type="dxa"/>
            <w:vAlign w:val="center"/>
          </w:tcPr>
          <w:p w14:paraId="19250143" w14:textId="77777777"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14:paraId="3BAE375D" w14:textId="77777777"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14:paraId="258EC454" w14:textId="77777777"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14:paraId="710E8050" w14:textId="77777777"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14:paraId="254E18C4" w14:textId="77777777" w:rsidTr="00E71709">
        <w:tc>
          <w:tcPr>
            <w:tcW w:w="885" w:type="dxa"/>
            <w:vAlign w:val="center"/>
          </w:tcPr>
          <w:p w14:paraId="1E42D1FE" w14:textId="77777777" w:rsidR="00E71709" w:rsidRPr="00E71709" w:rsidRDefault="00E71709" w:rsidP="00E71709">
            <w:pPr>
              <w:jc w:val="center"/>
              <w:rPr>
                <w:sz w:val="16"/>
                <w:szCs w:val="16"/>
              </w:rPr>
            </w:pPr>
            <w:r w:rsidRPr="00E71709">
              <w:rPr>
                <w:sz w:val="16"/>
                <w:szCs w:val="16"/>
              </w:rPr>
              <w:t>CPU Speed</w:t>
            </w:r>
          </w:p>
        </w:tc>
        <w:tc>
          <w:tcPr>
            <w:tcW w:w="1069" w:type="dxa"/>
            <w:vAlign w:val="center"/>
          </w:tcPr>
          <w:p w14:paraId="047EB7B9" w14:textId="77777777" w:rsidR="00E71709" w:rsidRPr="00E71709" w:rsidRDefault="00E71709" w:rsidP="00E71709">
            <w:pPr>
              <w:jc w:val="center"/>
              <w:rPr>
                <w:sz w:val="16"/>
                <w:szCs w:val="16"/>
              </w:rPr>
            </w:pPr>
            <w:r w:rsidRPr="00E71709">
              <w:rPr>
                <w:sz w:val="16"/>
                <w:szCs w:val="16"/>
              </w:rPr>
              <w:t>2.08 GHz</w:t>
            </w:r>
          </w:p>
        </w:tc>
        <w:tc>
          <w:tcPr>
            <w:tcW w:w="1296" w:type="dxa"/>
            <w:vAlign w:val="center"/>
          </w:tcPr>
          <w:p w14:paraId="0C5ADB66" w14:textId="77777777" w:rsidR="00E71709" w:rsidRPr="00E71709" w:rsidRDefault="00E71709" w:rsidP="00E71709">
            <w:pPr>
              <w:jc w:val="center"/>
              <w:rPr>
                <w:sz w:val="16"/>
                <w:szCs w:val="16"/>
              </w:rPr>
            </w:pPr>
            <w:r w:rsidRPr="00E71709">
              <w:rPr>
                <w:sz w:val="16"/>
                <w:szCs w:val="16"/>
              </w:rPr>
              <w:t>200 MHz</w:t>
            </w:r>
          </w:p>
        </w:tc>
        <w:tc>
          <w:tcPr>
            <w:tcW w:w="998" w:type="dxa"/>
            <w:vAlign w:val="center"/>
          </w:tcPr>
          <w:p w14:paraId="149F8B75" w14:textId="77777777" w:rsidR="00E71709" w:rsidRPr="00E71709" w:rsidRDefault="00E71709" w:rsidP="00E71709">
            <w:pPr>
              <w:jc w:val="center"/>
              <w:rPr>
                <w:sz w:val="16"/>
                <w:szCs w:val="16"/>
              </w:rPr>
            </w:pPr>
            <w:r w:rsidRPr="00E71709">
              <w:rPr>
                <w:sz w:val="16"/>
                <w:szCs w:val="16"/>
              </w:rPr>
              <w:t>Dual-core 64 bit 2.8 GHz</w:t>
            </w:r>
          </w:p>
        </w:tc>
        <w:tc>
          <w:tcPr>
            <w:tcW w:w="991" w:type="dxa"/>
            <w:vAlign w:val="center"/>
          </w:tcPr>
          <w:p w14:paraId="47B5D235" w14:textId="77777777" w:rsidR="00E71709" w:rsidRPr="00E71709" w:rsidRDefault="00E71709" w:rsidP="00E71709">
            <w:pPr>
              <w:jc w:val="center"/>
              <w:rPr>
                <w:sz w:val="16"/>
                <w:szCs w:val="16"/>
              </w:rPr>
            </w:pPr>
            <w:r w:rsidRPr="00E71709">
              <w:rPr>
                <w:sz w:val="16"/>
                <w:szCs w:val="16"/>
              </w:rPr>
              <w:t>3.2 GHz</w:t>
            </w:r>
          </w:p>
        </w:tc>
      </w:tr>
      <w:tr w:rsidR="00E71709" w14:paraId="66075F28" w14:textId="77777777" w:rsidTr="00E71709">
        <w:tc>
          <w:tcPr>
            <w:tcW w:w="885" w:type="dxa"/>
            <w:vAlign w:val="center"/>
          </w:tcPr>
          <w:p w14:paraId="4018E50E" w14:textId="77777777" w:rsidR="00E71709" w:rsidRPr="00E71709" w:rsidRDefault="00E71709" w:rsidP="00E71709">
            <w:pPr>
              <w:jc w:val="center"/>
              <w:rPr>
                <w:sz w:val="16"/>
                <w:szCs w:val="16"/>
              </w:rPr>
            </w:pPr>
            <w:r w:rsidRPr="00E71709">
              <w:rPr>
                <w:sz w:val="16"/>
                <w:szCs w:val="16"/>
              </w:rPr>
              <w:t>CPU type</w:t>
            </w:r>
          </w:p>
        </w:tc>
        <w:tc>
          <w:tcPr>
            <w:tcW w:w="1069" w:type="dxa"/>
            <w:vAlign w:val="center"/>
          </w:tcPr>
          <w:p w14:paraId="1618195D" w14:textId="77777777" w:rsidR="00E71709" w:rsidRPr="00E71709" w:rsidRDefault="00E71709" w:rsidP="00E71709">
            <w:pPr>
              <w:jc w:val="center"/>
              <w:rPr>
                <w:sz w:val="16"/>
                <w:szCs w:val="16"/>
              </w:rPr>
            </w:pPr>
            <w:r w:rsidRPr="00E71709">
              <w:rPr>
                <w:sz w:val="16"/>
                <w:szCs w:val="16"/>
              </w:rPr>
              <w:t>AMD Athlon XP 2800</w:t>
            </w:r>
          </w:p>
        </w:tc>
        <w:tc>
          <w:tcPr>
            <w:tcW w:w="1296" w:type="dxa"/>
            <w:vAlign w:val="center"/>
          </w:tcPr>
          <w:p w14:paraId="3591BF01" w14:textId="77777777" w:rsidR="00E71709" w:rsidRPr="00E71709" w:rsidRDefault="00E71709" w:rsidP="00E71709">
            <w:pPr>
              <w:jc w:val="center"/>
              <w:rPr>
                <w:sz w:val="16"/>
                <w:szCs w:val="16"/>
              </w:rPr>
            </w:pPr>
            <w:r w:rsidRPr="00E71709">
              <w:rPr>
                <w:sz w:val="16"/>
                <w:szCs w:val="16"/>
              </w:rPr>
              <w:t>Broadcom MIPS32</w:t>
            </w:r>
          </w:p>
        </w:tc>
        <w:tc>
          <w:tcPr>
            <w:tcW w:w="998" w:type="dxa"/>
            <w:vAlign w:val="center"/>
          </w:tcPr>
          <w:p w14:paraId="33596860" w14:textId="77777777" w:rsidR="00E71709" w:rsidRPr="00E71709" w:rsidRDefault="00E71709" w:rsidP="00E71709">
            <w:pPr>
              <w:jc w:val="center"/>
              <w:rPr>
                <w:sz w:val="16"/>
                <w:szCs w:val="16"/>
              </w:rPr>
            </w:pPr>
            <w:r w:rsidRPr="00E71709">
              <w:rPr>
                <w:sz w:val="16"/>
                <w:szCs w:val="16"/>
              </w:rPr>
              <w:t>Intel Xeon</w:t>
            </w:r>
          </w:p>
        </w:tc>
        <w:tc>
          <w:tcPr>
            <w:tcW w:w="991" w:type="dxa"/>
            <w:vAlign w:val="center"/>
          </w:tcPr>
          <w:p w14:paraId="0805EAA5" w14:textId="77777777" w:rsidR="00E71709" w:rsidRPr="00E71709" w:rsidRDefault="00E71709" w:rsidP="00E71709">
            <w:pPr>
              <w:jc w:val="center"/>
              <w:rPr>
                <w:sz w:val="16"/>
                <w:szCs w:val="16"/>
              </w:rPr>
            </w:pPr>
            <w:r w:rsidRPr="00E71709">
              <w:rPr>
                <w:sz w:val="16"/>
                <w:szCs w:val="16"/>
              </w:rPr>
              <w:t>Celeron D 351</w:t>
            </w:r>
          </w:p>
        </w:tc>
      </w:tr>
      <w:tr w:rsidR="00E71709" w14:paraId="7F13F840" w14:textId="77777777" w:rsidTr="0028352A">
        <w:trPr>
          <w:trHeight w:val="355"/>
        </w:trPr>
        <w:tc>
          <w:tcPr>
            <w:tcW w:w="885" w:type="dxa"/>
            <w:vAlign w:val="center"/>
          </w:tcPr>
          <w:p w14:paraId="43DA699B" w14:textId="77777777" w:rsidR="00E71709" w:rsidRPr="00E71709" w:rsidRDefault="00E71709" w:rsidP="00E71709">
            <w:pPr>
              <w:jc w:val="center"/>
              <w:rPr>
                <w:sz w:val="16"/>
                <w:szCs w:val="16"/>
              </w:rPr>
            </w:pPr>
            <w:r w:rsidRPr="00E71709">
              <w:rPr>
                <w:sz w:val="16"/>
                <w:szCs w:val="16"/>
              </w:rPr>
              <w:t>RAM</w:t>
            </w:r>
          </w:p>
        </w:tc>
        <w:tc>
          <w:tcPr>
            <w:tcW w:w="1069" w:type="dxa"/>
            <w:vAlign w:val="center"/>
          </w:tcPr>
          <w:p w14:paraId="2D12449D" w14:textId="77777777" w:rsidR="00E71709" w:rsidRPr="00E71709" w:rsidRDefault="00E71709" w:rsidP="00E71709">
            <w:pPr>
              <w:jc w:val="center"/>
              <w:rPr>
                <w:sz w:val="16"/>
                <w:szCs w:val="16"/>
              </w:rPr>
            </w:pPr>
            <w:r w:rsidRPr="00E71709">
              <w:rPr>
                <w:sz w:val="16"/>
                <w:szCs w:val="16"/>
              </w:rPr>
              <w:t>512 MB</w:t>
            </w:r>
          </w:p>
        </w:tc>
        <w:tc>
          <w:tcPr>
            <w:tcW w:w="1296" w:type="dxa"/>
            <w:vAlign w:val="center"/>
          </w:tcPr>
          <w:p w14:paraId="30DF04B1" w14:textId="77777777" w:rsidR="00E71709" w:rsidRPr="00E71709" w:rsidRDefault="00E71709" w:rsidP="00E71709">
            <w:pPr>
              <w:jc w:val="center"/>
              <w:rPr>
                <w:sz w:val="16"/>
                <w:szCs w:val="16"/>
              </w:rPr>
            </w:pPr>
            <w:r w:rsidRPr="00E71709">
              <w:rPr>
                <w:sz w:val="16"/>
                <w:szCs w:val="16"/>
              </w:rPr>
              <w:t>32 MB</w:t>
            </w:r>
          </w:p>
        </w:tc>
        <w:tc>
          <w:tcPr>
            <w:tcW w:w="998" w:type="dxa"/>
            <w:vAlign w:val="center"/>
          </w:tcPr>
          <w:p w14:paraId="76C3C2FA" w14:textId="77777777" w:rsidR="00E71709" w:rsidRPr="00E71709" w:rsidRDefault="00E71709" w:rsidP="00E71709">
            <w:pPr>
              <w:jc w:val="center"/>
              <w:rPr>
                <w:sz w:val="16"/>
                <w:szCs w:val="16"/>
              </w:rPr>
            </w:pPr>
            <w:r w:rsidRPr="00E71709">
              <w:rPr>
                <w:sz w:val="16"/>
                <w:szCs w:val="16"/>
              </w:rPr>
              <w:t>-</w:t>
            </w:r>
          </w:p>
        </w:tc>
        <w:tc>
          <w:tcPr>
            <w:tcW w:w="991" w:type="dxa"/>
            <w:vAlign w:val="center"/>
          </w:tcPr>
          <w:p w14:paraId="4F1BF85D" w14:textId="77777777" w:rsidR="00E71709" w:rsidRPr="00E71709" w:rsidRDefault="00E71709" w:rsidP="00E71709">
            <w:pPr>
              <w:jc w:val="center"/>
              <w:rPr>
                <w:sz w:val="16"/>
                <w:szCs w:val="16"/>
              </w:rPr>
            </w:pPr>
            <w:r w:rsidRPr="00E71709">
              <w:rPr>
                <w:sz w:val="16"/>
                <w:szCs w:val="16"/>
              </w:rPr>
              <w:t>-</w:t>
            </w:r>
          </w:p>
        </w:tc>
      </w:tr>
    </w:tbl>
    <w:p w14:paraId="3C27A1BE" w14:textId="77777777" w:rsidR="002B53E1" w:rsidRDefault="002B53E1" w:rsidP="002B53E1">
      <w:pPr>
        <w:pStyle w:val="IEEEParagraph"/>
      </w:pPr>
    </w:p>
    <w:p w14:paraId="5774BE7A" w14:textId="77777777" w:rsidR="00E71709" w:rsidRPr="002B53E1" w:rsidRDefault="00E71709" w:rsidP="002B53E1">
      <w:pPr>
        <w:pStyle w:val="IEEEParagraph"/>
      </w:pPr>
    </w:p>
    <w:p w14:paraId="2D1EC6EA" w14:textId="77777777" w:rsidR="000D3497" w:rsidRDefault="000D3497" w:rsidP="0090045C">
      <w:pPr>
        <w:pStyle w:val="IEEETableCaption"/>
        <w:spacing w:before="0" w:after="0"/>
        <w:ind w:firstLine="215"/>
      </w:pPr>
    </w:p>
    <w:p w14:paraId="34BC40F6" w14:textId="5D1BA1D1" w:rsidR="0090045C" w:rsidRDefault="0090045C" w:rsidP="0090045C">
      <w:pPr>
        <w:pStyle w:val="IEEETableCaption"/>
        <w:spacing w:before="0" w:after="0"/>
        <w:ind w:firstLine="215"/>
        <w:rPr>
          <w:noProof/>
        </w:rPr>
      </w:pPr>
      <w:r>
        <w:t xml:space="preserve">TABLE </w:t>
      </w:r>
      <w:r w:rsidR="000D3497">
        <w:t>V</w:t>
      </w:r>
    </w:p>
    <w:p w14:paraId="3514F3C3" w14:textId="77777777" w:rsidR="00E71709" w:rsidRPr="000D3497" w:rsidRDefault="0090045C" w:rsidP="00E71709">
      <w:pPr>
        <w:pStyle w:val="IEEEParagraph"/>
        <w:jc w:val="center"/>
        <w:rPr>
          <w:sz w:val="16"/>
          <w:szCs w:val="16"/>
        </w:rPr>
      </w:pPr>
      <w:r w:rsidRPr="000D3497">
        <w:rPr>
          <w:sz w:val="16"/>
          <w:szCs w:val="16"/>
        </w:rPr>
        <w:t>RSA-2048 Timings</w:t>
      </w:r>
    </w:p>
    <w:tbl>
      <w:tblPr>
        <w:tblStyle w:val="TableGrid"/>
        <w:tblW w:w="0" w:type="auto"/>
        <w:tblLook w:val="04A0" w:firstRow="1" w:lastRow="0" w:firstColumn="1" w:lastColumn="0" w:noHBand="0" w:noVBand="1"/>
      </w:tblPr>
      <w:tblGrid>
        <w:gridCol w:w="990"/>
        <w:gridCol w:w="1047"/>
        <w:gridCol w:w="1269"/>
        <w:gridCol w:w="971"/>
        <w:gridCol w:w="962"/>
      </w:tblGrid>
      <w:tr w:rsidR="0035568C" w14:paraId="73D50584" w14:textId="77777777" w:rsidTr="0035568C">
        <w:tc>
          <w:tcPr>
            <w:tcW w:w="885" w:type="dxa"/>
            <w:vAlign w:val="center"/>
          </w:tcPr>
          <w:p w14:paraId="7FD843DF" w14:textId="77777777" w:rsidR="0035568C" w:rsidRPr="0035568C" w:rsidRDefault="0035568C" w:rsidP="0035568C">
            <w:pPr>
              <w:pStyle w:val="IEEEParagraph"/>
              <w:ind w:firstLine="0"/>
              <w:jc w:val="center"/>
              <w:rPr>
                <w:sz w:val="16"/>
                <w:szCs w:val="16"/>
              </w:rPr>
            </w:pPr>
          </w:p>
        </w:tc>
        <w:tc>
          <w:tcPr>
            <w:tcW w:w="1069" w:type="dxa"/>
            <w:vAlign w:val="center"/>
          </w:tcPr>
          <w:p w14:paraId="26B0BF85" w14:textId="77777777"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14:paraId="65B00E62" w14:textId="77777777"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14:paraId="2E24A0DE" w14:textId="77777777"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14:paraId="4E3C2144" w14:textId="77777777"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14:paraId="4C694805" w14:textId="77777777" w:rsidTr="0035568C">
        <w:tc>
          <w:tcPr>
            <w:tcW w:w="885" w:type="dxa"/>
            <w:vAlign w:val="center"/>
          </w:tcPr>
          <w:p w14:paraId="4E4194A9"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14:paraId="44F0ED0A" w14:textId="77777777" w:rsidR="0035568C" w:rsidRPr="0035568C" w:rsidRDefault="00761617" w:rsidP="0035568C">
            <w:pPr>
              <w:jc w:val="center"/>
              <w:rPr>
                <w:sz w:val="16"/>
                <w:szCs w:val="16"/>
              </w:rPr>
            </w:pPr>
            <w:r>
              <w:rPr>
                <w:sz w:val="16"/>
                <w:szCs w:val="16"/>
              </w:rPr>
              <w:t>1.3</w:t>
            </w:r>
            <w:r w:rsidR="0035568C" w:rsidRPr="0035568C">
              <w:rPr>
                <w:sz w:val="16"/>
                <w:szCs w:val="16"/>
              </w:rPr>
              <w:t xml:space="preserve"> </w:t>
            </w:r>
            <w:proofErr w:type="spellStart"/>
            <w:r w:rsidR="0035568C" w:rsidRPr="0035568C">
              <w:rPr>
                <w:sz w:val="16"/>
                <w:szCs w:val="16"/>
              </w:rPr>
              <w:t>ms</w:t>
            </w:r>
            <w:proofErr w:type="spellEnd"/>
          </w:p>
        </w:tc>
        <w:tc>
          <w:tcPr>
            <w:tcW w:w="1296" w:type="dxa"/>
            <w:vAlign w:val="center"/>
          </w:tcPr>
          <w:p w14:paraId="69C263B5" w14:textId="77777777" w:rsidR="0035568C" w:rsidRPr="0035568C" w:rsidRDefault="00761617" w:rsidP="00761617">
            <w:pPr>
              <w:jc w:val="center"/>
              <w:rPr>
                <w:sz w:val="16"/>
                <w:szCs w:val="16"/>
              </w:rPr>
            </w:pPr>
            <w:r>
              <w:rPr>
                <w:sz w:val="16"/>
                <w:szCs w:val="16"/>
              </w:rPr>
              <w:t>37.9</w:t>
            </w:r>
            <w:r w:rsidR="0035568C" w:rsidRPr="0035568C">
              <w:rPr>
                <w:sz w:val="16"/>
                <w:szCs w:val="16"/>
              </w:rPr>
              <w:t xml:space="preserve"> </w:t>
            </w:r>
            <w:proofErr w:type="spellStart"/>
            <w:r w:rsidR="0035568C" w:rsidRPr="0035568C">
              <w:rPr>
                <w:sz w:val="16"/>
                <w:szCs w:val="16"/>
              </w:rPr>
              <w:t>ms</w:t>
            </w:r>
            <w:proofErr w:type="spellEnd"/>
          </w:p>
        </w:tc>
        <w:tc>
          <w:tcPr>
            <w:tcW w:w="998" w:type="dxa"/>
            <w:vAlign w:val="center"/>
          </w:tcPr>
          <w:p w14:paraId="6178171B" w14:textId="77777777" w:rsidR="0035568C" w:rsidRPr="0035568C" w:rsidRDefault="00761617" w:rsidP="00761617">
            <w:pPr>
              <w:jc w:val="center"/>
              <w:rPr>
                <w:sz w:val="16"/>
                <w:szCs w:val="16"/>
              </w:rPr>
            </w:pPr>
            <w:r w:rsidRPr="00761617">
              <w:rPr>
                <w:sz w:val="16"/>
                <w:szCs w:val="16"/>
              </w:rPr>
              <w:t>8.13</w:t>
            </w:r>
            <w:r>
              <w:rPr>
                <w:sz w:val="16"/>
                <w:szCs w:val="16"/>
              </w:rPr>
              <w:t xml:space="preserve"> </w:t>
            </w:r>
            <w:proofErr w:type="spellStart"/>
            <w:r w:rsidRPr="00761617">
              <w:rPr>
                <w:sz w:val="16"/>
                <w:szCs w:val="16"/>
              </w:rPr>
              <w:t>ms</w:t>
            </w:r>
            <w:proofErr w:type="spellEnd"/>
          </w:p>
        </w:tc>
        <w:tc>
          <w:tcPr>
            <w:tcW w:w="991" w:type="dxa"/>
            <w:vAlign w:val="center"/>
          </w:tcPr>
          <w:p w14:paraId="571B466A" w14:textId="77777777" w:rsidR="0035568C" w:rsidRPr="0035568C" w:rsidRDefault="009466DE" w:rsidP="0035568C">
            <w:pPr>
              <w:jc w:val="center"/>
              <w:rPr>
                <w:sz w:val="16"/>
                <w:szCs w:val="16"/>
              </w:rPr>
            </w:pPr>
            <w:r>
              <w:rPr>
                <w:sz w:val="16"/>
                <w:szCs w:val="16"/>
              </w:rPr>
              <w:t>1.8</w:t>
            </w:r>
            <w:r w:rsidR="0035568C" w:rsidRPr="0035568C">
              <w:rPr>
                <w:sz w:val="16"/>
                <w:szCs w:val="16"/>
              </w:rPr>
              <w:t xml:space="preserve"> </w:t>
            </w:r>
            <w:proofErr w:type="spellStart"/>
            <w:r w:rsidR="0035568C" w:rsidRPr="0035568C">
              <w:rPr>
                <w:sz w:val="16"/>
                <w:szCs w:val="16"/>
              </w:rPr>
              <w:t>ms</w:t>
            </w:r>
            <w:proofErr w:type="spellEnd"/>
          </w:p>
        </w:tc>
      </w:tr>
      <w:tr w:rsidR="0035568C" w14:paraId="6823084D" w14:textId="77777777" w:rsidTr="0035568C">
        <w:tc>
          <w:tcPr>
            <w:tcW w:w="885" w:type="dxa"/>
            <w:vAlign w:val="center"/>
          </w:tcPr>
          <w:p w14:paraId="7DFCB6CA" w14:textId="77777777" w:rsidR="0035568C" w:rsidRPr="0035568C" w:rsidRDefault="0035568C" w:rsidP="00761617">
            <w:pPr>
              <w:jc w:val="center"/>
              <w:rPr>
                <w:sz w:val="16"/>
                <w:szCs w:val="16"/>
              </w:rPr>
            </w:pPr>
            <w:r w:rsidRPr="0035568C">
              <w:rPr>
                <w:sz w:val="16"/>
                <w:szCs w:val="16"/>
              </w:rPr>
              <w:lastRenderedPageBreak/>
              <w:t xml:space="preserve">RSA </w:t>
            </w:r>
            <w:r w:rsidR="00761617">
              <w:rPr>
                <w:sz w:val="16"/>
                <w:szCs w:val="16"/>
              </w:rPr>
              <w:t>Verification</w:t>
            </w:r>
          </w:p>
        </w:tc>
        <w:tc>
          <w:tcPr>
            <w:tcW w:w="1069" w:type="dxa"/>
            <w:vAlign w:val="center"/>
          </w:tcPr>
          <w:p w14:paraId="62FD4E74" w14:textId="77777777" w:rsidR="0035568C" w:rsidRPr="0035568C" w:rsidRDefault="00761617" w:rsidP="0035568C">
            <w:pPr>
              <w:jc w:val="center"/>
              <w:rPr>
                <w:sz w:val="16"/>
                <w:szCs w:val="16"/>
              </w:rPr>
            </w:pPr>
            <w:r>
              <w:rPr>
                <w:sz w:val="16"/>
                <w:szCs w:val="16"/>
              </w:rPr>
              <w:t>47.3</w:t>
            </w:r>
            <w:r w:rsidR="0035568C" w:rsidRPr="0035568C">
              <w:rPr>
                <w:sz w:val="16"/>
                <w:szCs w:val="16"/>
              </w:rPr>
              <w:t xml:space="preserve"> </w:t>
            </w:r>
            <w:proofErr w:type="spellStart"/>
            <w:r w:rsidR="0035568C" w:rsidRPr="0035568C">
              <w:rPr>
                <w:sz w:val="16"/>
                <w:szCs w:val="16"/>
              </w:rPr>
              <w:t>ms</w:t>
            </w:r>
            <w:proofErr w:type="spellEnd"/>
          </w:p>
        </w:tc>
        <w:tc>
          <w:tcPr>
            <w:tcW w:w="1296" w:type="dxa"/>
            <w:vAlign w:val="center"/>
          </w:tcPr>
          <w:p w14:paraId="2AB7A7B6" w14:textId="77777777" w:rsidR="0035568C" w:rsidRPr="0035568C" w:rsidRDefault="00761617" w:rsidP="0035568C">
            <w:pPr>
              <w:jc w:val="center"/>
              <w:rPr>
                <w:sz w:val="16"/>
                <w:szCs w:val="16"/>
              </w:rPr>
            </w:pPr>
            <w:r>
              <w:rPr>
                <w:sz w:val="16"/>
                <w:szCs w:val="16"/>
              </w:rPr>
              <w:t>1529.0</w:t>
            </w:r>
            <w:r w:rsidR="0035568C" w:rsidRPr="0035568C">
              <w:rPr>
                <w:sz w:val="16"/>
                <w:szCs w:val="16"/>
              </w:rPr>
              <w:t xml:space="preserve"> </w:t>
            </w:r>
            <w:proofErr w:type="spellStart"/>
            <w:r w:rsidR="0035568C" w:rsidRPr="0035568C">
              <w:rPr>
                <w:sz w:val="16"/>
                <w:szCs w:val="16"/>
              </w:rPr>
              <w:t>ms</w:t>
            </w:r>
            <w:proofErr w:type="spellEnd"/>
          </w:p>
        </w:tc>
        <w:tc>
          <w:tcPr>
            <w:tcW w:w="998" w:type="dxa"/>
            <w:vAlign w:val="center"/>
          </w:tcPr>
          <w:p w14:paraId="62A9B659" w14:textId="77777777" w:rsidR="0035568C" w:rsidRPr="0035568C" w:rsidRDefault="00761617" w:rsidP="00761617">
            <w:pPr>
              <w:jc w:val="center"/>
              <w:rPr>
                <w:sz w:val="16"/>
                <w:szCs w:val="16"/>
              </w:rPr>
            </w:pPr>
            <w:r w:rsidRPr="00761617">
              <w:rPr>
                <w:sz w:val="16"/>
                <w:szCs w:val="16"/>
              </w:rPr>
              <w:t>0.32</w:t>
            </w:r>
            <w:r>
              <w:rPr>
                <w:sz w:val="16"/>
                <w:szCs w:val="16"/>
              </w:rPr>
              <w:t xml:space="preserve"> </w:t>
            </w:r>
            <w:proofErr w:type="spellStart"/>
            <w:r w:rsidRPr="00761617">
              <w:rPr>
                <w:sz w:val="16"/>
                <w:szCs w:val="16"/>
              </w:rPr>
              <w:t>ms</w:t>
            </w:r>
            <w:proofErr w:type="spellEnd"/>
          </w:p>
        </w:tc>
        <w:tc>
          <w:tcPr>
            <w:tcW w:w="991" w:type="dxa"/>
            <w:vAlign w:val="center"/>
          </w:tcPr>
          <w:p w14:paraId="23C56E3E" w14:textId="77777777" w:rsidR="0035568C" w:rsidRPr="0035568C" w:rsidRDefault="0035568C" w:rsidP="0035568C">
            <w:pPr>
              <w:jc w:val="center"/>
              <w:rPr>
                <w:sz w:val="16"/>
                <w:szCs w:val="16"/>
              </w:rPr>
            </w:pPr>
            <w:r w:rsidRPr="0035568C">
              <w:rPr>
                <w:sz w:val="16"/>
                <w:szCs w:val="16"/>
              </w:rPr>
              <w:t>-</w:t>
            </w:r>
          </w:p>
        </w:tc>
      </w:tr>
    </w:tbl>
    <w:p w14:paraId="230272A0" w14:textId="77777777" w:rsidR="00E71709" w:rsidRDefault="00E71709" w:rsidP="00E71709">
      <w:pPr>
        <w:pStyle w:val="IEEEParagraph"/>
        <w:jc w:val="center"/>
      </w:pPr>
    </w:p>
    <w:p w14:paraId="7B05A532" w14:textId="77777777" w:rsidR="003A22BD" w:rsidRDefault="003A22BD" w:rsidP="00E71709">
      <w:pPr>
        <w:pStyle w:val="IEEEParagraph"/>
        <w:jc w:val="center"/>
      </w:pPr>
    </w:p>
    <w:p w14:paraId="2FF4393F" w14:textId="77777777" w:rsidR="00542C85" w:rsidRDefault="00A14592" w:rsidP="00425374">
      <w:pPr>
        <w:pStyle w:val="IEEEHeading1"/>
      </w:pPr>
      <w:r>
        <w:t>Unit Test Results</w:t>
      </w:r>
    </w:p>
    <w:p w14:paraId="4744E68D" w14:textId="77777777"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14:paraId="394D7FB2"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6D28ACA6" w14:textId="77777777" w:rsidR="00C45937" w:rsidRDefault="00C45937" w:rsidP="00C45937">
      <w:pPr>
        <w:pStyle w:val="IEEEHeading2"/>
        <w:numPr>
          <w:ilvl w:val="1"/>
          <w:numId w:val="7"/>
        </w:numPr>
        <w:rPr>
          <w:lang w:val="en-GB"/>
        </w:rPr>
      </w:pPr>
      <w:r>
        <w:rPr>
          <w:lang w:val="en-GB"/>
        </w:rPr>
        <w:t>Results for End-to-End Two-Way Protocols</w:t>
      </w:r>
    </w:p>
    <w:p w14:paraId="4C74461A"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3B23F92" w14:textId="77777777" w:rsidR="00C45937" w:rsidRDefault="00C45937" w:rsidP="00C45937">
      <w:pPr>
        <w:pStyle w:val="IEEEParagraph"/>
      </w:pPr>
      <w:r>
        <w:t>Figure 8 gives the result for unit test of end-to-end two-way protocols.</w:t>
      </w:r>
    </w:p>
    <w:p w14:paraId="083D7BA4" w14:textId="77777777" w:rsidR="00C45937" w:rsidRDefault="006A30B1" w:rsidP="00C45937">
      <w:pPr>
        <w:pStyle w:val="IEEEParagraph"/>
        <w:jc w:val="center"/>
      </w:pPr>
      <w:r>
        <w:rPr>
          <w:noProof/>
          <w:lang w:val="en-US" w:eastAsia="en-US"/>
        </w:rPr>
        <w:drawing>
          <wp:inline distT="0" distB="0" distL="0" distR="0" wp14:anchorId="075862E8" wp14:editId="64D70877">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39BCED83" w14:textId="736FFF21" w:rsidR="00977C7C" w:rsidRDefault="00977C7C" w:rsidP="00977C7C">
      <w:pPr>
        <w:pStyle w:val="Caption"/>
        <w:rPr>
          <w:szCs w:val="16"/>
        </w:rPr>
      </w:pPr>
      <w:r>
        <w:t xml:space="preserve">Figure </w:t>
      </w:r>
      <w:r w:rsidR="000D3497">
        <w:t>8</w:t>
      </w:r>
      <w:r>
        <w:t>. Unit Test Result</w:t>
      </w:r>
      <w:r>
        <w:rPr>
          <w:szCs w:val="16"/>
        </w:rPr>
        <w:t xml:space="preserve"> for</w:t>
      </w:r>
      <w:r>
        <w:t xml:space="preserve"> End-to-End Two-Way Protocols</w:t>
      </w:r>
    </w:p>
    <w:p w14:paraId="1FF09781" w14:textId="77777777" w:rsidR="00392783" w:rsidRPr="00977C7C" w:rsidRDefault="00392783" w:rsidP="00977C7C">
      <w:pPr>
        <w:pStyle w:val="IEEEParagraph"/>
        <w:rPr>
          <w:szCs w:val="20"/>
        </w:rPr>
      </w:pPr>
    </w:p>
    <w:p w14:paraId="6BF0EC54"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14A742C3" w14:textId="77777777" w:rsidR="00374371" w:rsidRDefault="00374371" w:rsidP="00374371">
      <w:pPr>
        <w:pStyle w:val="IEEEHeading2"/>
        <w:numPr>
          <w:ilvl w:val="1"/>
          <w:numId w:val="7"/>
        </w:numPr>
        <w:rPr>
          <w:lang w:val="en-GB"/>
        </w:rPr>
      </w:pPr>
      <w:r>
        <w:rPr>
          <w:lang w:val="en-GB"/>
        </w:rPr>
        <w:t>Results for Access Point Authentication</w:t>
      </w:r>
      <w:r w:rsidR="00F9342B">
        <w:rPr>
          <w:lang w:val="en-GB"/>
        </w:rPr>
        <w:t xml:space="preserve"> Protocol</w:t>
      </w:r>
    </w:p>
    <w:p w14:paraId="6FB8EA36"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23FDFC60" w14:textId="77777777" w:rsidR="00374371" w:rsidRDefault="00392783" w:rsidP="00A14592">
      <w:pPr>
        <w:pStyle w:val="IEEEParagraph"/>
        <w:rPr>
          <w:szCs w:val="20"/>
        </w:rPr>
      </w:pPr>
      <w:r>
        <w:rPr>
          <w:szCs w:val="20"/>
        </w:rPr>
        <w:t xml:space="preserve">Unit test for this protocol contains a user, trying to run access point authentication protocol with a serving access </w:t>
      </w:r>
      <w:r>
        <w:rPr>
          <w:szCs w:val="20"/>
        </w:rPr>
        <w:lastRenderedPageBreak/>
        <w:t>point every minute. The resulting chart, presented on Figure 9, shows the average delay of the protocol versus time.</w:t>
      </w:r>
    </w:p>
    <w:p w14:paraId="61C7B1EF" w14:textId="77777777" w:rsidR="00392783" w:rsidRDefault="006A30B1" w:rsidP="00392783">
      <w:pPr>
        <w:pStyle w:val="IEEEParagraph"/>
        <w:jc w:val="center"/>
      </w:pPr>
      <w:r>
        <w:rPr>
          <w:noProof/>
          <w:lang w:val="en-US" w:eastAsia="en-US"/>
        </w:rPr>
        <w:drawing>
          <wp:inline distT="0" distB="0" distL="0" distR="0" wp14:anchorId="286CA130" wp14:editId="6A706DC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5020D78" w14:textId="2A2533AD" w:rsidR="00977C7C" w:rsidRDefault="00977C7C" w:rsidP="00977C7C">
      <w:pPr>
        <w:pStyle w:val="Caption"/>
        <w:rPr>
          <w:szCs w:val="16"/>
        </w:rPr>
      </w:pPr>
      <w:r>
        <w:t xml:space="preserve">Figure </w:t>
      </w:r>
      <w:r w:rsidR="000D3497">
        <w:t>9</w:t>
      </w:r>
      <w:r>
        <w:t>. Unit Test Result for Access Point Authentication Protocol</w:t>
      </w:r>
    </w:p>
    <w:p w14:paraId="7ACB80CB" w14:textId="77777777" w:rsidR="00392783" w:rsidRPr="00977C7C" w:rsidRDefault="00392783" w:rsidP="00392783">
      <w:pPr>
        <w:pStyle w:val="IEEEParagraph"/>
        <w:rPr>
          <w:szCs w:val="20"/>
        </w:rPr>
      </w:pPr>
    </w:p>
    <w:p w14:paraId="6C18E188"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11910CEE" w14:textId="77777777" w:rsidR="00B96CC2" w:rsidRDefault="00B96CC2" w:rsidP="00B96CC2">
      <w:pPr>
        <w:pStyle w:val="IEEEHeading2"/>
        <w:numPr>
          <w:ilvl w:val="1"/>
          <w:numId w:val="7"/>
        </w:numPr>
        <w:rPr>
          <w:lang w:val="en-GB"/>
        </w:rPr>
      </w:pPr>
      <w:r>
        <w:rPr>
          <w:lang w:val="en-GB"/>
        </w:rPr>
        <w:t>Results for Seamless Mobility and Roaming</w:t>
      </w:r>
      <w:r w:rsidR="00F9342B">
        <w:rPr>
          <w:lang w:val="en-GB"/>
        </w:rPr>
        <w:t xml:space="preserve"> Protocols</w:t>
      </w:r>
    </w:p>
    <w:p w14:paraId="04A9B6F2"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14:paraId="7DDC0307"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C6D2EAE" w14:textId="77777777" w:rsidR="0024228F" w:rsidRDefault="0024228F" w:rsidP="00392783">
      <w:pPr>
        <w:pStyle w:val="IEEEParagraph"/>
      </w:pPr>
      <w:r>
        <w:t>Figure 10 presents the unit test result for Seamless Mobility and Roaming protocols.</w:t>
      </w:r>
    </w:p>
    <w:p w14:paraId="03A4D542" w14:textId="77777777" w:rsidR="0024228F" w:rsidRDefault="006A30B1" w:rsidP="0024228F">
      <w:pPr>
        <w:pStyle w:val="IEEEParagraph"/>
        <w:jc w:val="center"/>
      </w:pPr>
      <w:r>
        <w:rPr>
          <w:noProof/>
          <w:lang w:val="en-US" w:eastAsia="en-US"/>
        </w:rPr>
        <w:drawing>
          <wp:inline distT="0" distB="0" distL="0" distR="0" wp14:anchorId="762F4B3E" wp14:editId="0F668A54">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595E4D2" w14:textId="50A336F8" w:rsidR="009374DF" w:rsidRDefault="009374DF" w:rsidP="009374DF">
      <w:pPr>
        <w:pStyle w:val="Caption"/>
        <w:rPr>
          <w:szCs w:val="16"/>
        </w:rPr>
      </w:pPr>
      <w:r>
        <w:t xml:space="preserve">Figure </w:t>
      </w:r>
      <w:r w:rsidR="000D3497">
        <w:t>10</w:t>
      </w:r>
      <w:r>
        <w:t>. Unit Test Result for Seamless Mobility and Roaming Protocols</w:t>
      </w:r>
    </w:p>
    <w:p w14:paraId="42782DB2" w14:textId="77777777" w:rsidR="0024228F" w:rsidRDefault="0024228F" w:rsidP="00F20BBB">
      <w:pPr>
        <w:pStyle w:val="IEEEParagraph"/>
      </w:pPr>
    </w:p>
    <w:p w14:paraId="177DE49A"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w:t>
      </w:r>
      <w:r>
        <w:lastRenderedPageBreak/>
        <w:t>simulations, however it reaches steady state in time and gains balance.</w:t>
      </w:r>
    </w:p>
    <w:p w14:paraId="53B7A0BD" w14:textId="77777777" w:rsidR="00BD55F1" w:rsidRDefault="00BD55F1" w:rsidP="00BD55F1">
      <w:pPr>
        <w:pStyle w:val="IEEEHeading2"/>
        <w:numPr>
          <w:ilvl w:val="1"/>
          <w:numId w:val="7"/>
        </w:numPr>
        <w:rPr>
          <w:lang w:val="en-GB"/>
        </w:rPr>
      </w:pPr>
      <w:r>
        <w:rPr>
          <w:lang w:val="en-GB"/>
        </w:rPr>
        <w:t>Results for Packet Transfer</w:t>
      </w:r>
      <w:r w:rsidR="0085217B">
        <w:rPr>
          <w:lang w:val="en-GB"/>
        </w:rPr>
        <w:t xml:space="preserve"> </w:t>
      </w:r>
      <w:r w:rsidR="00F9342B">
        <w:rPr>
          <w:lang w:val="en-GB"/>
        </w:rPr>
        <w:t>Protocol</w:t>
      </w:r>
    </w:p>
    <w:p w14:paraId="469E66B9" w14:textId="77777777" w:rsidR="00BD55F1" w:rsidRDefault="00BD55F1" w:rsidP="00F20BBB">
      <w:pPr>
        <w:pStyle w:val="IEEEParagraph"/>
      </w:pPr>
      <w:r>
        <w:t xml:space="preserve">Packet transfer is the mostly used protocol in the system. It is crucial to have small amount of network delay for this protocol because of </w:t>
      </w:r>
      <w:r w:rsidR="00332779">
        <w:t>it’s</w:t>
      </w:r>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45D7AEE8" w14:textId="77777777" w:rsidR="00BD55F1" w:rsidRDefault="00BD55F1" w:rsidP="00F20BBB">
      <w:pPr>
        <w:pStyle w:val="IEEEParagraph"/>
      </w:pPr>
      <w:r>
        <w:t>Figure 11 shows the unit test result for Packet Transfer protocol.</w:t>
      </w:r>
    </w:p>
    <w:p w14:paraId="7E5DE31A" w14:textId="77777777" w:rsidR="00BD55F1" w:rsidRDefault="006A30B1" w:rsidP="00BD55F1">
      <w:pPr>
        <w:pStyle w:val="IEEEParagraph"/>
        <w:jc w:val="center"/>
      </w:pPr>
      <w:r>
        <w:rPr>
          <w:noProof/>
          <w:lang w:val="en-US" w:eastAsia="en-US"/>
        </w:rPr>
        <w:drawing>
          <wp:inline distT="0" distB="0" distL="0" distR="0" wp14:anchorId="6BD57548" wp14:editId="770130E8">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72DE6111" w14:textId="00DFAA5D" w:rsidR="004A12A1" w:rsidRDefault="004A12A1" w:rsidP="004A12A1">
      <w:pPr>
        <w:pStyle w:val="Caption"/>
        <w:rPr>
          <w:szCs w:val="16"/>
        </w:rPr>
      </w:pPr>
      <w:r>
        <w:t xml:space="preserve">Figure </w:t>
      </w:r>
      <w:r w:rsidR="000D3497">
        <w:t>11</w:t>
      </w:r>
      <w:r>
        <w:t>. Unit Test Result for Packet Transfer Protocol</w:t>
      </w:r>
    </w:p>
    <w:p w14:paraId="583EB67F" w14:textId="77777777" w:rsidR="00BD55F1" w:rsidRDefault="00BD55F1" w:rsidP="00F20BBB">
      <w:pPr>
        <w:pStyle w:val="IEEEParagraph"/>
      </w:pPr>
    </w:p>
    <w:p w14:paraId="78EC0092"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10DEEA76" w14:textId="77777777" w:rsidR="007A7E5D" w:rsidRDefault="007A7E5D" w:rsidP="007A7E5D">
      <w:pPr>
        <w:pStyle w:val="IEEEHeading2"/>
        <w:numPr>
          <w:ilvl w:val="1"/>
          <w:numId w:val="7"/>
        </w:numPr>
        <w:rPr>
          <w:lang w:val="en-GB"/>
        </w:rPr>
      </w:pPr>
      <w:r>
        <w:rPr>
          <w:lang w:val="en-GB"/>
        </w:rPr>
        <w:t>Results for Update Packets</w:t>
      </w:r>
      <w:r w:rsidR="00F9342B">
        <w:rPr>
          <w:lang w:val="en-GB"/>
        </w:rPr>
        <w:t xml:space="preserve"> Protocol</w:t>
      </w:r>
    </w:p>
    <w:p w14:paraId="52D56970"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14:paraId="603ACCD8" w14:textId="77777777" w:rsidR="007A7E5D" w:rsidRDefault="006A30B1" w:rsidP="00366FE2">
      <w:pPr>
        <w:pStyle w:val="IEEEParagraph"/>
        <w:ind w:firstLine="0"/>
        <w:jc w:val="center"/>
      </w:pPr>
      <w:r>
        <w:rPr>
          <w:noProof/>
          <w:lang w:val="en-US" w:eastAsia="en-US"/>
        </w:rPr>
        <w:drawing>
          <wp:inline distT="0" distB="0" distL="0" distR="0" wp14:anchorId="03BE27E6" wp14:editId="310D608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4AD16E88" w14:textId="0E25CC3E" w:rsidR="00572C2A" w:rsidRDefault="00572C2A" w:rsidP="00572C2A">
      <w:pPr>
        <w:pStyle w:val="Caption"/>
        <w:rPr>
          <w:szCs w:val="16"/>
        </w:rPr>
      </w:pPr>
      <w:r>
        <w:t xml:space="preserve">Figure </w:t>
      </w:r>
      <w:r w:rsidR="000D3497">
        <w:t>12</w:t>
      </w:r>
      <w:r>
        <w:t>. Unit Test Result for Update Packets Protocol</w:t>
      </w:r>
    </w:p>
    <w:p w14:paraId="5F8A3F1B" w14:textId="77777777" w:rsidR="007A7E5D" w:rsidRPr="00920976" w:rsidRDefault="007A7E5D" w:rsidP="007A7E5D">
      <w:pPr>
        <w:pStyle w:val="IEEEParagraph"/>
        <w:jc w:val="center"/>
        <w:rPr>
          <w:szCs w:val="20"/>
        </w:rPr>
      </w:pPr>
    </w:p>
    <w:p w14:paraId="55A3D7A2"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14:paraId="0994401D" w14:textId="77777777" w:rsidR="002436CB" w:rsidRDefault="002436CB" w:rsidP="002436CB">
      <w:pPr>
        <w:pStyle w:val="IEEEHeading1"/>
      </w:pPr>
      <w:r>
        <w:lastRenderedPageBreak/>
        <w:t>Discussion</w:t>
      </w:r>
    </w:p>
    <w:p w14:paraId="176C5F58" w14:textId="77777777" w:rsidR="002436CB" w:rsidRDefault="002436CB" w:rsidP="00AF2635">
      <w:pPr>
        <w:pStyle w:val="IEEEParagraph"/>
      </w:pPr>
      <w:r>
        <w:t xml:space="preserve">In this section the properties of SSPayWMN are discussed. </w:t>
      </w:r>
    </w:p>
    <w:p w14:paraId="33927F66" w14:textId="77777777" w:rsidR="002436CB" w:rsidRDefault="008C34B2" w:rsidP="00AF2635">
      <w:pPr>
        <w:pStyle w:val="IEEEParagraph"/>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14:paraId="162E2A06" w14:textId="77777777" w:rsidR="002436CB" w:rsidRPr="00AF2635" w:rsidRDefault="002436CB" w:rsidP="00AF2635">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w:t>
      </w:r>
      <w:r w:rsidR="007B5531" w:rsidRPr="00AF2635">
        <w:rPr>
          <w:sz w:val="20"/>
          <w:szCs w:val="20"/>
        </w:rPr>
        <w:t>Trusted Third Party</w:t>
      </w:r>
      <w:r w:rsidRPr="00AF2635">
        <w:rPr>
          <w:sz w:val="20"/>
          <w:szCs w:val="20"/>
        </w:rPr>
        <w:t xml:space="preserve"> (TTP) for getting connection cards. Therefore, as far as </w:t>
      </w:r>
      <w:r w:rsidRPr="00AF2635">
        <w:rPr>
          <w:i/>
          <w:sz w:val="20"/>
          <w:szCs w:val="20"/>
        </w:rPr>
        <w:t xml:space="preserve">TTP </w:t>
      </w:r>
      <w:r w:rsidRPr="00AF2635">
        <w:rPr>
          <w:sz w:val="20"/>
          <w:szCs w:val="20"/>
        </w:rPr>
        <w:t>keeps clients’ identities secret, users can stay anonymous.</w:t>
      </w:r>
    </w:p>
    <w:p w14:paraId="040EE3FA" w14:textId="77777777" w:rsidR="002436CB" w:rsidRPr="00AF2635" w:rsidRDefault="002436CB" w:rsidP="00AF2635">
      <w:pPr>
        <w:ind w:firstLine="216"/>
        <w:jc w:val="both"/>
        <w:rPr>
          <w:sz w:val="20"/>
          <w:szCs w:val="20"/>
        </w:rPr>
      </w:pPr>
      <w:r w:rsidRPr="00AF2635">
        <w:rPr>
          <w:i/>
          <w:sz w:val="20"/>
          <w:szCs w:val="20"/>
        </w:rPr>
        <w:t>Mutual authentication</w:t>
      </w:r>
      <w:r w:rsidRPr="00AF2635">
        <w:rPr>
          <w:sz w:val="20"/>
          <w:szCs w:val="20"/>
        </w:rPr>
        <w:t xml:space="preserve">: </w:t>
      </w:r>
      <w:r w:rsidR="008C34B2" w:rsidRPr="00AF2635">
        <w:rPr>
          <w:sz w:val="20"/>
          <w:szCs w:val="20"/>
        </w:rPr>
        <w:t>Challenge-Response Protocol ensures mutual authentication between AP and the client.</w:t>
      </w:r>
    </w:p>
    <w:p w14:paraId="4A4C9F59" w14:textId="77777777" w:rsidR="002436CB" w:rsidRPr="00AF2635" w:rsidRDefault="002436CB" w:rsidP="00AF2635">
      <w:pPr>
        <w:ind w:firstLine="216"/>
        <w:jc w:val="both"/>
        <w:rPr>
          <w:sz w:val="20"/>
          <w:szCs w:val="20"/>
        </w:rPr>
      </w:pPr>
      <w:r w:rsidRPr="00AF2635">
        <w:rPr>
          <w:i/>
          <w:sz w:val="20"/>
          <w:szCs w:val="20"/>
        </w:rPr>
        <w:t>No ultimate trust to operators</w:t>
      </w:r>
      <w:r w:rsidRPr="00AF2635">
        <w:rPr>
          <w:sz w:val="20"/>
          <w:szCs w:val="20"/>
        </w:rPr>
        <w:t xml:space="preserve">: </w:t>
      </w:r>
      <w:r w:rsidR="008C34B2" w:rsidRPr="00AF2635">
        <w:rPr>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7889F5A4" w14:textId="77777777" w:rsidR="002436CB" w:rsidRPr="00AF2635" w:rsidRDefault="002436CB" w:rsidP="00AF2635">
      <w:pPr>
        <w:ind w:firstLine="216"/>
        <w:jc w:val="both"/>
        <w:rPr>
          <w:sz w:val="20"/>
          <w:szCs w:val="20"/>
        </w:rPr>
      </w:pPr>
      <w:r w:rsidRPr="00AF2635">
        <w:rPr>
          <w:i/>
          <w:sz w:val="20"/>
          <w:szCs w:val="20"/>
        </w:rPr>
        <w:t>Preventing double spending</w:t>
      </w:r>
      <w:r w:rsidRPr="00AF2635">
        <w:rPr>
          <w:sz w:val="20"/>
          <w:szCs w:val="20"/>
        </w:rPr>
        <w:t xml:space="preserve">: All the connection card information is stored in the </w:t>
      </w:r>
      <w:r w:rsidR="00CD4879" w:rsidRPr="00AF2635">
        <w:rPr>
          <w:sz w:val="20"/>
          <w:szCs w:val="20"/>
        </w:rPr>
        <w:t xml:space="preserve">TTP’s database. TTP authorizes every </w:t>
      </w:r>
      <w:r w:rsidR="008C34B2" w:rsidRPr="00AF2635">
        <w:rPr>
          <w:sz w:val="20"/>
          <w:szCs w:val="20"/>
        </w:rPr>
        <w:t>token; it is not possible for client to use a token for a second time. Since TTP could not get the new token with a series of hash operations.</w:t>
      </w:r>
    </w:p>
    <w:p w14:paraId="5FA18C63" w14:textId="2CBB79CB" w:rsidR="002436CB" w:rsidRPr="00AF2635" w:rsidRDefault="00CD4879" w:rsidP="00AF2635">
      <w:pPr>
        <w:ind w:firstLine="216"/>
        <w:jc w:val="both"/>
        <w:rPr>
          <w:sz w:val="20"/>
          <w:szCs w:val="20"/>
        </w:rPr>
      </w:pPr>
      <w:r w:rsidRPr="00AF2635">
        <w:rPr>
          <w:i/>
          <w:sz w:val="20"/>
          <w:szCs w:val="20"/>
        </w:rPr>
        <w:t>Unlinkability</w:t>
      </w:r>
      <w:r w:rsidRPr="00AF2635">
        <w:rPr>
          <w:sz w:val="20"/>
          <w:szCs w:val="20"/>
        </w:rPr>
        <w:t xml:space="preserve">: </w:t>
      </w:r>
      <w:r w:rsidR="007906DE">
        <w:rPr>
          <w:sz w:val="20"/>
          <w:szCs w:val="20"/>
        </w:rPr>
        <w:t>SSPa</w:t>
      </w:r>
      <w:r w:rsidR="008C34B2" w:rsidRPr="00AF2635">
        <w:rPr>
          <w:sz w:val="20"/>
          <w:szCs w:val="20"/>
        </w:rPr>
        <w:t>yWMN</w:t>
      </w:r>
      <w:r w:rsidRPr="00AF2635">
        <w:rPr>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sidRPr="00AF2635">
        <w:rPr>
          <w:sz w:val="20"/>
          <w:szCs w:val="20"/>
        </w:rPr>
        <w:t xml:space="preserve">system </w:t>
      </w:r>
      <w:r w:rsidRPr="00AF2635">
        <w:rPr>
          <w:sz w:val="20"/>
          <w:szCs w:val="20"/>
        </w:rPr>
        <w:t>designer.</w:t>
      </w:r>
      <w:r w:rsidR="008C34B2" w:rsidRPr="00AF2635">
        <w:rPr>
          <w:sz w:val="20"/>
          <w:szCs w:val="20"/>
        </w:rPr>
        <w:t xml:space="preserve"> In real-life scenario simulations the time period was 50 minutes.</w:t>
      </w:r>
    </w:p>
    <w:p w14:paraId="53939CE3" w14:textId="77777777" w:rsidR="00792CDF" w:rsidRDefault="00792CDF" w:rsidP="002436CB">
      <w:pPr>
        <w:pStyle w:val="IEEEHeading1"/>
        <w:tabs>
          <w:tab w:val="clear" w:pos="4825"/>
          <w:tab w:val="num" w:pos="284"/>
        </w:tabs>
      </w:pPr>
      <w:r>
        <w:t>Conclusion</w:t>
      </w:r>
    </w:p>
    <w:p w14:paraId="60F69205"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6E4CB6AF" w14:textId="77777777"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100954DC" w14:textId="77777777" w:rsidR="001928FB" w:rsidRDefault="001928FB" w:rsidP="00F06A72">
      <w:pPr>
        <w:pStyle w:val="IEEEHeading1"/>
        <w:numPr>
          <w:ilvl w:val="0"/>
          <w:numId w:val="0"/>
        </w:numPr>
      </w:pPr>
      <w:r>
        <w:t>References</w:t>
      </w:r>
    </w:p>
    <w:p w14:paraId="51092402" w14:textId="77777777"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6B74162"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1F543295" w14:textId="19E566A1"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062CEE" w:rsidRPr="001B49F7">
        <w:rPr>
          <w:szCs w:val="16"/>
        </w:rPr>
        <w:t>, 21</w:t>
      </w:r>
      <w:r w:rsidRPr="001B49F7">
        <w:rPr>
          <w:szCs w:val="16"/>
        </w:rPr>
        <w:t>(2):  120–126</w:t>
      </w:r>
    </w:p>
    <w:p w14:paraId="7C2539C5"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3B262AE2"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424804BB"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FEA5199"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3B49485A" w14:textId="77777777" w:rsidR="00670B23" w:rsidRPr="00FA2428" w:rsidRDefault="00BF501E" w:rsidP="00FA2428">
      <w:pPr>
        <w:pStyle w:val="IEEEReferenceItem"/>
        <w:rPr>
          <w:szCs w:val="16"/>
          <w:lang w:val="tr-TR"/>
        </w:rPr>
      </w:pPr>
      <w:proofErr w:type="spellStart"/>
      <w:r w:rsidRPr="00FA2428">
        <w:rPr>
          <w:szCs w:val="16"/>
        </w:rPr>
        <w:lastRenderedPageBreak/>
        <w:t>Zaghloul</w:t>
      </w:r>
      <w:proofErr w:type="spellEnd"/>
      <w:r w:rsidRPr="00FA2428">
        <w:rPr>
          <w:szCs w:val="16"/>
        </w:rPr>
        <w:t xml:space="preserve">, S., </w:t>
      </w:r>
      <w:proofErr w:type="spellStart"/>
      <w:r w:rsidRPr="00FA2428">
        <w:rPr>
          <w:szCs w:val="16"/>
        </w:rPr>
        <w:t>Bziuk</w:t>
      </w:r>
      <w:proofErr w:type="spellEnd"/>
      <w:r w:rsidRPr="00FA2428">
        <w:rPr>
          <w:szCs w:val="16"/>
        </w:rPr>
        <w:t xml:space="preserve">, W. and </w:t>
      </w:r>
      <w:proofErr w:type="spellStart"/>
      <w:r w:rsidRPr="00FA2428">
        <w:rPr>
          <w:szCs w:val="16"/>
        </w:rPr>
        <w:t>Jukan</w:t>
      </w:r>
      <w:proofErr w:type="spellEnd"/>
      <w:r w:rsidRPr="00FA2428">
        <w:rPr>
          <w:szCs w:val="16"/>
        </w:rPr>
        <w:t>, A. "</w:t>
      </w:r>
      <w:r w:rsidR="00FA2428" w:rsidRPr="00FA2428">
        <w:rPr>
          <w:szCs w:val="16"/>
        </w:rPr>
        <w:t>A scalable</w:t>
      </w:r>
      <w:r w:rsidRPr="00FA2428">
        <w:rPr>
          <w:szCs w:val="16"/>
        </w:rPr>
        <w:t xml:space="preserve"> Billing Architecture for Future Wireless Mesh Backhauls", IEEE ICC ’08.</w:t>
      </w:r>
    </w:p>
    <w:p w14:paraId="05698282" w14:textId="77777777"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14:paraId="3BC07896" w14:textId="77777777" w:rsidR="00C35F0D" w:rsidRPr="002B53E1" w:rsidRDefault="00C35F0D" w:rsidP="00FA2428">
      <w:pPr>
        <w:pStyle w:val="IEEEReferenceItem"/>
        <w:rPr>
          <w:szCs w:val="16"/>
          <w:lang w:val="tr-TR"/>
        </w:rPr>
      </w:pPr>
      <w:proofErr w:type="spellStart"/>
      <w:r w:rsidRPr="00C00DA0">
        <w:t>Lamport</w:t>
      </w:r>
      <w:proofErr w:type="spellEnd"/>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w:t>
      </w:r>
      <w:proofErr w:type="spellStart"/>
      <w:r w:rsidRPr="005414F8">
        <w:rPr>
          <w:i/>
        </w:rPr>
        <w:t>Commun</w:t>
      </w:r>
      <w:proofErr w:type="spellEnd"/>
      <w:r w:rsidRPr="005414F8">
        <w:rPr>
          <w:i/>
        </w:rPr>
        <w:t xml:space="preserve">. ACM, </w:t>
      </w:r>
      <w:r w:rsidRPr="00E814F6">
        <w:t>vol. 24, no. 11</w:t>
      </w:r>
      <w:r>
        <w:t xml:space="preserve">,pp. </w:t>
      </w:r>
      <w:r w:rsidRPr="00B81073">
        <w:t>770-772</w:t>
      </w:r>
      <w:r>
        <w:t>.</w:t>
      </w:r>
    </w:p>
    <w:p w14:paraId="61DEF7A5" w14:textId="77777777" w:rsidR="002B53E1" w:rsidRPr="002B53E1" w:rsidRDefault="002B53E1" w:rsidP="00FA2428">
      <w:pPr>
        <w:pStyle w:val="IEEEReferenceItem"/>
        <w:rPr>
          <w:szCs w:val="16"/>
          <w:lang w:val="tr-TR"/>
        </w:rPr>
      </w:pPr>
      <w:proofErr w:type="spellStart"/>
      <w:r>
        <w:t>Efstathiou</w:t>
      </w:r>
      <w:proofErr w:type="spellEnd"/>
      <w:r>
        <w:t xml:space="preserve">, E., </w:t>
      </w:r>
      <w:proofErr w:type="spellStart"/>
      <w:r>
        <w:t>Frangoudis</w:t>
      </w:r>
      <w:proofErr w:type="gramStart"/>
      <w:r>
        <w:t>,P</w:t>
      </w:r>
      <w:proofErr w:type="spellEnd"/>
      <w:proofErr w:type="gramEnd"/>
      <w:r>
        <w:t xml:space="preserve">., and </w:t>
      </w:r>
      <w:proofErr w:type="spellStart"/>
      <w:r>
        <w:t>Polyzos,G</w:t>
      </w:r>
      <w:proofErr w:type="spellEnd"/>
      <w:r>
        <w:t xml:space="preserve">. (2006) </w:t>
      </w:r>
      <w:bookmarkStart w:id="0" w:name="OLE_LINK21"/>
      <w:bookmarkStart w:id="1" w:name="OLE_LINK22"/>
      <w:r>
        <w:t>Stimulating Participation in Wireless Community Networks</w:t>
      </w:r>
      <w:bookmarkEnd w:id="0"/>
      <w:bookmarkEnd w:id="1"/>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41CF5706" w14:textId="77777777" w:rsidR="002B53E1" w:rsidRPr="002B53E1" w:rsidRDefault="002B53E1" w:rsidP="00FA2428">
      <w:pPr>
        <w:pStyle w:val="IEEEReferenceItem"/>
        <w:rPr>
          <w:szCs w:val="16"/>
          <w:lang w:val="tr-TR"/>
        </w:rPr>
      </w:pPr>
      <w:r>
        <w:t xml:space="preserve">Deng, L., and </w:t>
      </w:r>
      <w:proofErr w:type="spellStart"/>
      <w:r>
        <w:t>Kuzmanovic</w:t>
      </w:r>
      <w:proofErr w:type="spellEnd"/>
      <w:r>
        <w:t>,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7" w:history="1">
        <w:r w:rsidRPr="002B57DC">
          <w:rPr>
            <w:rStyle w:val="Hyperlink"/>
          </w:rPr>
          <w:t>http://networks.cs.northwestern.edu/susinet/TR-09-12.pdf</w:t>
        </w:r>
      </w:hyperlink>
    </w:p>
    <w:p w14:paraId="4A4A521A" w14:textId="77777777" w:rsidR="002B53E1" w:rsidRPr="00B5693B" w:rsidRDefault="0090045C" w:rsidP="00FA2428">
      <w:pPr>
        <w:pStyle w:val="IEEEReferenceItem"/>
        <w:rPr>
          <w:szCs w:val="16"/>
          <w:lang w:val="tr-TR"/>
        </w:rPr>
      </w:pPr>
      <w:proofErr w:type="spellStart"/>
      <w:r w:rsidRPr="00CD663E">
        <w:rPr>
          <w:lang w:val="sv-SE"/>
        </w:rPr>
        <w:t>Yakovyna</w:t>
      </w:r>
      <w:proofErr w:type="spellEnd"/>
      <w:r w:rsidRPr="00CD663E">
        <w:rPr>
          <w:lang w:val="sv-SE"/>
        </w:rPr>
        <w:t xml:space="preserve">, V., </w:t>
      </w:r>
      <w:proofErr w:type="spellStart"/>
      <w:r w:rsidRPr="00CD663E">
        <w:rPr>
          <w:lang w:val="sv-SE"/>
        </w:rPr>
        <w:t>Fedasyuk</w:t>
      </w:r>
      <w:proofErr w:type="spellEnd"/>
      <w:r w:rsidRPr="00CD663E">
        <w:rPr>
          <w:lang w:val="sv-SE"/>
        </w:rPr>
        <w:t xml:space="preserve">, D., </w:t>
      </w:r>
      <w:proofErr w:type="spellStart"/>
      <w:r w:rsidRPr="00CD663E">
        <w:rPr>
          <w:lang w:val="sv-SE"/>
        </w:rPr>
        <w:t>Seniv</w:t>
      </w:r>
      <w:proofErr w:type="spellEnd"/>
      <w:r w:rsidRPr="00CD663E">
        <w:rPr>
          <w:lang w:val="sv-SE"/>
        </w:rPr>
        <w:t xml:space="preserve"> M., Bilas </w:t>
      </w:r>
      <w:proofErr w:type="gramStart"/>
      <w:r w:rsidRPr="00CD663E">
        <w:rPr>
          <w:lang w:val="sv-SE"/>
        </w:rPr>
        <w:t xml:space="preserve">O.  </w:t>
      </w:r>
      <w:r w:rsidRPr="00E86B28">
        <w:t>(2007</w:t>
      </w:r>
      <w:proofErr w:type="gramEnd"/>
      <w:r w:rsidRPr="00E86B28">
        <w:t xml:space="preserve">) The performance testing of RSA algorithm software realization, </w:t>
      </w:r>
      <w:r w:rsidRPr="00E86B28">
        <w:rPr>
          <w:i/>
        </w:rPr>
        <w:t>CAD Systems in Microelectronics</w:t>
      </w:r>
      <w:r w:rsidRPr="00E86B28">
        <w:t xml:space="preserve">, </w:t>
      </w:r>
      <w:r w:rsidRPr="00E86B28">
        <w:rPr>
          <w:i/>
        </w:rPr>
        <w:t>CADSM ’07</w:t>
      </w:r>
      <w:r w:rsidRPr="00E86B28">
        <w:t xml:space="preserve">, pp. 390-392, </w:t>
      </w:r>
      <w:proofErr w:type="spellStart"/>
      <w:r w:rsidRPr="00E86B28">
        <w:t>Polyana</w:t>
      </w:r>
      <w:proofErr w:type="spellEnd"/>
      <w:r w:rsidRPr="00E86B28">
        <w:t>, UKRAINE</w:t>
      </w:r>
    </w:p>
    <w:p w14:paraId="203C8FE1" w14:textId="77777777" w:rsidR="00B5693B" w:rsidRPr="00B5693B" w:rsidRDefault="00B5693B" w:rsidP="00FA2428">
      <w:pPr>
        <w:pStyle w:val="IEEEReferenceItem"/>
        <w:rPr>
          <w:szCs w:val="16"/>
          <w:lang w:val="tr-TR"/>
        </w:rPr>
      </w:pPr>
      <w:r w:rsidRPr="00B5693B">
        <w:rPr>
          <w:szCs w:val="16"/>
        </w:rPr>
        <w:t>Intel Inc., Multi-Hop Mesh Networks—a new kind of Wi-Fi network.</w:t>
      </w:r>
    </w:p>
    <w:p w14:paraId="4E687BCF" w14:textId="77777777" w:rsidR="00B5693B" w:rsidRPr="00D72215" w:rsidRDefault="00B5693B" w:rsidP="00FA2428">
      <w:pPr>
        <w:pStyle w:val="IEEEReferenceItem"/>
        <w:rPr>
          <w:szCs w:val="16"/>
          <w:lang w:val="tr-TR"/>
        </w:rPr>
      </w:pPr>
      <w:r w:rsidRPr="00B5693B">
        <w:rPr>
          <w:szCs w:val="16"/>
        </w:rPr>
        <w:t>J. Walker, Wi-Fi mesh networks, the path to mobile ad-hoc. Available from</w:t>
      </w:r>
      <w:r w:rsidR="00D72215">
        <w:rPr>
          <w:szCs w:val="16"/>
        </w:rPr>
        <w:t xml:space="preserve"> </w:t>
      </w:r>
      <w:hyperlink r:id="rId28" w:history="1">
        <w:r w:rsidR="00D72215" w:rsidRPr="00BF4167">
          <w:rPr>
            <w:rStyle w:val="Hyperlink"/>
            <w:szCs w:val="16"/>
          </w:rPr>
          <w:t>http://www.wi-fitechnology.com/Wi-Fi_Reports_and_Papers/Mesh_Networks_References.html</w:t>
        </w:r>
      </w:hyperlink>
      <w:r w:rsidRPr="00B5693B">
        <w:rPr>
          <w:szCs w:val="16"/>
        </w:rPr>
        <w:t>.</w:t>
      </w:r>
    </w:p>
    <w:p w14:paraId="1962A292" w14:textId="77777777" w:rsidR="00D72215" w:rsidRPr="00D72215" w:rsidRDefault="00D72215" w:rsidP="00FA2428">
      <w:pPr>
        <w:pStyle w:val="IEEEReferenceItem"/>
        <w:rPr>
          <w:szCs w:val="16"/>
          <w:lang w:val="tr-TR"/>
        </w:rPr>
      </w:pPr>
      <w:r w:rsidRPr="00D72215">
        <w:rPr>
          <w:color w:val="000000"/>
          <w:szCs w:val="16"/>
        </w:rPr>
        <w:lastRenderedPageBreak/>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780383DE" w14:textId="77777777" w:rsidR="00D72215" w:rsidRPr="00D72215" w:rsidRDefault="00D72215" w:rsidP="00FA242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39E6CAC5" w14:textId="68818AA6"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890E12">
        <w:rPr>
          <w:i/>
          <w:szCs w:val="16"/>
        </w:rPr>
        <w:t xml:space="preserve"> </w:t>
      </w:r>
      <w:r w:rsidRPr="00EA6949">
        <w:rPr>
          <w:i/>
          <w:szCs w:val="16"/>
        </w:rPr>
        <w:t>Computer</w:t>
      </w:r>
      <w:r w:rsidRPr="00EA6949">
        <w:rPr>
          <w:szCs w:val="16"/>
        </w:rPr>
        <w:t>, vol. 37, no.6, pp. 10-13</w:t>
      </w:r>
    </w:p>
    <w:p w14:paraId="65FDA96D" w14:textId="77777777" w:rsidR="001004E6" w:rsidRPr="00EA6949" w:rsidRDefault="001004E6" w:rsidP="00FA2428">
      <w:pPr>
        <w:pStyle w:val="IEEEReferenceItem"/>
        <w:rPr>
          <w:szCs w:val="16"/>
          <w:lang w:val="tr-TR"/>
        </w:rPr>
      </w:pPr>
      <w:r w:rsidRPr="00EA6949">
        <w:rPr>
          <w:szCs w:val="16"/>
        </w:rPr>
        <w:t xml:space="preserve">The ZigBee Alliance. Available from: </w:t>
      </w:r>
      <w:hyperlink r:id="rId29" w:history="1">
        <w:r w:rsidRPr="00EA6949">
          <w:rPr>
            <w:rStyle w:val="Hyperlink"/>
            <w:szCs w:val="16"/>
          </w:rPr>
          <w:t>http://www.zigbee.org</w:t>
        </w:r>
      </w:hyperlink>
      <w:r w:rsidRPr="00EA6949">
        <w:rPr>
          <w:szCs w:val="16"/>
        </w:rPr>
        <w:t>.</w:t>
      </w:r>
    </w:p>
    <w:p w14:paraId="4F59ADD6" w14:textId="77777777" w:rsidR="001004E6" w:rsidRPr="00D5547D" w:rsidRDefault="001004E6" w:rsidP="00FA2428">
      <w:pPr>
        <w:pStyle w:val="IEEEReferenceItem"/>
        <w:rPr>
          <w:szCs w:val="16"/>
          <w:lang w:val="tr-TR"/>
        </w:rPr>
      </w:pPr>
      <w:proofErr w:type="spellStart"/>
      <w:r w:rsidRPr="00EA6949">
        <w:rPr>
          <w:color w:val="000000"/>
          <w:szCs w:val="16"/>
        </w:rPr>
        <w:t>Rao</w:t>
      </w:r>
      <w:proofErr w:type="spellEnd"/>
      <w:r w:rsidRPr="00EA6949">
        <w:rPr>
          <w:color w:val="000000"/>
          <w:szCs w:val="16"/>
        </w:rPr>
        <w:t xml:space="preserve">, Y.S.; Wing-Cheong </w:t>
      </w:r>
      <w:proofErr w:type="spellStart"/>
      <w:r w:rsidRPr="00EA6949">
        <w:rPr>
          <w:color w:val="000000"/>
          <w:szCs w:val="16"/>
        </w:rPr>
        <w:t>Yeung</w:t>
      </w:r>
      <w:proofErr w:type="spellEnd"/>
      <w:r w:rsidRPr="00EA6949">
        <w:rPr>
          <w:color w:val="000000"/>
          <w:szCs w:val="16"/>
        </w:rPr>
        <w:t xml:space="preserve">; </w:t>
      </w:r>
      <w:proofErr w:type="spellStart"/>
      <w:r w:rsidRPr="00EA6949">
        <w:rPr>
          <w:color w:val="000000"/>
          <w:szCs w:val="16"/>
        </w:rPr>
        <w:t>Kripalani</w:t>
      </w:r>
      <w:proofErr w:type="spellEnd"/>
      <w:r w:rsidRPr="00EA6949">
        <w:rPr>
          <w:color w:val="000000"/>
          <w:szCs w:val="16"/>
        </w:rPr>
        <w:t>, A.</w:t>
      </w:r>
      <w:proofErr w:type="gramStart"/>
      <w:r w:rsidRPr="00EA6949">
        <w:rPr>
          <w:color w:val="000000"/>
          <w:szCs w:val="16"/>
        </w:rPr>
        <w:t>; ,</w:t>
      </w:r>
      <w:proofErr w:type="gramEnd"/>
      <w:r w:rsidRPr="00EA6949">
        <w:rPr>
          <w:color w:val="000000"/>
          <w:szCs w:val="16"/>
        </w:rPr>
        <w:t xml:space="preserve"> "Third-generation (3G) radio access standards,"</w:t>
      </w:r>
      <w:r w:rsidRPr="00EA6949">
        <w:rPr>
          <w:rStyle w:val="apple-converted-space"/>
          <w:color w:val="000000"/>
          <w:szCs w:val="16"/>
        </w:rPr>
        <w:t> </w:t>
      </w:r>
      <w:r w:rsidRPr="00EA6949">
        <w:rPr>
          <w:i/>
          <w:iCs/>
          <w:color w:val="000000"/>
          <w:szCs w:val="16"/>
        </w:rPr>
        <w:t xml:space="preserve">Communication Technology Proceedings, 2000. WCC - ICCT 2000. International Conference </w:t>
      </w:r>
      <w:proofErr w:type="gramStart"/>
      <w:r w:rsidRPr="00EA6949">
        <w:rPr>
          <w:i/>
          <w:iCs/>
          <w:color w:val="000000"/>
          <w:szCs w:val="16"/>
        </w:rPr>
        <w:t>on</w:t>
      </w:r>
      <w:r w:rsidRPr="00EA6949">
        <w:rPr>
          <w:rStyle w:val="apple-converted-space"/>
          <w:color w:val="000000"/>
          <w:szCs w:val="16"/>
        </w:rPr>
        <w:t> </w:t>
      </w:r>
      <w:r w:rsidRPr="00EA6949">
        <w:rPr>
          <w:color w:val="000000"/>
          <w:szCs w:val="16"/>
        </w:rPr>
        <w:t>,</w:t>
      </w:r>
      <w:proofErr w:type="gramEnd"/>
      <w:r w:rsidRPr="00EA6949">
        <w:rPr>
          <w:color w:val="000000"/>
          <w:szCs w:val="16"/>
        </w:rPr>
        <w:t xml:space="preserve"> vol.2, no., pp.1017-1023 vol.2, 2000</w:t>
      </w:r>
      <w:r w:rsidRPr="00EA6949">
        <w:rPr>
          <w:color w:val="000000"/>
          <w:szCs w:val="16"/>
        </w:rPr>
        <w:br/>
      </w:r>
      <w:proofErr w:type="spellStart"/>
      <w:r w:rsidRPr="00EA6949">
        <w:rPr>
          <w:color w:val="000000"/>
          <w:szCs w:val="16"/>
        </w:rPr>
        <w:t>doi</w:t>
      </w:r>
      <w:proofErr w:type="spellEnd"/>
      <w:r w:rsidRPr="00EA6949">
        <w:rPr>
          <w:color w:val="000000"/>
          <w:szCs w:val="16"/>
        </w:rPr>
        <w:t>: 10.1109/ICCT.2000.890849</w:t>
      </w:r>
    </w:p>
    <w:p w14:paraId="47457D67" w14:textId="77777777" w:rsidR="00D5547D" w:rsidRDefault="00D5547D" w:rsidP="00D5547D">
      <w:pPr>
        <w:pStyle w:val="IEEEReferenceItem"/>
      </w:pPr>
      <w:r>
        <w:t>B. Schneier, J. Kelsey, D. Whiting, D. Wagner, C. Hall, N. Ferguson Performance Comparison of the AES Submissions, Proc. Second AES Candidate Conference, NIST, March 1999, 15-34.</w:t>
      </w:r>
    </w:p>
    <w:p w14:paraId="4FE8C13E" w14:textId="77777777" w:rsidR="00D5547D" w:rsidRDefault="00D5547D" w:rsidP="00D5547D">
      <w:pPr>
        <w:pStyle w:val="IEEEReferenceItem"/>
        <w:jc w:val="left"/>
      </w:pPr>
      <w:r>
        <w:t xml:space="preserve">Crypto++ 5.6.0 Benchmarks: </w:t>
      </w:r>
      <w:hyperlink r:id="rId30" w:history="1">
        <w:r w:rsidRPr="00A312A1">
          <w:rPr>
            <w:rStyle w:val="Hyperlink"/>
          </w:rPr>
          <w:t>http://www.cryptopp.com/benchmarks.html</w:t>
        </w:r>
      </w:hyperlink>
    </w:p>
    <w:p w14:paraId="776DB855" w14:textId="77777777" w:rsidR="00D5547D" w:rsidRPr="00EA6949" w:rsidRDefault="00D5547D" w:rsidP="00D5547D">
      <w:pPr>
        <w:pStyle w:val="IEEEReferenceItem"/>
        <w:numPr>
          <w:ilvl w:val="0"/>
          <w:numId w:val="0"/>
        </w:numPr>
        <w:rPr>
          <w:szCs w:val="16"/>
          <w:lang w:val="tr-TR"/>
        </w:rPr>
      </w:pPr>
      <w:bookmarkStart w:id="2" w:name="_GoBack"/>
      <w:bookmarkEnd w:id="2"/>
    </w:p>
    <w:p w14:paraId="3E6ED285" w14:textId="77777777" w:rsidR="001B49F7" w:rsidRDefault="001B49F7" w:rsidP="00D72215">
      <w:pPr>
        <w:pStyle w:val="IEEEReferenceItem"/>
        <w:numPr>
          <w:ilvl w:val="0"/>
          <w:numId w:val="0"/>
        </w:numPr>
        <w:rPr>
          <w:szCs w:val="16"/>
          <w:lang w:val="tr-TR"/>
        </w:rPr>
      </w:pPr>
    </w:p>
    <w:p w14:paraId="3C8F01BF" w14:textId="77777777" w:rsidR="00D72215" w:rsidRDefault="00D72215" w:rsidP="00D72215">
      <w:pPr>
        <w:pStyle w:val="IEEEReferenceItem"/>
        <w:numPr>
          <w:ilvl w:val="0"/>
          <w:numId w:val="0"/>
        </w:numPr>
        <w:rPr>
          <w:szCs w:val="16"/>
          <w:lang w:val="tr-TR"/>
        </w:rPr>
      </w:pPr>
    </w:p>
    <w:p w14:paraId="5542D686" w14:textId="77777777"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14:paraId="002CC03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39FE170E"/>
    <w:multiLevelType w:val="hybridMultilevel"/>
    <w:tmpl w:val="775692C8"/>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6">
    <w:nsid w:val="40E71C16"/>
    <w:multiLevelType w:val="hybridMultilevel"/>
    <w:tmpl w:val="7B5041E2"/>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7">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4D7554DE"/>
    <w:multiLevelType w:val="hybridMultilevel"/>
    <w:tmpl w:val="0D4EC33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4F3C6865"/>
    <w:multiLevelType w:val="hybridMultilevel"/>
    <w:tmpl w:val="71541300"/>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1">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6">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11"/>
  </w:num>
  <w:num w:numId="2">
    <w:abstractNumId w:val="17"/>
  </w:num>
  <w:num w:numId="3">
    <w:abstractNumId w:val="11"/>
  </w:num>
  <w:num w:numId="4">
    <w:abstractNumId w:val="11"/>
  </w:num>
  <w:num w:numId="5">
    <w:abstractNumId w:val="8"/>
  </w:num>
  <w:num w:numId="6">
    <w:abstractNumId w:val="4"/>
  </w:num>
  <w:num w:numId="7">
    <w:abstractNumId w:val="0"/>
  </w:num>
  <w:num w:numId="8">
    <w:abstractNumId w:val="2"/>
  </w:num>
  <w:num w:numId="9">
    <w:abstractNumId w:val="7"/>
  </w:num>
  <w:num w:numId="10">
    <w:abstractNumId w:val="12"/>
  </w:num>
  <w:num w:numId="11">
    <w:abstractNumId w:val="13"/>
  </w:num>
  <w:num w:numId="12">
    <w:abstractNumId w:val="14"/>
  </w:num>
  <w:num w:numId="13">
    <w:abstractNumId w:val="16"/>
  </w:num>
  <w:num w:numId="14">
    <w:abstractNumId w:val="18"/>
  </w:num>
  <w:num w:numId="15">
    <w:abstractNumId w:val="15"/>
  </w:num>
  <w:num w:numId="16">
    <w:abstractNumId w:val="1"/>
  </w:num>
  <w:num w:numId="17">
    <w:abstractNumId w:val="3"/>
  </w:num>
  <w:num w:numId="18">
    <w:abstractNumId w:val="6"/>
  </w:num>
  <w:num w:numId="19">
    <w:abstractNumId w:val="5"/>
  </w:num>
  <w:num w:numId="20">
    <w:abstractNumId w:val="9"/>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79F8"/>
    <w:rsid w:val="00017719"/>
    <w:rsid w:val="000258C5"/>
    <w:rsid w:val="00027F1D"/>
    <w:rsid w:val="00031E0C"/>
    <w:rsid w:val="0003296C"/>
    <w:rsid w:val="00033408"/>
    <w:rsid w:val="0003341D"/>
    <w:rsid w:val="00042F9F"/>
    <w:rsid w:val="00054421"/>
    <w:rsid w:val="000574FD"/>
    <w:rsid w:val="00062CEE"/>
    <w:rsid w:val="00062E46"/>
    <w:rsid w:val="00074AC8"/>
    <w:rsid w:val="00081408"/>
    <w:rsid w:val="00081EBE"/>
    <w:rsid w:val="00086EDC"/>
    <w:rsid w:val="00090FFC"/>
    <w:rsid w:val="000B007B"/>
    <w:rsid w:val="000B36A3"/>
    <w:rsid w:val="000C013C"/>
    <w:rsid w:val="000C6A06"/>
    <w:rsid w:val="000D3497"/>
    <w:rsid w:val="000E3F84"/>
    <w:rsid w:val="000F53D1"/>
    <w:rsid w:val="001004E6"/>
    <w:rsid w:val="001056DF"/>
    <w:rsid w:val="00114025"/>
    <w:rsid w:val="001160D2"/>
    <w:rsid w:val="00121A31"/>
    <w:rsid w:val="001348A5"/>
    <w:rsid w:val="0014061E"/>
    <w:rsid w:val="00145C21"/>
    <w:rsid w:val="00151B8E"/>
    <w:rsid w:val="00154B72"/>
    <w:rsid w:val="00166D2F"/>
    <w:rsid w:val="0016722E"/>
    <w:rsid w:val="00182170"/>
    <w:rsid w:val="001928FB"/>
    <w:rsid w:val="00192BC7"/>
    <w:rsid w:val="001A09EB"/>
    <w:rsid w:val="001A3557"/>
    <w:rsid w:val="001A50EA"/>
    <w:rsid w:val="001A7169"/>
    <w:rsid w:val="001B49F7"/>
    <w:rsid w:val="001D7680"/>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110"/>
    <w:rsid w:val="002F6368"/>
    <w:rsid w:val="002F72D0"/>
    <w:rsid w:val="003003AB"/>
    <w:rsid w:val="00310105"/>
    <w:rsid w:val="00311C49"/>
    <w:rsid w:val="00314071"/>
    <w:rsid w:val="00315B93"/>
    <w:rsid w:val="003178A8"/>
    <w:rsid w:val="0032119E"/>
    <w:rsid w:val="00321304"/>
    <w:rsid w:val="00331F84"/>
    <w:rsid w:val="00332779"/>
    <w:rsid w:val="00337F77"/>
    <w:rsid w:val="00344CC4"/>
    <w:rsid w:val="00347495"/>
    <w:rsid w:val="00351496"/>
    <w:rsid w:val="0035568C"/>
    <w:rsid w:val="00357EF5"/>
    <w:rsid w:val="00366FE2"/>
    <w:rsid w:val="00370E14"/>
    <w:rsid w:val="00373D37"/>
    <w:rsid w:val="003740C9"/>
    <w:rsid w:val="00374371"/>
    <w:rsid w:val="00375879"/>
    <w:rsid w:val="00387D67"/>
    <w:rsid w:val="00392783"/>
    <w:rsid w:val="00392E78"/>
    <w:rsid w:val="003950A4"/>
    <w:rsid w:val="003A1084"/>
    <w:rsid w:val="003A22BD"/>
    <w:rsid w:val="003C538E"/>
    <w:rsid w:val="003D14B5"/>
    <w:rsid w:val="003D17F2"/>
    <w:rsid w:val="003D478E"/>
    <w:rsid w:val="003E2D87"/>
    <w:rsid w:val="003E3577"/>
    <w:rsid w:val="003F00D4"/>
    <w:rsid w:val="003F3A61"/>
    <w:rsid w:val="004008DA"/>
    <w:rsid w:val="0040106A"/>
    <w:rsid w:val="0041066A"/>
    <w:rsid w:val="00410A5D"/>
    <w:rsid w:val="00413EBE"/>
    <w:rsid w:val="00414909"/>
    <w:rsid w:val="0041742D"/>
    <w:rsid w:val="004217C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056AA"/>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3D77"/>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6380B"/>
    <w:rsid w:val="006665CB"/>
    <w:rsid w:val="00670B23"/>
    <w:rsid w:val="00673B48"/>
    <w:rsid w:val="0067404B"/>
    <w:rsid w:val="00681BCF"/>
    <w:rsid w:val="00684873"/>
    <w:rsid w:val="00686A02"/>
    <w:rsid w:val="006A30B1"/>
    <w:rsid w:val="006B30AC"/>
    <w:rsid w:val="006B47CA"/>
    <w:rsid w:val="006C4E68"/>
    <w:rsid w:val="006C7AAA"/>
    <w:rsid w:val="006D1C2A"/>
    <w:rsid w:val="006D264F"/>
    <w:rsid w:val="006D3737"/>
    <w:rsid w:val="006D4C8C"/>
    <w:rsid w:val="006E1986"/>
    <w:rsid w:val="006E1BB6"/>
    <w:rsid w:val="006E2A8D"/>
    <w:rsid w:val="006E7574"/>
    <w:rsid w:val="00703430"/>
    <w:rsid w:val="007069BE"/>
    <w:rsid w:val="00741EA2"/>
    <w:rsid w:val="00743914"/>
    <w:rsid w:val="00745C86"/>
    <w:rsid w:val="00761617"/>
    <w:rsid w:val="00764603"/>
    <w:rsid w:val="0076604D"/>
    <w:rsid w:val="007906DE"/>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361A"/>
    <w:rsid w:val="00805D97"/>
    <w:rsid w:val="00821E08"/>
    <w:rsid w:val="00834EFD"/>
    <w:rsid w:val="00844B24"/>
    <w:rsid w:val="0084515F"/>
    <w:rsid w:val="0085092D"/>
    <w:rsid w:val="0085217B"/>
    <w:rsid w:val="008539A9"/>
    <w:rsid w:val="0086273A"/>
    <w:rsid w:val="00862E21"/>
    <w:rsid w:val="00863555"/>
    <w:rsid w:val="00863D5F"/>
    <w:rsid w:val="008709D2"/>
    <w:rsid w:val="0087256F"/>
    <w:rsid w:val="008733ED"/>
    <w:rsid w:val="00877D4C"/>
    <w:rsid w:val="00883903"/>
    <w:rsid w:val="00883A74"/>
    <w:rsid w:val="00884275"/>
    <w:rsid w:val="00890E12"/>
    <w:rsid w:val="0089274B"/>
    <w:rsid w:val="0089763B"/>
    <w:rsid w:val="008A31D9"/>
    <w:rsid w:val="008A4910"/>
    <w:rsid w:val="008B6AE3"/>
    <w:rsid w:val="008C26BD"/>
    <w:rsid w:val="008C2FB2"/>
    <w:rsid w:val="008C34B2"/>
    <w:rsid w:val="008C75CA"/>
    <w:rsid w:val="008C7709"/>
    <w:rsid w:val="008C77E5"/>
    <w:rsid w:val="008D1045"/>
    <w:rsid w:val="008E4C6D"/>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36AD"/>
    <w:rsid w:val="00955B59"/>
    <w:rsid w:val="009568F3"/>
    <w:rsid w:val="00974DBC"/>
    <w:rsid w:val="00974F6C"/>
    <w:rsid w:val="00977C7C"/>
    <w:rsid w:val="00977F1E"/>
    <w:rsid w:val="00992262"/>
    <w:rsid w:val="009926BC"/>
    <w:rsid w:val="009A2CB6"/>
    <w:rsid w:val="009A4319"/>
    <w:rsid w:val="009A6C3F"/>
    <w:rsid w:val="009B139C"/>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86C89"/>
    <w:rsid w:val="00A928FE"/>
    <w:rsid w:val="00A9318B"/>
    <w:rsid w:val="00A934FC"/>
    <w:rsid w:val="00A94AC1"/>
    <w:rsid w:val="00AA0E90"/>
    <w:rsid w:val="00AB18B7"/>
    <w:rsid w:val="00AB2098"/>
    <w:rsid w:val="00AB487D"/>
    <w:rsid w:val="00AD20C9"/>
    <w:rsid w:val="00AD22E5"/>
    <w:rsid w:val="00AD335D"/>
    <w:rsid w:val="00AF0DBF"/>
    <w:rsid w:val="00AF2635"/>
    <w:rsid w:val="00AF4C96"/>
    <w:rsid w:val="00AF792B"/>
    <w:rsid w:val="00B21E99"/>
    <w:rsid w:val="00B23B31"/>
    <w:rsid w:val="00B33B45"/>
    <w:rsid w:val="00B37B40"/>
    <w:rsid w:val="00B44639"/>
    <w:rsid w:val="00B55D5E"/>
    <w:rsid w:val="00B5693B"/>
    <w:rsid w:val="00B75061"/>
    <w:rsid w:val="00B87FB5"/>
    <w:rsid w:val="00B935AE"/>
    <w:rsid w:val="00B94516"/>
    <w:rsid w:val="00B96CC2"/>
    <w:rsid w:val="00B970F2"/>
    <w:rsid w:val="00BA2FB9"/>
    <w:rsid w:val="00BA371C"/>
    <w:rsid w:val="00BB2855"/>
    <w:rsid w:val="00BC2146"/>
    <w:rsid w:val="00BD19C1"/>
    <w:rsid w:val="00BD25B8"/>
    <w:rsid w:val="00BD55F1"/>
    <w:rsid w:val="00BF0D6D"/>
    <w:rsid w:val="00BF0E6F"/>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37F9"/>
    <w:rsid w:val="00C57FB7"/>
    <w:rsid w:val="00C62937"/>
    <w:rsid w:val="00C65F3F"/>
    <w:rsid w:val="00C72414"/>
    <w:rsid w:val="00C8667B"/>
    <w:rsid w:val="00C9339B"/>
    <w:rsid w:val="00CA074F"/>
    <w:rsid w:val="00CA4CE3"/>
    <w:rsid w:val="00CB355C"/>
    <w:rsid w:val="00CC2A06"/>
    <w:rsid w:val="00CC4A93"/>
    <w:rsid w:val="00CD4879"/>
    <w:rsid w:val="00CD4F3F"/>
    <w:rsid w:val="00D15E69"/>
    <w:rsid w:val="00D1717D"/>
    <w:rsid w:val="00D311F8"/>
    <w:rsid w:val="00D36B52"/>
    <w:rsid w:val="00D377C8"/>
    <w:rsid w:val="00D41274"/>
    <w:rsid w:val="00D42D54"/>
    <w:rsid w:val="00D42E58"/>
    <w:rsid w:val="00D43BF3"/>
    <w:rsid w:val="00D5547D"/>
    <w:rsid w:val="00D60F41"/>
    <w:rsid w:val="00D72215"/>
    <w:rsid w:val="00D74A49"/>
    <w:rsid w:val="00D767BB"/>
    <w:rsid w:val="00D83129"/>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8175B"/>
    <w:rsid w:val="00E94339"/>
    <w:rsid w:val="00E97563"/>
    <w:rsid w:val="00EA6949"/>
    <w:rsid w:val="00EA6ECF"/>
    <w:rsid w:val="00EA73EF"/>
    <w:rsid w:val="00EB0B63"/>
    <w:rsid w:val="00EC265C"/>
    <w:rsid w:val="00ED61CB"/>
    <w:rsid w:val="00ED7651"/>
    <w:rsid w:val="00ED7CBC"/>
    <w:rsid w:val="00EE29CE"/>
    <w:rsid w:val="00EF5468"/>
    <w:rsid w:val="00F06A72"/>
    <w:rsid w:val="00F10AB4"/>
    <w:rsid w:val="00F136F0"/>
    <w:rsid w:val="00F20BBB"/>
    <w:rsid w:val="00F20F6B"/>
    <w:rsid w:val="00F31295"/>
    <w:rsid w:val="00F43BD8"/>
    <w:rsid w:val="00F562F3"/>
    <w:rsid w:val="00F706E6"/>
    <w:rsid w:val="00F74B89"/>
    <w:rsid w:val="00F75133"/>
    <w:rsid w:val="00F86808"/>
    <w:rsid w:val="00F91CDB"/>
    <w:rsid w:val="00F9342B"/>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4A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hyperlink" Target="http://networks.cs.northwestern.edu/susinet/TR-09-12.pdf" TargetMode="External"/><Relationship Id="rId28" Type="http://schemas.openxmlformats.org/officeDocument/2006/relationships/hyperlink" Target="http://www.wi-fitechnology.com/Wi-Fi_Reports_and_Papers/Mesh_Networks_References.html" TargetMode="External"/><Relationship Id="rId29" Type="http://schemas.openxmlformats.org/officeDocument/2006/relationships/hyperlink" Target="http://www.zigbee.org" TargetMode="External"/><Relationship Id="rId30" Type="http://schemas.openxmlformats.org/officeDocument/2006/relationships/hyperlink" Target="http://www.cryptopp.com/benchmarks.htm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669A0-52E6-DA44-AB67-8059A9A2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5211</Words>
  <Characters>29704</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34846</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24</cp:revision>
  <cp:lastPrinted>2013-01-01T12:46:00Z</cp:lastPrinted>
  <dcterms:created xsi:type="dcterms:W3CDTF">2013-01-01T12:46:00Z</dcterms:created>
  <dcterms:modified xsi:type="dcterms:W3CDTF">2013-01-03T13:29:00Z</dcterms:modified>
</cp:coreProperties>
</file>