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t>
      </w:r>
      <w:r w:rsidR="0016722E">
        <w:t xml:space="preserve">Compared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sing native cryptographic algorithms</w:t>
      </w:r>
      <w:r>
        <w:t>,</w:t>
      </w:r>
      <w:r w:rsidR="00373D37">
        <w:t xml:space="preserve"> </w:t>
      </w:r>
      <w:r w:rsidR="00974F6C">
        <w:t>every action could have an undeniable cryptographic proof so that</w:t>
      </w:r>
      <w:r>
        <w:t xml:space="preserve"> the</w:t>
      </w:r>
      <w:r w:rsidR="00974F6C">
        <w:t xml:space="preserve"> </w:t>
      </w:r>
      <w:r w:rsidR="00587F32">
        <w:t>client could not get service without payment and service providers could not charge without serving</w:t>
      </w:r>
      <w:r w:rsidR="00974F6C">
        <w:t>.</w:t>
      </w:r>
    </w:p>
    <w:p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rsidR="00081EBE" w:rsidRDefault="0041742D" w:rsidP="00081EBE">
      <w:pPr>
        <w:pStyle w:val="IEEEHeading1"/>
      </w:pPr>
      <w:r>
        <w:t>Cryptographic N</w:t>
      </w:r>
      <w:r w:rsidR="002F6368">
        <w:t>otes</w:t>
      </w:r>
    </w:p>
    <w:p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413EBE">
        <w:fldChar w:fldCharType="begin"/>
      </w:r>
      <w:r w:rsidR="009270F3">
        <w:instrText xml:space="preserve"> SEQ TABLE \* ROMAN </w:instrText>
      </w:r>
      <w:r w:rsidR="00413EBE">
        <w:fldChar w:fldCharType="separate"/>
      </w:r>
      <w:r>
        <w:rPr>
          <w:noProof/>
        </w:rPr>
        <w:t>I</w:t>
      </w:r>
      <w:r w:rsidR="00413EBE">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 xml:space="preserve">Access Point (AP). From now on in this document, it is called as AP, but please </w:t>
            </w:r>
            <w:proofErr w:type="gramStart"/>
            <w:r w:rsidRPr="009568F3">
              <w:rPr>
                <w:sz w:val="16"/>
                <w:szCs w:val="16"/>
              </w:rPr>
              <w:t>note</w:t>
            </w:r>
            <w:proofErr w:type="gramEnd"/>
            <w:r w:rsidRPr="009568F3">
              <w:rPr>
                <w:sz w:val="16"/>
                <w:szCs w:val="16"/>
              </w:rPr>
              <w:t xml:space="preserve"> that it also has routing capability.</w:t>
            </w:r>
          </w:p>
        </w:tc>
      </w:tr>
      <w:tr w:rsidR="009568F3" w:rsidTr="00C0348C">
        <w:tc>
          <w:tcPr>
            <w:tcW w:w="1626"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16722E">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C0348C">
        <w:tc>
          <w:tcPr>
            <w:tcW w:w="1626"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16722E">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314071" w:rsidP="00314071">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314071" w:rsidRDefault="00314071" w:rsidP="00314071">
      <w:pPr>
        <w:pStyle w:val="IEEEParagraph"/>
        <w:jc w:val="center"/>
        <w:rPr>
          <w:sz w:val="16"/>
          <w:szCs w:val="16"/>
        </w:rPr>
      </w:pPr>
      <w:proofErr w:type="gramStart"/>
      <w:r>
        <w:rPr>
          <w:sz w:val="16"/>
          <w:szCs w:val="16"/>
        </w:rPr>
        <w:t>Figure 1.</w:t>
      </w:r>
      <w:proofErr w:type="gramEnd"/>
      <w:r>
        <w:rPr>
          <w:sz w:val="16"/>
          <w:szCs w:val="16"/>
        </w:rPr>
        <w:t xml:space="preserve"> Network Topology</w:t>
      </w:r>
    </w:p>
    <w:p w:rsidR="00C0348C" w:rsidRDefault="00C0348C" w:rsidP="00C0348C">
      <w:pPr>
        <w:pStyle w:val="IEEEParagraph"/>
        <w:ind w:firstLine="215"/>
        <w:rPr>
          <w:szCs w:val="20"/>
        </w:rPr>
      </w:pPr>
    </w:p>
    <w:p w:rsidR="00392783" w:rsidRPr="00392783" w:rsidRDefault="00C0348C" w:rsidP="00C0348C">
      <w:pPr>
        <w:pStyle w:val="IEEEParagraph"/>
        <w:ind w:firstLine="215"/>
        <w:rPr>
          <w:szCs w:val="20"/>
        </w:rPr>
      </w:pPr>
      <w:r>
        <w:rPr>
          <w:szCs w:val="20"/>
        </w:rPr>
        <w:t>Figure 1 shows the topology of the network and connections between entities.</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wire</w:t>
      </w:r>
      <w:r>
        <w:rPr>
          <w:rFonts w:cs="Helvetica"/>
        </w:rPr>
        <w:t>d</w:t>
      </w:r>
      <w:r w:rsidR="00C0348C">
        <w:rPr>
          <w:rFonts w:cs="Helvetica"/>
        </w:rPr>
        <w:t xml:space="preserve"> </w:t>
      </w:r>
      <w:r>
        <w:rPr>
          <w:rFonts w:cs="Helvetica"/>
        </w:rPr>
        <w:t>connection</w:t>
      </w:r>
      <w:r w:rsidRPr="00E0079D">
        <w:rPr>
          <w:rFonts w:cs="Helvetica"/>
        </w:rPr>
        <w:t xml:space="preserve">. The connection between an operator and TTP is </w:t>
      </w:r>
      <w:r w:rsidR="00C0348C">
        <w:rPr>
          <w:rFonts w:cs="Helvetica"/>
        </w:rPr>
        <w:t xml:space="preserve">also </w:t>
      </w:r>
      <w:r>
        <w:rPr>
          <w:rFonts w:cs="Helvetica"/>
        </w:rPr>
        <w:t>wired</w:t>
      </w:r>
      <w:r w:rsidRPr="00E0079D">
        <w:rPr>
          <w:rFonts w:cs="Helvetica"/>
        </w:rPr>
        <w:t>.</w:t>
      </w:r>
      <w:r>
        <w:rPr>
          <w:rFonts w:cs="Helvetica"/>
        </w:rPr>
        <w:t xml:space="preserve"> </w:t>
      </w:r>
      <w:r w:rsidR="00C0348C">
        <w:rPr>
          <w:rFonts w:cs="Helvetica"/>
        </w:rPr>
        <w:t>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413EBE"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413EBE"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413EBE"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413EBE"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413EBE"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C0348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lastRenderedPageBreak/>
        <w:t>Alias Computation</w:t>
      </w:r>
    </w:p>
    <w:p w:rsidR="006D3737" w:rsidRPr="006D3737" w:rsidRDefault="006D3737" w:rsidP="006D3737">
      <w:pPr>
        <w:spacing w:before="100"/>
        <w:jc w:val="both"/>
        <w:rPr>
          <w:rFonts w:cs="Helvetica"/>
          <w:sz w:val="20"/>
          <w:szCs w:val="20"/>
        </w:rPr>
      </w:pPr>
      <w:r w:rsidRPr="006D3737">
        <w:rPr>
          <w:rFonts w:cs="Helvetica"/>
          <w:sz w:val="20"/>
          <w:szCs w:val="20"/>
        </w:rPr>
        <w:t>Aliases are temporary identifiers for clients.</w:t>
      </w:r>
      <w:r w:rsidR="00924D91">
        <w:rPr>
          <w:rFonts w:cs="Helvetica"/>
          <w:sz w:val="20"/>
          <w:szCs w:val="20"/>
        </w:rPr>
        <w:t xml:space="preserve"> They</w:t>
      </w:r>
      <w:r w:rsidRPr="006D3737">
        <w:rPr>
          <w:rFonts w:cs="Helvetica"/>
          <w:sz w:val="20"/>
          <w:szCs w:val="20"/>
        </w:rPr>
        <w:t xml:space="preserve"> change frequently using a secure protocol. </w:t>
      </w:r>
      <w:proofErr w:type="gramStart"/>
      <w:r w:rsidRPr="006D3737">
        <w:rPr>
          <w:rFonts w:cs="Helvetica"/>
          <w:sz w:val="20"/>
          <w:szCs w:val="20"/>
        </w:rPr>
        <w:t xml:space="preserve">By changing </w:t>
      </w:r>
      <w:r w:rsidR="00924D91">
        <w:rPr>
          <w:rFonts w:cs="Helvetica"/>
          <w:sz w:val="20"/>
          <w:szCs w:val="20"/>
        </w:rPr>
        <w:t>like so</w:t>
      </w:r>
      <w:r w:rsidRPr="006D3737">
        <w:rPr>
          <w:rFonts w:cs="Helvetica"/>
          <w:sz w:val="20"/>
          <w:szCs w:val="20"/>
        </w:rPr>
        <w:t xml:space="preserve">,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w:t>
      </w:r>
      <w:proofErr w:type="gramEnd"/>
      <w:r w:rsidRPr="006D3737">
        <w:rPr>
          <w:rFonts w:cs="Helvetica"/>
          <w:sz w:val="20"/>
          <w:szCs w:val="20"/>
        </w:rPr>
        <w:t xml:space="preserve"> </w:t>
      </w:r>
    </w:p>
    <w:p w:rsidR="006D3737" w:rsidRPr="006D3737" w:rsidRDefault="00924D91" w:rsidP="006D3737">
      <w:pPr>
        <w:spacing w:before="100"/>
        <w:jc w:val="both"/>
        <w:rPr>
          <w:rFonts w:cs="Helvetica"/>
          <w:sz w:val="20"/>
          <w:szCs w:val="20"/>
        </w:rPr>
      </w:pPr>
      <w:r>
        <w:rPr>
          <w:rFonts w:cs="Helvetica"/>
          <w:sz w:val="20"/>
          <w:szCs w:val="20"/>
        </w:rPr>
        <w:t>The s</w:t>
      </w:r>
      <w:r w:rsidR="006D3737" w:rsidRPr="006D3737">
        <w:rPr>
          <w:rFonts w:cs="Helvetica"/>
          <w:sz w:val="20"/>
          <w:szCs w:val="20"/>
        </w:rPr>
        <w:t xml:space="preserve">erial number (SN) of the </w:t>
      </w:r>
      <w:r>
        <w:rPr>
          <w:rFonts w:cs="Helvetica"/>
          <w:sz w:val="20"/>
          <w:szCs w:val="20"/>
        </w:rPr>
        <w:t>CC</w:t>
      </w:r>
      <w:r w:rsidR="006D3737" w:rsidRPr="006D3737">
        <w:rPr>
          <w:rFonts w:cs="Helvetica"/>
          <w:sz w:val="20"/>
          <w:szCs w:val="20"/>
        </w:rPr>
        <w:t xml:space="preserve">, which is bought from </w:t>
      </w:r>
      <w:r w:rsidR="006D3737">
        <w:rPr>
          <w:rFonts w:cs="Helvetica"/>
          <w:sz w:val="20"/>
          <w:szCs w:val="20"/>
        </w:rPr>
        <w:t>an operator</w:t>
      </w:r>
      <w:r w:rsidR="006D3737" w:rsidRPr="006D3737">
        <w:rPr>
          <w:rFonts w:cs="Helvetica"/>
          <w:sz w:val="20"/>
          <w:szCs w:val="20"/>
        </w:rPr>
        <w:t>, will be used as a base for client’s aliases. An alias will be computed by performing</w:t>
      </w:r>
      <w:r>
        <w:rPr>
          <w:rFonts w:cs="Helvetica"/>
          <w:sz w:val="20"/>
          <w:szCs w:val="20"/>
        </w:rPr>
        <w:t xml:space="preserve"> the</w:t>
      </w:r>
      <w:r w:rsidR="006D3737" w:rsidRPr="006D3737">
        <w:rPr>
          <w:rFonts w:cs="Helvetica"/>
          <w:sz w:val="20"/>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w:t>
      </w:r>
      <w:proofErr w:type="gramStart"/>
      <w:r w:rsidRPr="006D3737">
        <w:rPr>
          <w:rFonts w:ascii="Times New Roman" w:hAnsi="Times New Roman" w:cs="Helvetica"/>
          <w:sz w:val="20"/>
          <w:szCs w:val="20"/>
        </w:rPr>
        <w:t xml:space="preserve">nonce </w:t>
      </w:r>
      <m:oMath>
        <w:proofErr w:type="gramEnd"/>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924D91">
        <w:rPr>
          <w:rFonts w:cs="Helvetica"/>
          <w:szCs w:val="20"/>
        </w:rPr>
        <w:t xml:space="preserve"> However</w:t>
      </w:r>
      <w:r w:rsidRPr="006D3737">
        <w:rPr>
          <w:rFonts w:cs="Helvetica"/>
          <w:szCs w:val="20"/>
        </w:rPr>
        <w:t xml:space="preserve"> </w:t>
      </w:r>
      <w:r w:rsidR="00924D91">
        <w:rPr>
          <w:rFonts w:cs="Helvetica"/>
          <w:szCs w:val="20"/>
        </w:rPr>
        <w:t>m</w:t>
      </w:r>
      <w:r>
        <w:rPr>
          <w:rFonts w:cs="Helvetica"/>
          <w:szCs w:val="20"/>
        </w:rPr>
        <w:t>aking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 xml:space="preserve">There </w:t>
      </w:r>
      <w:r w:rsidR="00924D91">
        <w:t>exist</w:t>
      </w:r>
      <w:r>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cols show similarity e.g.</w:t>
      </w:r>
      <w:r w:rsidR="00924D91">
        <w:t xml:space="preserve"> </w:t>
      </w:r>
      <w:r>
        <w:rPr>
          <w:i/>
        </w:rPr>
        <w:t xml:space="preserve">Initial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924D91">
        <w:t>while</w:t>
      </w:r>
      <w:r w:rsidR="00425374">
        <w:t xml:space="preserve"> </w:t>
      </w:r>
      <w:r w:rsidR="00425374" w:rsidRPr="00425374">
        <w:rPr>
          <w:i/>
        </w:rPr>
        <w:t>Reuse of a Connection</w:t>
      </w:r>
      <w:r w:rsidR="00425374">
        <w:t xml:space="preserve"> Card us</w:t>
      </w:r>
      <w:r w:rsidR="00924D91">
        <w:t>ing</w:t>
      </w:r>
      <w:r w:rsidR="00425374">
        <w:t xml:space="preserve">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t xml:space="preserve">The main protocol in the system is the </w:t>
      </w:r>
      <w:r w:rsidR="00425374">
        <w:t xml:space="preserve">End-to-End </w:t>
      </w:r>
      <w:r>
        <w:t>T</w:t>
      </w:r>
      <w:r w:rsidR="009021D7">
        <w:t>wo-way</w:t>
      </w:r>
      <w:r w:rsidR="00425374">
        <w:t xml:space="preserve"> protocols</w:t>
      </w:r>
      <w:r>
        <w:t xml:space="preserve"> which are also</w:t>
      </w:r>
      <w:r w:rsidR="00425374">
        <w:t xml:space="preserve"> the most common </w:t>
      </w:r>
      <w:r>
        <w:t xml:space="preserve">ones </w:t>
      </w:r>
      <w:r w:rsidR="00425374">
        <w:t>in the system.</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rsidR="00883A74" w:rsidRDefault="006E1BB6" w:rsidP="00C06BB4">
      <w:pPr>
        <w:pStyle w:val="IEEEParagraph"/>
      </w:pPr>
      <w:r>
        <w:rPr>
          <w:noProof/>
          <w:lang w:val="tr-TR" w:eastAsia="tr-TR"/>
        </w:rPr>
        <w:lastRenderedPageBreak/>
        <w:drawing>
          <wp:inline distT="0" distB="0" distL="0" distR="0">
            <wp:extent cx="3190875" cy="3219450"/>
            <wp:effectExtent l="19050" t="0" r="9525"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2"/>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rsidR="00883A74" w:rsidRDefault="00883A74" w:rsidP="00883A74">
      <w:pPr>
        <w:pStyle w:val="IEEEParagraph"/>
        <w:jc w:val="center"/>
        <w:rPr>
          <w:sz w:val="16"/>
          <w:szCs w:val="16"/>
        </w:rPr>
      </w:pPr>
      <w:proofErr w:type="gramStart"/>
      <w:r>
        <w:rPr>
          <w:sz w:val="16"/>
          <w:szCs w:val="16"/>
        </w:rPr>
        <w:t>Figure 2.</w:t>
      </w:r>
      <w:proofErr w:type="gramEnd"/>
      <w:r>
        <w:rPr>
          <w:sz w:val="16"/>
          <w:szCs w:val="16"/>
        </w:rPr>
        <w:t xml:space="preserve"> End-to-End Two Way Protocol Flow</w:t>
      </w:r>
    </w:p>
    <w:p w:rsidR="00392783" w:rsidRPr="00392783" w:rsidRDefault="00392783" w:rsidP="00883A74">
      <w:pPr>
        <w:pStyle w:val="IEEEParagraph"/>
        <w:jc w:val="center"/>
        <w:rPr>
          <w:szCs w:val="20"/>
        </w:rPr>
      </w:pPr>
    </w:p>
    <w:p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rsidR="002E34E6" w:rsidRDefault="00883A74" w:rsidP="00C06BB4">
      <w:pPr>
        <w:pStyle w:val="IEEEParagraph"/>
      </w:pPr>
      <w:r>
        <w:t xml:space="preserve">The beginning time of a session for a user is stored when a user performs one of the previously told two protocols. Disconnection protocol yields the ending time of the </w:t>
      </w:r>
      <w:proofErr w:type="spellStart"/>
      <w:r>
        <w:t>session.In</w:t>
      </w:r>
      <w:proofErr w:type="spellEnd"/>
      <w:r>
        <w:t xml:space="preserve"> this way, the TTP learns the amount of time that the user got served. This information is used for settlement purposes.</w:t>
      </w:r>
    </w:p>
    <w:p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6E1BB6" w:rsidP="001A09EB">
      <w:pPr>
        <w:pStyle w:val="IEEEParagraph"/>
        <w:jc w:val="center"/>
      </w:pPr>
      <w:r>
        <w:rPr>
          <w:noProof/>
          <w:lang w:val="tr-TR" w:eastAsia="tr-TR"/>
        </w:rPr>
        <w:drawing>
          <wp:inline distT="0" distB="0" distL="0" distR="0">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3"/>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rsidR="00883A74" w:rsidRDefault="001A09EB" w:rsidP="001A09EB">
      <w:pPr>
        <w:pStyle w:val="IEEEParagraph"/>
        <w:jc w:val="center"/>
        <w:rPr>
          <w:sz w:val="16"/>
          <w:szCs w:val="16"/>
        </w:rPr>
      </w:pPr>
      <w:proofErr w:type="gramStart"/>
      <w:r>
        <w:rPr>
          <w:sz w:val="16"/>
          <w:szCs w:val="16"/>
        </w:rPr>
        <w:t>Figure 3.</w:t>
      </w:r>
      <w:proofErr w:type="gramEnd"/>
      <w:r>
        <w:rPr>
          <w:sz w:val="16"/>
          <w:szCs w:val="16"/>
        </w:rPr>
        <w:t xml:space="preserve"> Access Point Authentication</w:t>
      </w:r>
    </w:p>
    <w:p w:rsidR="00392783" w:rsidRPr="00392783" w:rsidRDefault="00392783" w:rsidP="001A09EB">
      <w:pPr>
        <w:pStyle w:val="IEEEParagraph"/>
        <w:jc w:val="center"/>
        <w:rPr>
          <w:szCs w:val="20"/>
        </w:rPr>
      </w:pPr>
    </w:p>
    <w:p w:rsidR="001A09EB" w:rsidRPr="001A09EB" w:rsidRDefault="001A09EB" w:rsidP="001A09EB">
      <w:pPr>
        <w:jc w:val="both"/>
        <w:rPr>
          <w:sz w:val="20"/>
          <w:szCs w:val="20"/>
        </w:rPr>
      </w:pPr>
      <w:r w:rsidRPr="001A09EB">
        <w:rPr>
          <w:sz w:val="20"/>
          <w:szCs w:val="20"/>
        </w:rPr>
        <w:lastRenderedPageBreak/>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w:t>
      </w:r>
      <w:proofErr w:type="spellStart"/>
      <w:r>
        <w:t>a</w:t>
      </w:r>
      <w:r w:rsidR="00F31295">
        <w:t>n</w:t>
      </w:r>
      <w:r>
        <w:t>HMAC</w:t>
      </w:r>
      <w:proofErr w:type="spellEnd"/>
      <w:r w:rsidR="00F31295">
        <w:t xml:space="preserve"> operation</w:t>
      </w:r>
      <w:r>
        <w:t xml:space="preserve"> on this challenge using the last hash token as a key. Client performs the same operation and compares two results. If they match, access point is verified as authenticated.</w:t>
      </w:r>
    </w:p>
    <w:p w:rsidR="00805D97" w:rsidRDefault="00805D97" w:rsidP="00805D97">
      <w:pPr>
        <w:pStyle w:val="IEEEHeading2"/>
        <w:numPr>
          <w:ilvl w:val="1"/>
          <w:numId w:val="7"/>
        </w:numPr>
      </w:pPr>
      <w:r>
        <w:t>Packet Transfer</w:t>
      </w:r>
    </w:p>
    <w:p w:rsidR="00805D97" w:rsidRDefault="006E1BB6" w:rsidP="00805D97">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proofErr w:type="gramStart"/>
      <w:r w:rsidRPr="00805D97">
        <w:rPr>
          <w:sz w:val="16"/>
          <w:szCs w:val="16"/>
        </w:rPr>
        <w:t>Figure 4.</w:t>
      </w:r>
      <w:proofErr w:type="gramEnd"/>
      <w:r w:rsidRPr="00805D97">
        <w:rPr>
          <w:sz w:val="16"/>
          <w:szCs w:val="16"/>
        </w:rPr>
        <w:t xml:space="preserve"> </w:t>
      </w:r>
      <w:r>
        <w:rPr>
          <w:sz w:val="16"/>
          <w:szCs w:val="16"/>
        </w:rPr>
        <w:t>Packet Transfer</w:t>
      </w:r>
    </w:p>
    <w:p w:rsidR="00392783" w:rsidRPr="00392783" w:rsidRDefault="00392783" w:rsidP="00805D97">
      <w:pPr>
        <w:pStyle w:val="IEEEParagraph"/>
        <w:jc w:val="center"/>
        <w:rPr>
          <w:szCs w:val="20"/>
        </w:rPr>
      </w:pPr>
    </w:p>
    <w:p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rsidR="00805D97" w:rsidRDefault="00805D97" w:rsidP="00805D97">
      <w:pPr>
        <w:pStyle w:val="IEEEHeading2"/>
        <w:numPr>
          <w:ilvl w:val="1"/>
          <w:numId w:val="7"/>
        </w:numPr>
      </w:pPr>
      <w:r>
        <w:lastRenderedPageBreak/>
        <w:t>Update Packets</w:t>
      </w:r>
    </w:p>
    <w:p w:rsidR="00805D97" w:rsidRDefault="006E1BB6" w:rsidP="00805D97">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proofErr w:type="gramStart"/>
      <w:r>
        <w:rPr>
          <w:sz w:val="16"/>
          <w:szCs w:val="16"/>
        </w:rPr>
        <w:t>Figure 5.</w:t>
      </w:r>
      <w:proofErr w:type="gramEnd"/>
      <w:r>
        <w:rPr>
          <w:sz w:val="16"/>
          <w:szCs w:val="16"/>
        </w:rPr>
        <w:t xml:space="preserve"> Update Packets</w:t>
      </w:r>
    </w:p>
    <w:p w:rsidR="00A934FC" w:rsidRPr="00392783" w:rsidRDefault="00A934FC" w:rsidP="00A934FC">
      <w:pPr>
        <w:pStyle w:val="IEEEParagraph"/>
        <w:ind w:firstLine="0"/>
        <w:rPr>
          <w:szCs w:val="20"/>
        </w:rPr>
      </w:pPr>
    </w:p>
    <w:p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6E1BB6" w:rsidP="00A14592">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B44639" w:rsidRDefault="00B44639" w:rsidP="00B44639">
      <w:pPr>
        <w:pStyle w:val="IEEEParagraph"/>
        <w:jc w:val="center"/>
        <w:rPr>
          <w:sz w:val="16"/>
          <w:szCs w:val="16"/>
        </w:rPr>
      </w:pPr>
      <w:proofErr w:type="gramStart"/>
      <w:r>
        <w:rPr>
          <w:sz w:val="16"/>
          <w:szCs w:val="16"/>
        </w:rPr>
        <w:t>Figure 6.</w:t>
      </w:r>
      <w:proofErr w:type="gramEnd"/>
      <w:r>
        <w:rPr>
          <w:sz w:val="16"/>
          <w:szCs w:val="16"/>
        </w:rPr>
        <w:t xml:space="preserve"> Seamless</w:t>
      </w:r>
      <w:r w:rsidR="00B87FB5">
        <w:rPr>
          <w:sz w:val="16"/>
          <w:szCs w:val="16"/>
        </w:rPr>
        <w:t xml:space="preserve"> Mobility and</w:t>
      </w:r>
      <w:r>
        <w:rPr>
          <w:sz w:val="16"/>
          <w:szCs w:val="16"/>
        </w:rPr>
        <w:t xml:space="preserve"> Roaming</w:t>
      </w:r>
    </w:p>
    <w:p w:rsidR="00392783" w:rsidRPr="00392783" w:rsidRDefault="00392783" w:rsidP="00B44639">
      <w:pPr>
        <w:pStyle w:val="IEEEParagraph"/>
        <w:jc w:val="center"/>
        <w:rPr>
          <w:szCs w:val="20"/>
        </w:rPr>
      </w:pPr>
    </w:p>
    <w:p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 xml:space="preserve">equest packet to old access point. Old access point receives this packet and </w:t>
      </w:r>
      <w:r>
        <w:lastRenderedPageBreak/>
        <w:t>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 new access point and the client run a Challenge-Response protocol to authenticate new access point.</w:t>
      </w:r>
    </w:p>
    <w:p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proofErr w:type="spellStart"/>
      <w:r w:rsidR="000F53D1">
        <w:t>implementedin</w:t>
      </w:r>
      <w:proofErr w:type="spellEnd"/>
      <w:r w:rsidR="000F53D1">
        <w:t xml:space="preserve"> unit test</w:t>
      </w:r>
      <w:r w:rsidR="00B44639">
        <w:t xml:space="preserve"> because it runs in the background.</w:t>
      </w:r>
    </w:p>
    <w:p w:rsidR="00515210" w:rsidRDefault="00515210" w:rsidP="00515210">
      <w:pPr>
        <w:pStyle w:val="IEEEHeading2"/>
        <w:numPr>
          <w:ilvl w:val="1"/>
          <w:numId w:val="7"/>
        </w:numPr>
      </w:pPr>
      <w:r>
        <w:t>Distributing Access Point Public Keys</w:t>
      </w:r>
    </w:p>
    <w:p w:rsidR="00515210" w:rsidRPr="00515210" w:rsidRDefault="00515210" w:rsidP="00A14592">
      <w:pPr>
        <w:pStyle w:val="IEEEParagraph"/>
        <w:jc w:val="center"/>
      </w:pPr>
      <w:r w:rsidRPr="003543E2">
        <w:rPr>
          <w:noProof/>
          <w:sz w:val="24"/>
          <w:lang w:val="tr-TR" w:eastAsia="tr-TR"/>
        </w:rPr>
        <w:drawing>
          <wp:inline distT="0" distB="0" distL="0" distR="0">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7"/>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proofErr w:type="gramStart"/>
      <w:r>
        <w:rPr>
          <w:sz w:val="16"/>
          <w:szCs w:val="16"/>
        </w:rPr>
        <w:t>Figure 7.</w:t>
      </w:r>
      <w:proofErr w:type="gramEnd"/>
      <w:r>
        <w:rPr>
          <w:sz w:val="16"/>
          <w:szCs w:val="16"/>
        </w:rPr>
        <w:t xml:space="preserve"> Distributing Access Point Public Keys</w:t>
      </w:r>
    </w:p>
    <w:p w:rsidR="00392783" w:rsidRPr="00392783" w:rsidRDefault="00392783" w:rsidP="00515210">
      <w:pPr>
        <w:pStyle w:val="IEEEParagraph"/>
        <w:jc w:val="center"/>
        <w:rPr>
          <w:szCs w:val="20"/>
        </w:rPr>
      </w:pPr>
    </w:p>
    <w:p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w:t>
      </w:r>
      <w:proofErr w:type="spellStart"/>
      <w:r>
        <w:t>systemare</w:t>
      </w:r>
      <w:proofErr w:type="spellEnd"/>
      <w:r>
        <w:t xml:space="preserv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lastRenderedPageBreak/>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C45937" w:rsidRDefault="00B33B45" w:rsidP="00C45937">
      <w:pPr>
        <w:pStyle w:val="IEEEParagraph"/>
        <w:jc w:val="center"/>
        <w:rPr>
          <w:sz w:val="16"/>
          <w:szCs w:val="16"/>
        </w:rPr>
      </w:pPr>
      <w:proofErr w:type="gramStart"/>
      <w:r>
        <w:rPr>
          <w:sz w:val="16"/>
          <w:szCs w:val="16"/>
        </w:rPr>
        <w:t>Figure 8.</w:t>
      </w:r>
      <w:proofErr w:type="gramEnd"/>
      <w:r>
        <w:rPr>
          <w:sz w:val="16"/>
          <w:szCs w:val="16"/>
        </w:rPr>
        <w:t xml:space="preserve"> End-to-End Two-Way p</w:t>
      </w:r>
      <w:r w:rsidR="00C45937">
        <w:rPr>
          <w:sz w:val="16"/>
          <w:szCs w:val="16"/>
        </w:rPr>
        <w:t>rotocol</w:t>
      </w:r>
      <w:r w:rsidR="007A7E5D">
        <w:rPr>
          <w:sz w:val="16"/>
          <w:szCs w:val="16"/>
        </w:rPr>
        <w:t>s</w:t>
      </w:r>
      <w:r w:rsidR="00C45937">
        <w:rPr>
          <w:sz w:val="16"/>
          <w:szCs w:val="16"/>
        </w:rPr>
        <w:t xml:space="preserve"> Unit Test Result</w:t>
      </w:r>
    </w:p>
    <w:p w:rsidR="00392783" w:rsidRPr="00392783" w:rsidRDefault="00392783" w:rsidP="00C45937">
      <w:pPr>
        <w:pStyle w:val="IEEEParagraph"/>
        <w:jc w:val="center"/>
        <w:rPr>
          <w:szCs w:val="20"/>
        </w:rPr>
      </w:pPr>
    </w:p>
    <w:p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proofErr w:type="spellStart"/>
      <w:r>
        <w:t>time</w:t>
      </w:r>
      <w:r w:rsidR="00374371">
        <w:t>.Steady</w:t>
      </w:r>
      <w:proofErr w:type="spellEnd"/>
      <w:r w:rsidR="00374371">
        <w:t xml:space="preserve"> state situation </w:t>
      </w:r>
      <w:proofErr w:type="spellStart"/>
      <w:r w:rsidR="00374371">
        <w:t>scoresa</w:t>
      </w:r>
      <w:proofErr w:type="spellEnd"/>
      <w:r>
        <w:t xml:space="preserve"> delay of 0.3 </w:t>
      </w:r>
      <w:proofErr w:type="spellStart"/>
      <w:r>
        <w:t>secondfor</w:t>
      </w:r>
      <w:proofErr w:type="spellEnd"/>
      <w:r>
        <w:t xml:space="preserve"> end-to-end communication for </w:t>
      </w:r>
      <w:r w:rsidR="00374371">
        <w:t>above-mentioned</w:t>
      </w:r>
      <w:r>
        <w:t xml:space="preserve"> protocols.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proofErr w:type="gramStart"/>
      <w:r>
        <w:rPr>
          <w:sz w:val="16"/>
          <w:szCs w:val="16"/>
        </w:rPr>
        <w:t>Figure 9.</w:t>
      </w:r>
      <w:proofErr w:type="gramEnd"/>
      <w:r>
        <w:rPr>
          <w:sz w:val="16"/>
          <w:szCs w:val="16"/>
        </w:rPr>
        <w:t xml:space="preserve"> Access Point Authentication</w:t>
      </w:r>
      <w:r w:rsidR="00B33B45">
        <w:rPr>
          <w:sz w:val="16"/>
          <w:szCs w:val="16"/>
        </w:rPr>
        <w:t xml:space="preserve"> </w:t>
      </w:r>
      <w:r w:rsidR="007A7E5D">
        <w:rPr>
          <w:sz w:val="16"/>
          <w:szCs w:val="16"/>
        </w:rPr>
        <w:t>protocol</w:t>
      </w:r>
      <w:r>
        <w:rPr>
          <w:sz w:val="16"/>
          <w:szCs w:val="16"/>
        </w:rPr>
        <w:t xml:space="preserve"> Unit Test Result</w:t>
      </w:r>
    </w:p>
    <w:p w:rsidR="00392783"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 xml:space="preserve">same length of </w:t>
      </w:r>
      <w:proofErr w:type="spellStart"/>
      <w:r w:rsidRPr="005F639D">
        <w:t>packets.</w:t>
      </w:r>
      <w:r w:rsidRPr="00066D04">
        <w:t>Thus</w:t>
      </w:r>
      <w:proofErr w:type="gramStart"/>
      <w:r>
        <w:t>,</w:t>
      </w:r>
      <w:r w:rsidR="0024228F">
        <w:t>they</w:t>
      </w:r>
      <w:proofErr w:type="spellEnd"/>
      <w:proofErr w:type="gramEnd"/>
      <w:r w:rsidR="0024228F">
        <w:t xml:space="preserve">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proofErr w:type="gramStart"/>
      <w:r>
        <w:rPr>
          <w:sz w:val="16"/>
          <w:szCs w:val="16"/>
        </w:rPr>
        <w:t>Figure 10.</w:t>
      </w:r>
      <w:proofErr w:type="gramEnd"/>
      <w:r>
        <w:rPr>
          <w:sz w:val="16"/>
          <w:szCs w:val="16"/>
        </w:rPr>
        <w:t xml:space="preserve"> Seamless Mobility and Roaming</w:t>
      </w:r>
      <w:r w:rsidR="00B33B45">
        <w:rPr>
          <w:sz w:val="16"/>
          <w:szCs w:val="16"/>
        </w:rPr>
        <w:t xml:space="preserve"> </w:t>
      </w:r>
      <w:r w:rsidR="007A7E5D">
        <w:rPr>
          <w:sz w:val="16"/>
          <w:szCs w:val="16"/>
        </w:rPr>
        <w:t>protocols</w:t>
      </w:r>
      <w:r>
        <w:rPr>
          <w:sz w:val="16"/>
          <w:szCs w:val="16"/>
        </w:rPr>
        <w:t xml:space="preserve"> Unit Test Result</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w:t>
      </w:r>
      <w:proofErr w:type="spellStart"/>
      <w:r>
        <w:t>it’s</w:t>
      </w:r>
      <w:proofErr w:type="spellEnd"/>
      <w:r>
        <w:t xml:space="preserve"> often use. </w:t>
      </w:r>
      <w:r w:rsidRPr="005F639D">
        <w:t xml:space="preserve">Packet transfer unit </w:t>
      </w:r>
      <w:proofErr w:type="spellStart"/>
      <w:r>
        <w:t>testscenario</w:t>
      </w:r>
      <w:proofErr w:type="spellEnd"/>
      <w:r>
        <w:t xml:space="preserve">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proofErr w:type="gramStart"/>
      <w:r>
        <w:rPr>
          <w:sz w:val="16"/>
          <w:szCs w:val="16"/>
        </w:rPr>
        <w:t>Figure 11.</w:t>
      </w:r>
      <w:proofErr w:type="gramEnd"/>
      <w:r>
        <w:rPr>
          <w:sz w:val="16"/>
          <w:szCs w:val="16"/>
        </w:rPr>
        <w:t xml:space="preserve"> Packet Transfer</w:t>
      </w:r>
      <w:r w:rsidR="00B33B45">
        <w:rPr>
          <w:sz w:val="16"/>
          <w:szCs w:val="16"/>
        </w:rPr>
        <w:t xml:space="preserve"> </w:t>
      </w:r>
      <w:r w:rsidR="007A7E5D">
        <w:rPr>
          <w:sz w:val="16"/>
          <w:szCs w:val="16"/>
        </w:rPr>
        <w:t>protocol</w:t>
      </w:r>
      <w:r>
        <w:rPr>
          <w:sz w:val="16"/>
          <w:szCs w:val="16"/>
        </w:rPr>
        <w:t xml:space="preserve"> Unit Test Result</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 xml:space="preserve">but expectedly it reaches a balance </w:t>
      </w:r>
      <w:r w:rsidR="00792CDF">
        <w:lastRenderedPageBreak/>
        <w:t>through time</w:t>
      </w:r>
      <w:r>
        <w:t>.</w:t>
      </w:r>
      <w:r w:rsidR="00792CDF">
        <w:t xml:space="preserve"> As seen on Figure 11, a</w:t>
      </w:r>
      <w:r>
        <w:t xml:space="preserve">t steady </w:t>
      </w:r>
      <w:proofErr w:type="spellStart"/>
      <w:r>
        <w:t>state</w:t>
      </w:r>
      <w:proofErr w:type="gramStart"/>
      <w:r>
        <w:t>,</w:t>
      </w:r>
      <w:r w:rsidR="00792CDF">
        <w:t>packets</w:t>
      </w:r>
      <w:proofErr w:type="spellEnd"/>
      <w:proofErr w:type="gramEnd"/>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proofErr w:type="spellStart"/>
      <w:r w:rsidR="00347495">
        <w:t>and</w:t>
      </w:r>
      <w:r>
        <w:t>TTP</w:t>
      </w:r>
      <w:proofErr w:type="spellEnd"/>
      <w:r>
        <w:t xml:space="preserve">. In this simulation access point updates the user info stored at operator. Figure 12 shows the average delay of </w:t>
      </w:r>
      <w:r w:rsidRPr="007A7E5D">
        <w:t>Update Packets</w:t>
      </w:r>
      <w:r>
        <w:t xml:space="preserve"> protocol over time.</w:t>
      </w:r>
    </w:p>
    <w:p w:rsidR="007A7E5D" w:rsidRDefault="006A30B1" w:rsidP="006A30B1">
      <w:pPr>
        <w:pStyle w:val="IEEEParagraph"/>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7A7E5D" w:rsidRDefault="007A7E5D" w:rsidP="007A7E5D">
      <w:pPr>
        <w:pStyle w:val="IEEEParagraph"/>
        <w:jc w:val="center"/>
        <w:rPr>
          <w:sz w:val="16"/>
          <w:szCs w:val="16"/>
        </w:rPr>
      </w:pPr>
      <w:proofErr w:type="gramStart"/>
      <w:r>
        <w:rPr>
          <w:sz w:val="16"/>
          <w:szCs w:val="16"/>
        </w:rPr>
        <w:t>Figure 12.</w:t>
      </w:r>
      <w:proofErr w:type="gramEnd"/>
      <w:r>
        <w:rPr>
          <w:sz w:val="16"/>
          <w:szCs w:val="16"/>
        </w:rPr>
        <w:t xml:space="preserve"> Update Packets protocol Unit Test Result</w:t>
      </w:r>
    </w:p>
    <w:p w:rsidR="007A7E5D" w:rsidRPr="007A7E5D"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w:t>
      </w:r>
      <w:bookmarkStart w:id="0" w:name="_GoBack"/>
      <w:bookmarkEnd w:id="0"/>
      <w:r>
        <w:t>t</w:t>
      </w:r>
      <w:r w:rsidR="006A30B1">
        <w:t xml:space="preserve"> </w:t>
      </w:r>
      <w:r>
        <w: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rsidR="00792CDF" w:rsidRDefault="00792CDF" w:rsidP="00792CDF">
      <w:pPr>
        <w:pStyle w:val="IEEEHeading1"/>
      </w:pPr>
      <w:r>
        <w:lastRenderedPageBreak/>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rsidR="0062033E" w:rsidRPr="00792CDF" w:rsidRDefault="00F706E6" w:rsidP="00792CDF">
      <w:pPr>
        <w:pStyle w:val="IEEEParagraph"/>
      </w:pPr>
      <w:r>
        <w:t>Results</w:t>
      </w:r>
      <w:r w:rsidR="00CC4A93">
        <w:t xml:space="preserve"> </w:t>
      </w:r>
      <w:r>
        <w:t>are</w:t>
      </w:r>
      <w:r w:rsidR="00792CDF">
        <w:t xml:space="preserve"> very important since the actual usage of </w:t>
      </w:r>
      <w:r w:rsidR="00154B72">
        <w:t>the system</w:t>
      </w:r>
      <w:r w:rsidR="00792CDF">
        <w:t xml:space="preserve"> is a combination of these protocols. </w:t>
      </w:r>
      <w:r>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proofErr w:type="spellStart"/>
      <w:r>
        <w:t>Akyildiz</w:t>
      </w:r>
      <w:proofErr w:type="spellEnd"/>
      <w:r>
        <w:t xml:space="preserve">, I. F., Wang, </w:t>
      </w:r>
      <w:proofErr w:type="spellStart"/>
      <w:r>
        <w:t>X.</w:t>
      </w:r>
      <w:proofErr w:type="gramStart"/>
      <w:r>
        <w:t>,and</w:t>
      </w:r>
      <w:proofErr w:type="spellEnd"/>
      <w:proofErr w:type="gramEnd"/>
      <w:r>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P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348A5"/>
    <w:rsid w:val="00151B8E"/>
    <w:rsid w:val="00154B72"/>
    <w:rsid w:val="0016722E"/>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73D37"/>
    <w:rsid w:val="00374371"/>
    <w:rsid w:val="00375879"/>
    <w:rsid w:val="00392783"/>
    <w:rsid w:val="00392E78"/>
    <w:rsid w:val="003950A4"/>
    <w:rsid w:val="003E3577"/>
    <w:rsid w:val="003F3A61"/>
    <w:rsid w:val="0040106A"/>
    <w:rsid w:val="00410A5D"/>
    <w:rsid w:val="00413EBE"/>
    <w:rsid w:val="00414909"/>
    <w:rsid w:val="0041742D"/>
    <w:rsid w:val="00422C32"/>
    <w:rsid w:val="00425374"/>
    <w:rsid w:val="00425A6A"/>
    <w:rsid w:val="00426FBB"/>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6305"/>
    <w:rsid w:val="0064799C"/>
    <w:rsid w:val="00654156"/>
    <w:rsid w:val="00684873"/>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77E5"/>
    <w:rsid w:val="008D1045"/>
    <w:rsid w:val="008E4C8C"/>
    <w:rsid w:val="008E5996"/>
    <w:rsid w:val="00901AE1"/>
    <w:rsid w:val="009021D7"/>
    <w:rsid w:val="009170DD"/>
    <w:rsid w:val="009205B4"/>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33B45"/>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csrc.nist.gov/publications/fips/fips197/fips-197.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nsnam.or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17953</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52</cp:revision>
  <cp:lastPrinted>2008-12-31T10:29:00Z</cp:lastPrinted>
  <dcterms:created xsi:type="dcterms:W3CDTF">2012-12-03T20:31:00Z</dcterms:created>
  <dcterms:modified xsi:type="dcterms:W3CDTF">2012-12-17T21:48:00Z</dcterms:modified>
</cp:coreProperties>
</file>