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proofErr w:type="spellStart"/>
      <w:r w:rsidR="00BC2146">
        <w:t>access.</w:t>
      </w:r>
      <w:r w:rsidR="0016722E">
        <w:t>Compared</w:t>
      </w:r>
      <w:proofErr w:type="spellEnd"/>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87162E">
        <w:t>algorithms, every</w:t>
      </w:r>
      <w:r w:rsidR="00974F6C">
        <w:t xml:space="preserve"> action could have an undeniable cryptographic proof so that</w:t>
      </w:r>
      <w:r>
        <w:t xml:space="preserve"> </w:t>
      </w:r>
      <w:r w:rsidR="0087162E">
        <w:t>the client</w:t>
      </w:r>
      <w:r w:rsidR="00587F32">
        <w:t xml:space="preserve">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A341AB">
        <w:fldChar w:fldCharType="begin"/>
      </w:r>
      <w:r w:rsidR="009270F3">
        <w:instrText xml:space="preserve"> SEQ TABLE \* ROMAN </w:instrText>
      </w:r>
      <w:r w:rsidR="00A341AB">
        <w:fldChar w:fldCharType="separate"/>
      </w:r>
      <w:r>
        <w:rPr>
          <w:noProof/>
        </w:rPr>
        <w:t>I</w:t>
      </w:r>
      <w:r w:rsidR="00A341AB">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9568F3" w:rsidTr="00C0348C">
        <w:tc>
          <w:tcPr>
            <w:tcW w:w="1626" w:type="dxa"/>
            <w:shd w:val="clear" w:color="auto" w:fill="auto"/>
            <w:vAlign w:val="center"/>
          </w:tcPr>
          <w:p w:rsidR="009568F3" w:rsidRDefault="00890A55" w:rsidP="00512536">
            <w:pPr>
              <w:pStyle w:val="IEEEParagraph"/>
              <w:ind w:firstLine="0"/>
              <w:jc w:val="center"/>
            </w:pPr>
            <w:r w:rsidRPr="00890A55">
              <w:drawing>
                <wp:inline distT="0" distB="0" distL="0" distR="0">
                  <wp:extent cx="276225" cy="295275"/>
                  <wp:effectExtent l="19050" t="0" r="9525" b="0"/>
                  <wp:docPr id="2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5"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890A55" w:rsidP="00512536">
            <w:pPr>
              <w:pStyle w:val="IEEEParagraph"/>
              <w:ind w:firstLine="0"/>
              <w:jc w:val="center"/>
            </w:pPr>
            <w:r w:rsidRPr="00890A55">
              <w:drawing>
                <wp:inline distT="0" distB="0" distL="0" distR="0">
                  <wp:extent cx="466725" cy="352425"/>
                  <wp:effectExtent l="19050" t="0" r="9525" b="0"/>
                  <wp:docPr id="2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6"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 xml:space="preserve">Access Point (AP). From now on in this document, it is called as AP, but please </w:t>
            </w:r>
            <w:proofErr w:type="gramStart"/>
            <w:r w:rsidRPr="009568F3">
              <w:rPr>
                <w:sz w:val="16"/>
                <w:szCs w:val="16"/>
              </w:rPr>
              <w:t>note</w:t>
            </w:r>
            <w:proofErr w:type="gramEnd"/>
            <w:r w:rsidRPr="009568F3">
              <w:rPr>
                <w:sz w:val="16"/>
                <w:szCs w:val="16"/>
              </w:rPr>
              <w:t xml:space="preserve"> that it also has routing capability.</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890A55" w:rsidP="00512536">
            <w:pPr>
              <w:pStyle w:val="IEEEParagraph"/>
              <w:ind w:firstLine="0"/>
              <w:jc w:val="center"/>
            </w:pPr>
            <w:r w:rsidRPr="00890A55">
              <w:drawing>
                <wp:inline distT="0" distB="0" distL="0" distR="0">
                  <wp:extent cx="438150" cy="266326"/>
                  <wp:effectExtent l="19050" t="0" r="0" b="0"/>
                  <wp:docPr id="2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8"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890A55">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890A55" w:rsidP="00512536">
            <w:pPr>
              <w:pStyle w:val="IEEEParagraph"/>
              <w:ind w:firstLine="0"/>
              <w:jc w:val="center"/>
            </w:pPr>
            <w:r w:rsidRPr="00890A55">
              <w:drawing>
                <wp:inline distT="0" distB="0" distL="0" distR="0">
                  <wp:extent cx="183806" cy="400050"/>
                  <wp:effectExtent l="19050" t="0" r="6694" b="0"/>
                  <wp:docPr id="25"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9"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890A55">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proofErr w:type="gramStart"/>
      <w:r>
        <w:rPr>
          <w:sz w:val="16"/>
          <w:szCs w:val="16"/>
        </w:rPr>
        <w:t>Figure 1.</w:t>
      </w:r>
      <w:proofErr w:type="gramEnd"/>
      <w:r>
        <w:rPr>
          <w:sz w:val="16"/>
          <w:szCs w:val="16"/>
        </w:rPr>
        <w:t xml:space="preserve"> Network Topology</w:t>
      </w:r>
    </w:p>
    <w:p w:rsidR="00C0348C" w:rsidRDefault="00C0348C" w:rsidP="00C0348C">
      <w:pPr>
        <w:pStyle w:val="IEEEParagraph"/>
        <w:ind w:firstLine="215"/>
        <w:rPr>
          <w:szCs w:val="20"/>
        </w:rPr>
      </w:pP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BE6DCE" w:rsidRPr="00E0079D">
        <w:rPr>
          <w:rFonts w:cs="Helvetica"/>
        </w:rPr>
        <w:t>wire</w:t>
      </w:r>
      <w:r w:rsidR="00BE6DCE">
        <w:rPr>
          <w:rFonts w:cs="Helvetica"/>
        </w:rPr>
        <w:t>d connection</w:t>
      </w:r>
      <w:r w:rsidRPr="00E0079D">
        <w:rPr>
          <w:rFonts w:cs="Helvetica"/>
        </w:rPr>
        <w:t xml:space="preserve">. The connection between an operator and TTP is </w:t>
      </w:r>
      <w:r w:rsidR="00C0348C">
        <w:rPr>
          <w:rFonts w:cs="Helvetica"/>
        </w:rPr>
        <w:t xml:space="preserve">also </w:t>
      </w:r>
      <w:r w:rsidR="00BE6DCE">
        <w:rPr>
          <w:rFonts w:cs="Helvetica"/>
        </w:rPr>
        <w:t>wired</w:t>
      </w:r>
      <w:r w:rsidR="00BE6DCE" w:rsidRPr="00E0079D">
        <w:rPr>
          <w:rFonts w:cs="Helvetica"/>
        </w:rPr>
        <w:t>.</w:t>
      </w:r>
      <w:r w:rsidR="00BE6DCE">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A341A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A341A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A341AB"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A341AB"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A341AB"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lastRenderedPageBreak/>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w:t>
      </w:r>
      <w:proofErr w:type="gramStart"/>
      <w:r w:rsidRPr="006D3737">
        <w:rPr>
          <w:rFonts w:ascii="Times New Roman" w:hAnsi="Times New Roman" w:cs="Helvetica"/>
          <w:sz w:val="20"/>
          <w:szCs w:val="20"/>
        </w:rPr>
        <w:t xml:space="preserve">nonce </w:t>
      </w:r>
      <m:oMath>
        <w:proofErr w:type="gramEnd"/>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924D91">
        <w:rPr>
          <w:rFonts w:cs="Helvetica"/>
          <w:szCs w:val="20"/>
        </w:rPr>
        <w:t xml:space="preserve"> </w:t>
      </w:r>
      <w:r w:rsidR="00BE6DCE">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BE6DCE">
        <w:t>exist 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 xml:space="preserve">cols show similarity </w:t>
      </w:r>
      <w:r w:rsidR="00BE6DCE">
        <w:t>e.g.</w:t>
      </w:r>
      <w:r w:rsidR="00BE6DCE">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BE6DCE">
        <w:t>while</w:t>
      </w:r>
      <w:r w:rsidR="00BE6DCE"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425374">
        <w:t xml:space="preserve"> protocols</w:t>
      </w:r>
      <w:r>
        <w:t xml:space="preserve"> which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883A74" w:rsidRDefault="008C75CA" w:rsidP="00443D80">
      <w:pPr>
        <w:pStyle w:val="IEEEParagraph"/>
        <w:jc w:val="center"/>
      </w:pPr>
      <w:r>
        <w:rPr>
          <w:noProof/>
          <w:lang w:val="tr-TR" w:eastAsia="tr-TR"/>
        </w:rPr>
        <w:lastRenderedPageBreak/>
        <w:drawing>
          <wp:inline distT="0" distB="0" distL="0" distR="0">
            <wp:extent cx="3191510" cy="3217545"/>
            <wp:effectExtent l="19050" t="0" r="8890" b="0"/>
            <wp:docPr id="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91510" cy="3217545"/>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DB2AB5">
        <w:t xml:space="preserve"> </w:t>
      </w:r>
      <w:r w:rsidR="00F31295">
        <w:t>hash token index</w:t>
      </w:r>
      <w:r>
        <w:t xml:space="preserve">. </w:t>
      </w:r>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443D80" w:rsidP="001A09EB">
      <w:pPr>
        <w:pStyle w:val="IEEEParagraph"/>
        <w:jc w:val="center"/>
      </w:pPr>
      <w:r>
        <w:rPr>
          <w:noProof/>
          <w:lang w:val="tr-TR" w:eastAsia="tr-TR"/>
        </w:rPr>
        <w:drawing>
          <wp:inline distT="0" distB="0" distL="0" distR="0">
            <wp:extent cx="2362200" cy="1323975"/>
            <wp:effectExtent l="19050" t="0" r="0" b="0"/>
            <wp:docPr id="20" name="Picture 2"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New.png"/>
                    <pic:cNvPicPr>
                      <a:picLocks noChangeAspect="1" noChangeArrowheads="1"/>
                    </pic:cNvPicPr>
                  </pic:nvPicPr>
                  <pic:blipFill>
                    <a:blip r:embed="rId13"/>
                    <a:srcRect/>
                    <a:stretch>
                      <a:fillRect/>
                    </a:stretch>
                  </pic:blipFill>
                  <pic:spPr bwMode="auto">
                    <a:xfrm>
                      <a:off x="0" y="0"/>
                      <a:ext cx="2362200" cy="13239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CA074F">
        <w:t xml:space="preserve"> </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sidRPr="00805D97">
        <w:rPr>
          <w:sz w:val="16"/>
          <w:szCs w:val="16"/>
        </w:rPr>
        <w:t>Figure 4.</w:t>
      </w:r>
      <w:proofErr w:type="gramEnd"/>
      <w:r w:rsidRPr="00805D97">
        <w:rPr>
          <w:sz w:val="16"/>
          <w:szCs w:val="16"/>
        </w:rPr>
        <w:t xml:space="preserve"> </w:t>
      </w:r>
      <w:r>
        <w:rPr>
          <w:sz w:val="16"/>
          <w:szCs w:val="16"/>
        </w:rPr>
        <w:t>Packet Transfer</w:t>
      </w:r>
    </w:p>
    <w:p w:rsidR="00392783" w:rsidRPr="00392783" w:rsidRDefault="00392783" w:rsidP="00805D97">
      <w:pPr>
        <w:pStyle w:val="IEEEParagraph"/>
        <w:jc w:val="center"/>
        <w:rPr>
          <w:szCs w:val="20"/>
        </w:rPr>
      </w:pPr>
    </w:p>
    <w:p w:rsidR="00805D97" w:rsidRDefault="00EA6ECF" w:rsidP="00805D97">
      <w:pPr>
        <w:pStyle w:val="IEEEParagraph"/>
      </w:pPr>
      <w:r>
        <w:rPr>
          <w:i/>
        </w:rPr>
        <w:t>Packet T</w:t>
      </w:r>
      <w:r w:rsidR="00805D97" w:rsidRPr="00EA6ECF">
        <w:rPr>
          <w:i/>
        </w:rPr>
        <w:t>ransfer</w:t>
      </w:r>
      <w:r w:rsidR="008A31D9" w:rsidRPr="008A31D9">
        <w:t xml:space="preserve"> </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 xml:space="preserve">f </w:t>
      </w:r>
      <w:r w:rsidR="0021620E">
        <w:lastRenderedPageBreak/>
        <w:t>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proofErr w:type="gramStart"/>
      <w:r>
        <w:rPr>
          <w:sz w:val="16"/>
          <w:szCs w:val="16"/>
        </w:rPr>
        <w:t>Figure 5.</w:t>
      </w:r>
      <w:proofErr w:type="gramEnd"/>
      <w:r>
        <w:rPr>
          <w:sz w:val="16"/>
          <w:szCs w:val="16"/>
        </w:rPr>
        <w:t xml:space="preserve">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EA6ECF">
        <w:rPr>
          <w:sz w:val="20"/>
          <w:szCs w:val="20"/>
        </w:rPr>
        <w:t xml:space="preserve"> </w:t>
      </w:r>
      <w:proofErr w:type="spellStart"/>
      <w:r w:rsidR="00EA6ECF">
        <w:rPr>
          <w:sz w:val="20"/>
          <w:szCs w:val="20"/>
        </w:rPr>
        <w:t>beinformed</w:t>
      </w:r>
      <w:proofErr w:type="spellEnd"/>
      <w:r w:rsidR="00EA6ECF">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proofErr w:type="gramStart"/>
      <w:r>
        <w:rPr>
          <w:sz w:val="16"/>
          <w:szCs w:val="16"/>
        </w:rPr>
        <w:t>Figure 6.</w:t>
      </w:r>
      <w:proofErr w:type="gramEnd"/>
      <w:r>
        <w:rPr>
          <w:sz w:val="16"/>
          <w:szCs w:val="16"/>
        </w:rPr>
        <w:t xml:space="preserve">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lastRenderedPageBreak/>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proofErr w:type="spellStart"/>
      <w:r w:rsidR="000F53D1">
        <w:t>implementedin</w:t>
      </w:r>
      <w:proofErr w:type="spellEnd"/>
      <w:r w:rsidR="004008DA">
        <w:t xml:space="preserve"> the</w:t>
      </w:r>
      <w:r w:rsidR="000F53D1">
        <w:t xml:space="preserve"> unit test</w:t>
      </w:r>
      <w:r w:rsidR="00B44639">
        <w:t xml:space="preserve"> because it runs in background.</w:t>
      </w:r>
    </w:p>
    <w:p w:rsidR="00515210" w:rsidRDefault="00515210" w:rsidP="00515210">
      <w:pPr>
        <w:pStyle w:val="IEEEHeading2"/>
        <w:numPr>
          <w:ilvl w:val="1"/>
          <w:numId w:val="7"/>
        </w:numPr>
      </w:pPr>
      <w:r>
        <w:t>Distributing Access Point Public Keys</w:t>
      </w:r>
    </w:p>
    <w:p w:rsidR="00515210" w:rsidRPr="00515210" w:rsidRDefault="008A31D9" w:rsidP="00A14592">
      <w:pPr>
        <w:pStyle w:val="IEEEParagraph"/>
        <w:jc w:val="center"/>
      </w:pPr>
      <w:r>
        <w:rPr>
          <w:noProof/>
          <w:sz w:val="24"/>
          <w:lang w:val="tr-TR" w:eastAsia="tr-TR"/>
        </w:rPr>
        <w:drawing>
          <wp:inline distT="0" distB="0" distL="0" distR="0">
            <wp:extent cx="3143250" cy="1838325"/>
            <wp:effectExtent l="19050" t="0" r="0" b="0"/>
            <wp:docPr id="21" name="Picture 3"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distributingPublicKeys.png"/>
                    <pic:cNvPicPr>
                      <a:picLocks noChangeAspect="1" noChangeArrowheads="1"/>
                    </pic:cNvPicPr>
                  </pic:nvPicPr>
                  <pic:blipFill>
                    <a:blip r:embed="rId17"/>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392783" w:rsidRPr="00392783" w:rsidRDefault="00392783" w:rsidP="00515210">
      <w:pPr>
        <w:pStyle w:val="IEEEParagraph"/>
        <w:jc w:val="center"/>
        <w:rPr>
          <w:szCs w:val="20"/>
        </w:rPr>
      </w:pPr>
    </w:p>
    <w:p w:rsidR="00BF0D6D" w:rsidRPr="00BF0D6D" w:rsidRDefault="00B37B40" w:rsidP="00BF0D6D">
      <w:pPr>
        <w:pStyle w:val="IEEEParagraph"/>
        <w:rPr>
          <w:rFonts w:cs="Helvetica"/>
          <w:szCs w:val="20"/>
        </w:rPr>
      </w:pPr>
      <w:r>
        <w:rPr>
          <w:rFonts w:cs="Helvetica"/>
          <w:szCs w:val="20"/>
        </w:rPr>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8C75CA">
        <w:t xml:space="preserve"> </w:t>
      </w:r>
      <w:r>
        <w:t>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proofErr w:type="gramStart"/>
      <w:r>
        <w:rPr>
          <w:sz w:val="16"/>
          <w:szCs w:val="16"/>
        </w:rPr>
        <w:t>Figure 8.</w:t>
      </w:r>
      <w:proofErr w:type="gramEnd"/>
      <w:r>
        <w:rPr>
          <w:sz w:val="16"/>
          <w:szCs w:val="16"/>
        </w:rPr>
        <w:t xml:space="preserve">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Average delay shows a peak by the end however the difference between highest and lowest values of t</w:t>
      </w:r>
      <w:bookmarkStart w:id="0" w:name="_GoBack"/>
      <w:bookmarkEnd w:id="0"/>
      <w:r w:rsidR="003D17F2">
        <w:t xml:space="preserve">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proofErr w:type="gramStart"/>
      <w:r>
        <w:rPr>
          <w:sz w:val="16"/>
          <w:szCs w:val="16"/>
        </w:rPr>
        <w:t>Figure 9.</w:t>
      </w:r>
      <w:proofErr w:type="gramEnd"/>
      <w:r>
        <w:rPr>
          <w:sz w:val="16"/>
          <w:szCs w:val="16"/>
        </w:rPr>
        <w:t xml:space="preserve"> Access Point </w:t>
      </w:r>
      <w:proofErr w:type="spellStart"/>
      <w:r>
        <w:rPr>
          <w:sz w:val="16"/>
          <w:szCs w:val="16"/>
        </w:rPr>
        <w:t>Authentication</w:t>
      </w:r>
      <w:r w:rsidR="007A7E5D">
        <w:rPr>
          <w:sz w:val="16"/>
          <w:szCs w:val="16"/>
        </w:rPr>
        <w:t>protocol</w:t>
      </w:r>
      <w:proofErr w:type="spellEnd"/>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 xml:space="preserve">same length of </w:t>
      </w:r>
      <w:proofErr w:type="spellStart"/>
      <w:r w:rsidRPr="005F639D">
        <w:t>packets.</w:t>
      </w:r>
      <w:r w:rsidRPr="00066D04">
        <w:t>Thus</w:t>
      </w:r>
      <w:proofErr w:type="gramStart"/>
      <w:r>
        <w:t>,</w:t>
      </w:r>
      <w:r w:rsidR="0024228F">
        <w:t>they</w:t>
      </w:r>
      <w:proofErr w:type="spellEnd"/>
      <w:proofErr w:type="gramEnd"/>
      <w:r w:rsidR="0024228F">
        <w:t xml:space="preserve">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proofErr w:type="gramStart"/>
      <w:r>
        <w:rPr>
          <w:sz w:val="16"/>
          <w:szCs w:val="16"/>
        </w:rPr>
        <w:t>Figure 10.</w:t>
      </w:r>
      <w:proofErr w:type="gramEnd"/>
      <w:r>
        <w:rPr>
          <w:sz w:val="16"/>
          <w:szCs w:val="16"/>
        </w:rPr>
        <w:t xml:space="preserve"> Seamless Mobility and </w:t>
      </w:r>
      <w:proofErr w:type="spellStart"/>
      <w:r>
        <w:rPr>
          <w:sz w:val="16"/>
          <w:szCs w:val="16"/>
        </w:rPr>
        <w:t>Roaming</w:t>
      </w:r>
      <w:r w:rsidR="007A7E5D">
        <w:rPr>
          <w:sz w:val="16"/>
          <w:szCs w:val="16"/>
        </w:rPr>
        <w:t>protocols</w:t>
      </w:r>
      <w:proofErr w:type="spellEnd"/>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w:t>
      </w:r>
      <w:proofErr w:type="spellStart"/>
      <w:r>
        <w:t>it’s</w:t>
      </w:r>
      <w:proofErr w:type="spellEnd"/>
      <w:r>
        <w:t xml:space="preserve"> often use. </w:t>
      </w:r>
      <w:r w:rsidRPr="005F639D">
        <w:t xml:space="preserve">Packet transfer unit </w:t>
      </w:r>
      <w:proofErr w:type="spellStart"/>
      <w:r>
        <w:t>testscenario</w:t>
      </w:r>
      <w:proofErr w:type="spellEnd"/>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proofErr w:type="gramStart"/>
      <w:r>
        <w:rPr>
          <w:sz w:val="16"/>
          <w:szCs w:val="16"/>
        </w:rPr>
        <w:lastRenderedPageBreak/>
        <w:t>Figure 11.</w:t>
      </w:r>
      <w:proofErr w:type="gramEnd"/>
      <w:r>
        <w:rPr>
          <w:sz w:val="16"/>
          <w:szCs w:val="16"/>
        </w:rPr>
        <w:t xml:space="preserve"> Packet </w:t>
      </w:r>
      <w:proofErr w:type="spellStart"/>
      <w:r>
        <w:rPr>
          <w:sz w:val="16"/>
          <w:szCs w:val="16"/>
        </w:rPr>
        <w:t>Transfer</w:t>
      </w:r>
      <w:r w:rsidR="007A7E5D">
        <w:rPr>
          <w:sz w:val="16"/>
          <w:szCs w:val="16"/>
        </w:rPr>
        <w:t>protocol</w:t>
      </w:r>
      <w:proofErr w:type="spellEnd"/>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proofErr w:type="spellStart"/>
      <w:r w:rsidR="00347495">
        <w:t>and</w:t>
      </w:r>
      <w:r>
        <w:t>TTP</w:t>
      </w:r>
      <w:proofErr w:type="spellEnd"/>
      <w:r>
        <w:t xml:space="preserve">.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366FE2">
      <w:pPr>
        <w:pStyle w:val="IEEEParagraph"/>
        <w:ind w:firstLine="0"/>
        <w:jc w:val="center"/>
        <w:rPr>
          <w:sz w:val="16"/>
          <w:szCs w:val="16"/>
        </w:rPr>
      </w:pPr>
      <w:proofErr w:type="gramStart"/>
      <w:r>
        <w:rPr>
          <w:sz w:val="16"/>
          <w:szCs w:val="16"/>
        </w:rPr>
        <w:t>Figure 12.</w:t>
      </w:r>
      <w:proofErr w:type="gramEnd"/>
      <w:r>
        <w:rPr>
          <w:sz w:val="16"/>
          <w:szCs w:val="16"/>
        </w:rPr>
        <w:t xml:space="preserve">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8A31D9">
        <w:t xml:space="preserve"> </w:t>
      </w:r>
      <w:r>
        <w:t>there is</w:t>
      </w:r>
      <w:r w:rsidR="003D17F2">
        <w:t xml:space="preserve"> a 0.02</w:t>
      </w:r>
      <w:r w:rsidR="008A31D9">
        <w:t xml:space="preserve"> </w:t>
      </w:r>
      <w:r>
        <w:lastRenderedPageBreak/>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 xml:space="preserve">The </w:t>
      </w:r>
      <w:proofErr w:type="spellStart"/>
      <w:r>
        <w:t>r</w:t>
      </w:r>
      <w:r w:rsidR="00F706E6">
        <w:t>esultsare</w:t>
      </w:r>
      <w:r>
        <w:t>significant</w:t>
      </w:r>
      <w:proofErr w:type="spellEnd"/>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proofErr w:type="spellStart"/>
      <w:r>
        <w:t>Akyildiz</w:t>
      </w:r>
      <w:proofErr w:type="spellEnd"/>
      <w:r>
        <w:t xml:space="preserve">, I. F., Wang, </w:t>
      </w:r>
      <w:proofErr w:type="spellStart"/>
      <w:r>
        <w:t>X.</w:t>
      </w:r>
      <w:proofErr w:type="gramStart"/>
      <w:r>
        <w:t>,and</w:t>
      </w:r>
      <w:r w:rsidRPr="00C00DA0">
        <w:t>Wang</w:t>
      </w:r>
      <w:proofErr w:type="spellEnd"/>
      <w:proofErr w:type="gramEnd"/>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3" w:history="1">
        <w:r w:rsidRPr="00506DDC">
          <w:rPr>
            <w:rStyle w:val="Hyperlink"/>
            <w:lang w:val="en-AU"/>
          </w:rPr>
          <w:t>http://www.nsnam.org/</w:t>
        </w:r>
      </w:hyperlink>
    </w:p>
    <w:p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4"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B49F7"/>
    <w:rsid w:val="001E634A"/>
    <w:rsid w:val="001E65C2"/>
    <w:rsid w:val="001F16CD"/>
    <w:rsid w:val="001F47D2"/>
    <w:rsid w:val="002014AB"/>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608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5EFF"/>
    <w:rsid w:val="004A6605"/>
    <w:rsid w:val="004C3E7F"/>
    <w:rsid w:val="004C45FA"/>
    <w:rsid w:val="004E1BD8"/>
    <w:rsid w:val="004E2242"/>
    <w:rsid w:val="004E452A"/>
    <w:rsid w:val="004E78E3"/>
    <w:rsid w:val="005004BF"/>
    <w:rsid w:val="00502E89"/>
    <w:rsid w:val="00510E95"/>
    <w:rsid w:val="00512536"/>
    <w:rsid w:val="00515210"/>
    <w:rsid w:val="00517EE3"/>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5A07"/>
    <w:rsid w:val="007D3E71"/>
    <w:rsid w:val="007E3368"/>
    <w:rsid w:val="007E5D6A"/>
    <w:rsid w:val="007E645D"/>
    <w:rsid w:val="007F75CA"/>
    <w:rsid w:val="00805D97"/>
    <w:rsid w:val="00821E08"/>
    <w:rsid w:val="00834EFD"/>
    <w:rsid w:val="00844B24"/>
    <w:rsid w:val="0084515F"/>
    <w:rsid w:val="0085092D"/>
    <w:rsid w:val="0087162E"/>
    <w:rsid w:val="008733ED"/>
    <w:rsid w:val="00877D4C"/>
    <w:rsid w:val="00883903"/>
    <w:rsid w:val="00883A74"/>
    <w:rsid w:val="00890A55"/>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341AB"/>
    <w:rsid w:val="00A45FCE"/>
    <w:rsid w:val="00A75671"/>
    <w:rsid w:val="00A773CC"/>
    <w:rsid w:val="00A928FE"/>
    <w:rsid w:val="00A9318B"/>
    <w:rsid w:val="00A934FC"/>
    <w:rsid w:val="00A94AC1"/>
    <w:rsid w:val="00AA0E90"/>
    <w:rsid w:val="00AB18B7"/>
    <w:rsid w:val="00AD335D"/>
    <w:rsid w:val="00AF792B"/>
    <w:rsid w:val="00B23B31"/>
    <w:rsid w:val="00B33B45"/>
    <w:rsid w:val="00B37B40"/>
    <w:rsid w:val="00B44639"/>
    <w:rsid w:val="00B55D5E"/>
    <w:rsid w:val="00B87FB5"/>
    <w:rsid w:val="00B94516"/>
    <w:rsid w:val="00B96CC2"/>
    <w:rsid w:val="00B970F2"/>
    <w:rsid w:val="00BA371C"/>
    <w:rsid w:val="00BB2855"/>
    <w:rsid w:val="00BC2146"/>
    <w:rsid w:val="00BD19C1"/>
    <w:rsid w:val="00BD25B8"/>
    <w:rsid w:val="00BD55F1"/>
    <w:rsid w:val="00BE6DCE"/>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src.nist.gov/publications/fips/fips197/fips-197.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18063</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70</cp:revision>
  <cp:lastPrinted>2008-12-31T10:29:00Z</cp:lastPrinted>
  <dcterms:created xsi:type="dcterms:W3CDTF">2012-12-03T20:31:00Z</dcterms:created>
  <dcterms:modified xsi:type="dcterms:W3CDTF">2012-12-27T20:23:00Z</dcterms:modified>
</cp:coreProperties>
</file>