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rsidR="00BF66C8" w:rsidRDefault="00BF66C8" w:rsidP="0084146B">
      <w:pPr>
        <w:rPr>
          <w:lang w:val="en-GB" w:eastAsia="en-GB"/>
        </w:rPr>
      </w:pPr>
    </w:p>
    <w:p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84146B" w:rsidRDefault="0084146B" w:rsidP="0084146B">
      <w:pPr>
        <w:pStyle w:val="IEEEHeading1"/>
      </w:pPr>
      <w:r>
        <w:t>Introduction</w:t>
      </w:r>
    </w:p>
    <w:p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rsidR="0084146B" w:rsidRDefault="0084146B" w:rsidP="0084146B">
      <w:pPr>
        <w:pStyle w:val="IEEEHeading1"/>
      </w:pPr>
      <w:r>
        <w:t>Cryptographic Notes</w:t>
      </w:r>
    </w:p>
    <w:p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84146B" w:rsidRDefault="0084146B" w:rsidP="0084146B">
      <w:pPr>
        <w:pStyle w:val="IEEEHeading1"/>
      </w:pPr>
      <w:r>
        <w:t>General Overview of Proposed Scheme and System Entities</w:t>
      </w:r>
    </w:p>
    <w:p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rsidR="0084146B" w:rsidRDefault="0084146B" w:rsidP="0084146B">
      <w:pPr>
        <w:pStyle w:val="IEEETableCaption"/>
      </w:pPr>
      <w:r>
        <w:t xml:space="preserve">TABLE </w:t>
      </w:r>
      <w:r w:rsidR="00842516">
        <w:fldChar w:fldCharType="begin"/>
      </w:r>
      <w:r>
        <w:instrText xml:space="preserve"> SEQ TABLE \* ROMAN </w:instrText>
      </w:r>
      <w:r w:rsidR="00842516">
        <w:fldChar w:fldCharType="separate"/>
      </w:r>
      <w:r w:rsidR="007A146C">
        <w:rPr>
          <w:noProof/>
        </w:rPr>
        <w:t>I</w:t>
      </w:r>
      <w:r w:rsidR="00842516">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Mesh backbone</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16635F">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16635F">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84146B" w:rsidRDefault="0084146B" w:rsidP="0084146B">
      <w:pPr>
        <w:pStyle w:val="IEEEParagraph"/>
      </w:pPr>
    </w:p>
    <w:p w:rsidR="0084146B" w:rsidRDefault="0084146B" w:rsidP="0084146B">
      <w:pPr>
        <w:pStyle w:val="IEEEParagraph"/>
      </w:pPr>
      <w:r>
        <w:t>Figure 1 shows the topology of the network and connections between entities.</w:t>
      </w:r>
    </w:p>
    <w:p w:rsidR="0084146B" w:rsidRDefault="0084146B" w:rsidP="0084146B">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 Network Topology</w:t>
      </w:r>
    </w:p>
    <w:p w:rsidR="0084146B" w:rsidRDefault="0084146B" w:rsidP="0084146B">
      <w:pPr>
        <w:pStyle w:val="IEEEParagraph"/>
        <w:ind w:firstLine="215"/>
        <w:rPr>
          <w:szCs w:val="20"/>
        </w:rPr>
      </w:pPr>
    </w:p>
    <w:p w:rsidR="0084146B" w:rsidRPr="00392783" w:rsidRDefault="0084146B" w:rsidP="0084146B">
      <w:pPr>
        <w:pStyle w:val="IEEEParagraph"/>
        <w:ind w:firstLine="215"/>
        <w:rPr>
          <w:szCs w:val="20"/>
        </w:rPr>
      </w:pPr>
      <w:r>
        <w:rPr>
          <w:szCs w:val="20"/>
        </w:rPr>
        <w:t>Figure 1 shows the topology of the network and connections between entities.</w:t>
      </w:r>
    </w:p>
    <w:p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rsidR="0084146B" w:rsidRDefault="0084146B" w:rsidP="0084146B">
      <w:pPr>
        <w:pStyle w:val="IEEEHeading2"/>
        <w:numPr>
          <w:ilvl w:val="0"/>
          <w:numId w:val="1"/>
        </w:numPr>
      </w:pPr>
      <w:r>
        <w:t>Connection Card Structure</w:t>
      </w:r>
    </w:p>
    <w:p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rsidR="0084146B" w:rsidRPr="00314071" w:rsidRDefault="00842516"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84146B" w:rsidRPr="00497FEC" w:rsidRDefault="00842516"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rsidR="0084146B" w:rsidRDefault="0084146B" w:rsidP="0084146B">
      <w:pPr>
        <w:pStyle w:val="IEEEHeading2"/>
        <w:numPr>
          <w:ilvl w:val="0"/>
          <w:numId w:val="1"/>
        </w:numPr>
      </w:pPr>
      <w:r>
        <w:lastRenderedPageBreak/>
        <w:t>Alias Computation</w:t>
      </w:r>
    </w:p>
    <w:p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rsidR="0084146B" w:rsidRDefault="0084146B" w:rsidP="0084146B">
      <w:pPr>
        <w:pStyle w:val="IEEEHeading1"/>
      </w:pPr>
      <w:r>
        <w:t>Protocols</w:t>
      </w:r>
    </w:p>
    <w:p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hash tokens on the hash chain. This kind of similar protocols will be explained simultaneously.</w:t>
      </w:r>
    </w:p>
    <w:p w:rsidR="0084146B" w:rsidRDefault="0084146B" w:rsidP="0084146B">
      <w:pPr>
        <w:pStyle w:val="IEEEHeading2"/>
        <w:numPr>
          <w:ilvl w:val="1"/>
          <w:numId w:val="7"/>
        </w:numPr>
      </w:pPr>
      <w:r>
        <w:t>End-to-End Two-Way Protocols</w:t>
      </w:r>
    </w:p>
    <w:p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rsidR="0084146B" w:rsidRDefault="00655317" w:rsidP="00655317">
      <w:pPr>
        <w:pStyle w:val="IEEEParagraph"/>
        <w:jc w:val="center"/>
      </w:pPr>
      <w:r>
        <w:rPr>
          <w:noProof/>
          <w:lang w:val="tr-TR" w:eastAsia="tr-TR"/>
        </w:rPr>
        <w:lastRenderedPageBreak/>
        <w:drawing>
          <wp:inline distT="0" distB="0" distL="0" distR="0">
            <wp:extent cx="3189605" cy="3211195"/>
            <wp:effectExtent l="19050" t="0" r="0" b="0"/>
            <wp:docPr id="25" name="Picture 4"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end-to-endNew.png"/>
                    <pic:cNvPicPr>
                      <a:picLocks noChangeAspect="1" noChangeArrowheads="1"/>
                    </pic:cNvPicPr>
                  </pic:nvPicPr>
                  <pic:blipFill>
                    <a:blip r:embed="rId12"/>
                    <a:srcRect/>
                    <a:stretch>
                      <a:fillRect/>
                    </a:stretch>
                  </pic:blipFill>
                  <pic:spPr bwMode="auto">
                    <a:xfrm>
                      <a:off x="0" y="0"/>
                      <a:ext cx="3189605" cy="32111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2. End-to-End Two Way Protocol Flow</w:t>
      </w:r>
    </w:p>
    <w:p w:rsidR="0084146B" w:rsidRPr="00392783" w:rsidRDefault="0084146B" w:rsidP="0084146B">
      <w:pPr>
        <w:pStyle w:val="IEEEParagraph"/>
        <w:jc w:val="center"/>
        <w:rPr>
          <w:szCs w:val="20"/>
        </w:rPr>
      </w:pPr>
    </w:p>
    <w:p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rsidR="0084146B" w:rsidRDefault="0084146B" w:rsidP="0084146B">
      <w:pPr>
        <w:pStyle w:val="IEEEHeading2"/>
        <w:numPr>
          <w:ilvl w:val="1"/>
          <w:numId w:val="7"/>
        </w:numPr>
      </w:pPr>
      <w:r>
        <w:t>Access Point Authentication</w:t>
      </w:r>
    </w:p>
    <w:p w:rsidR="0084146B" w:rsidRPr="001A09EB" w:rsidRDefault="00655317" w:rsidP="0084146B">
      <w:pPr>
        <w:pStyle w:val="IEEEParagraph"/>
        <w:jc w:val="center"/>
      </w:pPr>
      <w:r>
        <w:rPr>
          <w:noProof/>
          <w:lang w:val="tr-TR" w:eastAsia="tr-TR"/>
        </w:rPr>
        <w:drawing>
          <wp:inline distT="0" distB="0" distL="0" distR="0">
            <wp:extent cx="2360295" cy="1329055"/>
            <wp:effectExtent l="19050" t="0" r="1905" b="0"/>
            <wp:docPr id="24" name="Picture 3"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accesspointauthNew.png"/>
                    <pic:cNvPicPr>
                      <a:picLocks noChangeAspect="1" noChangeArrowheads="1"/>
                    </pic:cNvPicPr>
                  </pic:nvPicPr>
                  <pic:blipFill>
                    <a:blip r:embed="rId13"/>
                    <a:srcRect/>
                    <a:stretch>
                      <a:fillRect/>
                    </a:stretch>
                  </pic:blipFill>
                  <pic:spPr bwMode="auto">
                    <a:xfrm>
                      <a:off x="0" y="0"/>
                      <a:ext cx="2360295" cy="132905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3. Access Point Authentication</w:t>
      </w:r>
    </w:p>
    <w:p w:rsidR="0084146B" w:rsidRPr="00392783" w:rsidRDefault="0084146B" w:rsidP="0084146B">
      <w:pPr>
        <w:pStyle w:val="IEEEParagraph"/>
        <w:jc w:val="center"/>
        <w:rPr>
          <w:szCs w:val="20"/>
        </w:rPr>
      </w:pPr>
    </w:p>
    <w:p w:rsidR="0084146B" w:rsidRPr="001A09EB" w:rsidRDefault="0084146B" w:rsidP="0084146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rsidR="0084146B" w:rsidRDefault="0084146B" w:rsidP="0084146B">
      <w:pPr>
        <w:pStyle w:val="IEEEHeading2"/>
        <w:numPr>
          <w:ilvl w:val="1"/>
          <w:numId w:val="7"/>
        </w:numPr>
      </w:pPr>
      <w:r>
        <w:t>Packet Transfer</w:t>
      </w:r>
    </w:p>
    <w:p w:rsidR="0084146B" w:rsidRDefault="0084146B" w:rsidP="0084146B">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rsidR="0084146B" w:rsidRPr="00392783" w:rsidRDefault="0084146B" w:rsidP="0084146B">
      <w:pPr>
        <w:pStyle w:val="IEEEParagraph"/>
        <w:jc w:val="center"/>
        <w:rPr>
          <w:szCs w:val="20"/>
        </w:rPr>
      </w:pPr>
    </w:p>
    <w:p w:rsidR="0084146B" w:rsidRDefault="0084146B" w:rsidP="0084146B">
      <w:pPr>
        <w:pStyle w:val="IEEEParagraph"/>
      </w:pPr>
      <w:r>
        <w:rPr>
          <w:i/>
        </w:rPr>
        <w:t>Packet T</w:t>
      </w:r>
      <w:r w:rsidRPr="00EA6ECF">
        <w:rPr>
          <w:i/>
        </w:rPr>
        <w:t>ransfer</w:t>
      </w:r>
      <w:r w:rsidR="0016635F">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rsidR="0084146B" w:rsidRPr="00805D97" w:rsidRDefault="0084146B" w:rsidP="0084146B">
      <w:pPr>
        <w:pStyle w:val="IEEEParagraph"/>
        <w:rPr>
          <w:szCs w:val="20"/>
        </w:rPr>
      </w:pPr>
      <w:r>
        <w:t xml:space="preserve">The time measurement happens between access point and client. The access point does decrementing from 5 minutes. If </w:t>
      </w:r>
      <w:r>
        <w:lastRenderedPageBreak/>
        <w:t>client tries to get service after 5 minutes, access point sends a request to client to make her to send a new hash token.</w:t>
      </w:r>
    </w:p>
    <w:p w:rsidR="0084146B" w:rsidRDefault="0084146B" w:rsidP="0084146B">
      <w:pPr>
        <w:pStyle w:val="IEEEHeading2"/>
        <w:numPr>
          <w:ilvl w:val="1"/>
          <w:numId w:val="7"/>
        </w:numPr>
      </w:pPr>
      <w:r>
        <w:t>Update Packets</w:t>
      </w:r>
    </w:p>
    <w:p w:rsidR="0084146B" w:rsidRDefault="0084146B" w:rsidP="0084146B">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5. Update Packets</w:t>
      </w:r>
    </w:p>
    <w:p w:rsidR="0084146B" w:rsidRPr="00392783" w:rsidRDefault="0084146B" w:rsidP="0084146B">
      <w:pPr>
        <w:pStyle w:val="IEEEParagraph"/>
        <w:ind w:firstLine="0"/>
        <w:rPr>
          <w:szCs w:val="20"/>
        </w:rPr>
      </w:pPr>
    </w:p>
    <w:p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rsidR="0084146B" w:rsidRDefault="0084146B" w:rsidP="0084146B">
      <w:pPr>
        <w:pStyle w:val="IEEEHeading2"/>
        <w:numPr>
          <w:ilvl w:val="1"/>
          <w:numId w:val="7"/>
        </w:numPr>
      </w:pPr>
      <w:r>
        <w:t>Seamless Mobility and Roaming (Payment Related)</w:t>
      </w:r>
    </w:p>
    <w:p w:rsidR="0084146B" w:rsidRDefault="0084146B" w:rsidP="0084146B">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6. Seamless Mobility and Roaming</w:t>
      </w:r>
    </w:p>
    <w:p w:rsidR="0084146B" w:rsidRPr="00392783" w:rsidRDefault="0084146B" w:rsidP="0084146B">
      <w:pPr>
        <w:pStyle w:val="IEEEParagraph"/>
        <w:jc w:val="center"/>
        <w:rPr>
          <w:szCs w:val="20"/>
        </w:rPr>
      </w:pPr>
    </w:p>
    <w:p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84146B" w:rsidRDefault="0084146B" w:rsidP="0084146B">
      <w:pPr>
        <w:pStyle w:val="IEEEParagraph"/>
      </w:pPr>
      <w:r>
        <w:lastRenderedPageBreak/>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84146B" w:rsidRDefault="0084146B" w:rsidP="0084146B">
      <w:pPr>
        <w:pStyle w:val="IEEEHeading2"/>
        <w:numPr>
          <w:ilvl w:val="1"/>
          <w:numId w:val="7"/>
        </w:numPr>
      </w:pPr>
      <w:r>
        <w:t>Distributing Access Point Public Keys</w:t>
      </w:r>
    </w:p>
    <w:p w:rsidR="0084146B" w:rsidRPr="00515210" w:rsidRDefault="00264BCA" w:rsidP="0084146B">
      <w:pPr>
        <w:pStyle w:val="IEEEParagraph"/>
        <w:jc w:val="center"/>
      </w:pPr>
      <w:r>
        <w:rPr>
          <w:noProof/>
          <w:sz w:val="24"/>
          <w:lang w:val="tr-TR" w:eastAsia="tr-TR"/>
        </w:rPr>
        <w:drawing>
          <wp:inline distT="0" distB="0" distL="0" distR="0">
            <wp:extent cx="3147060" cy="1839595"/>
            <wp:effectExtent l="19050" t="0" r="0" b="0"/>
            <wp:docPr id="26" name="Picture 5"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distributingPublicKeys.png"/>
                    <pic:cNvPicPr>
                      <a:picLocks noChangeAspect="1" noChangeArrowheads="1"/>
                    </pic:cNvPicPr>
                  </pic:nvPicPr>
                  <pic:blipFill>
                    <a:blip r:embed="rId17"/>
                    <a:srcRect/>
                    <a:stretch>
                      <a:fillRect/>
                    </a:stretch>
                  </pic:blipFill>
                  <pic:spPr bwMode="auto">
                    <a:xfrm>
                      <a:off x="0" y="0"/>
                      <a:ext cx="3147060" cy="18395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7. Distributing Access Point Public Keys</w:t>
      </w:r>
    </w:p>
    <w:p w:rsidR="0084146B" w:rsidRPr="00392783" w:rsidRDefault="0084146B" w:rsidP="0084146B">
      <w:pPr>
        <w:pStyle w:val="IEEEParagraph"/>
        <w:jc w:val="center"/>
        <w:rPr>
          <w:szCs w:val="20"/>
        </w:rPr>
      </w:pPr>
    </w:p>
    <w:p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4146B" w:rsidRDefault="0084146B" w:rsidP="0084146B">
      <w:pPr>
        <w:pStyle w:val="IEEEHeading1"/>
      </w:pPr>
      <w:r>
        <w:t>Unit Test Results</w:t>
      </w:r>
    </w:p>
    <w:p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84146B" w:rsidRDefault="0084146B" w:rsidP="0084146B">
      <w:pPr>
        <w:pStyle w:val="IEEEParagraph"/>
      </w:pPr>
      <w:r>
        <w:t>Figure 8 gives the result for unit test of end-to-end two-way protocols.</w:t>
      </w:r>
    </w:p>
    <w:p w:rsidR="0084146B" w:rsidRDefault="0084146B" w:rsidP="0084146B">
      <w:pPr>
        <w:pStyle w:val="IEEEParagraph"/>
        <w:jc w:val="center"/>
      </w:pPr>
      <w:r>
        <w:rPr>
          <w:noProof/>
          <w:lang w:val="tr-TR" w:eastAsia="tr-TR"/>
        </w:rPr>
        <w:drawing>
          <wp:inline distT="0" distB="0" distL="0" distR="0">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8. End-to-End Two-Way protocols Unit Test Result</w:t>
      </w:r>
    </w:p>
    <w:p w:rsidR="0084146B" w:rsidRPr="00392783" w:rsidRDefault="0084146B" w:rsidP="0084146B">
      <w:pPr>
        <w:pStyle w:val="IEEEParagraph"/>
        <w:jc w:val="center"/>
        <w:rPr>
          <w:szCs w:val="20"/>
        </w:rPr>
      </w:pPr>
    </w:p>
    <w:p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rsidR="0084146B" w:rsidRDefault="0084146B" w:rsidP="0084146B">
      <w:pPr>
        <w:pStyle w:val="IEEEParagraph"/>
        <w:rPr>
          <w:szCs w:val="20"/>
        </w:rPr>
      </w:pPr>
      <w:r w:rsidRPr="008F4EB6">
        <w:rPr>
          <w:i/>
          <w:szCs w:val="20"/>
        </w:rPr>
        <w:t>Access Point Authentication</w:t>
      </w:r>
      <w:r w:rsidR="00264BCA" w:rsidRPr="00481BAA">
        <w:rPr>
          <w:szCs w:val="20"/>
        </w:rPr>
        <w:t xml:space="preserve"> </w:t>
      </w:r>
      <w:r w:rsidR="00667B5D">
        <w:rPr>
          <w:szCs w:val="20"/>
        </w:rPr>
        <w:t>protocol</w:t>
      </w:r>
      <w:r>
        <w:rPr>
          <w:szCs w:val="20"/>
        </w:rPr>
        <w:t xml:space="preserve"> consists of a challenge-response protocol. It contains two HMAC operations.</w:t>
      </w:r>
    </w:p>
    <w:p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84146B" w:rsidRDefault="0084146B" w:rsidP="0084146B">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9. Access Point Authentication protocol Unit Test Result</w:t>
      </w:r>
    </w:p>
    <w:p w:rsidR="0084146B" w:rsidRDefault="0084146B" w:rsidP="0084146B">
      <w:pPr>
        <w:pStyle w:val="IEEEParagraph"/>
        <w:rPr>
          <w:szCs w:val="20"/>
        </w:rPr>
      </w:pPr>
    </w:p>
    <w:p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rsidR="0084146B" w:rsidRDefault="0084146B" w:rsidP="0084146B">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84146B" w:rsidRDefault="0084146B" w:rsidP="0084146B">
      <w:pPr>
        <w:pStyle w:val="IEEEParagraph"/>
      </w:pPr>
      <w:r>
        <w:t xml:space="preserve">Figure 10 presents the unit test result for </w:t>
      </w:r>
      <w:r w:rsidRPr="008F4EB6">
        <w:rPr>
          <w:i/>
        </w:rPr>
        <w:t>Seamless Mobility</w:t>
      </w:r>
      <w:r>
        <w:t xml:space="preserve"> and Roaming protocols.</w:t>
      </w:r>
    </w:p>
    <w:p w:rsidR="0084146B" w:rsidRDefault="0084146B" w:rsidP="0084146B">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10. Seamless Mobility and Roaming protocols Unit Test Result</w:t>
      </w:r>
    </w:p>
    <w:p w:rsidR="0084146B" w:rsidRDefault="0084146B" w:rsidP="0084146B">
      <w:pPr>
        <w:pStyle w:val="IEEEParagraph"/>
      </w:pPr>
    </w:p>
    <w:p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481BAA" w:rsidRPr="00481BAA">
        <w:t xml:space="preserve"> </w:t>
      </w:r>
      <w:r>
        <w:t>protocol</w:t>
      </w:r>
      <w:r w:rsidR="0084146B">
        <w:t xml:space="preserve"> is that</w:t>
      </w:r>
      <w:r w:rsidR="0084146B" w:rsidRPr="005F639D">
        <w:t xml:space="preserve"> a </w:t>
      </w:r>
      <w:r w:rsidR="0084146B">
        <w:t xml:space="preserve">client sends a 512-byte packet every minute. </w:t>
      </w:r>
    </w:p>
    <w:p w:rsidR="0084146B" w:rsidRDefault="0084146B" w:rsidP="0084146B">
      <w:pPr>
        <w:pStyle w:val="IEEEParagraph"/>
      </w:pPr>
      <w:r>
        <w:t>Figure 11 shows the unit test result for Packet Transfer protocol.</w:t>
      </w:r>
    </w:p>
    <w:p w:rsidR="0084146B" w:rsidRDefault="0084146B" w:rsidP="0084146B">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lastRenderedPageBreak/>
        <w:t>Figure 11. Packet Transfer protocol Unit Test Result</w:t>
      </w:r>
    </w:p>
    <w:p w:rsidR="0084146B" w:rsidRDefault="0084146B" w:rsidP="0084146B">
      <w:pPr>
        <w:pStyle w:val="IEEEParagraph"/>
      </w:pPr>
    </w:p>
    <w:p w:rsidR="0084146B" w:rsidRDefault="0084146B" w:rsidP="0084146B">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rsidR="0084146B" w:rsidRDefault="0084146B" w:rsidP="0084146B">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12. Update Packets protocol Unit Test Result</w:t>
      </w:r>
    </w:p>
    <w:p w:rsidR="0084146B" w:rsidRPr="007A7E5D" w:rsidRDefault="0084146B" w:rsidP="0084146B">
      <w:pPr>
        <w:pStyle w:val="IEEEParagraph"/>
        <w:jc w:val="center"/>
        <w:rPr>
          <w:szCs w:val="20"/>
        </w:rPr>
      </w:pPr>
    </w:p>
    <w:p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rsidR="00A671B3" w:rsidRDefault="008A22E4" w:rsidP="00A671B3">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481BAA" w:rsidP="00DE59D7">
      <w:pPr>
        <w:pStyle w:val="IEEEParagraph"/>
        <w:jc w:val="center"/>
      </w:pPr>
      <w:r>
        <w:rPr>
          <w:noProof/>
          <w:lang w:val="tr-TR" w:eastAsia="tr-TR"/>
        </w:rPr>
        <w:lastRenderedPageBreak/>
        <w:drawing>
          <wp:inline distT="0" distB="0" distL="0" distR="0">
            <wp:extent cx="3189605" cy="2477135"/>
            <wp:effectExtent l="19050" t="0" r="0" b="0"/>
            <wp:docPr id="27" name="Picture 6" descr="C:\Users\SUUSER\Desktop\paper images\protocol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paper images\protocols\markovChain.png"/>
                    <pic:cNvPicPr>
                      <a:picLocks noChangeAspect="1" noChangeArrowheads="1"/>
                    </pic:cNvPicPr>
                  </pic:nvPicPr>
                  <pic:blipFill>
                    <a:blip r:embed="rId23"/>
                    <a:srcRect/>
                    <a:stretch>
                      <a:fillRect/>
                    </a:stretch>
                  </pic:blipFill>
                  <pic:spPr bwMode="auto">
                    <a:xfrm>
                      <a:off x="0" y="0"/>
                      <a:ext cx="3189605" cy="2477135"/>
                    </a:xfrm>
                    <a:prstGeom prst="rect">
                      <a:avLst/>
                    </a:prstGeom>
                    <a:noFill/>
                    <a:ln w="9525">
                      <a:noFill/>
                      <a:miter lim="800000"/>
                      <a:headEnd/>
                      <a:tailEnd/>
                    </a:ln>
                  </pic:spPr>
                </pic:pic>
              </a:graphicData>
            </a:graphic>
          </wp:inline>
        </w:drawing>
      </w:r>
    </w:p>
    <w:p w:rsidR="00DE59D7" w:rsidRDefault="00DE59D7" w:rsidP="00DE59D7">
      <w:pPr>
        <w:pStyle w:val="IEEEParagraph"/>
        <w:jc w:val="center"/>
        <w:rPr>
          <w:sz w:val="16"/>
          <w:szCs w:val="16"/>
        </w:rPr>
      </w:pPr>
      <w:r>
        <w:rPr>
          <w:sz w:val="16"/>
          <w:szCs w:val="16"/>
        </w:rPr>
        <w:t>Figure 13.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842516"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842516"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m:t>
        </m:r>
        <m:r>
          <w:rPr>
            <w:rFonts w:ascii="Cambria Math" w:hAnsi="Cambria Math" w:cs="Helvetica"/>
          </w:rPr>
          <m:t>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sidR="005C5B01">
        <w:rPr>
          <w:rFonts w:eastAsiaTheme="minorEastAsia" w:cs="Helvetica"/>
        </w:rPr>
        <w:t xml:space="preserve">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4"/>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w:t>
      </w:r>
      <w:r w:rsidR="00BC4A98" w:rsidRPr="003F5067">
        <w:rPr>
          <w:rFonts w:cs="Helvetica"/>
        </w:rPr>
        <w:t>and 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00AF7D35">
        <w:rPr>
          <w:rFonts w:cs="Helvetica"/>
        </w:rPr>
        <w:t xml:space="preserve"> </w:t>
      </w:r>
      <w:r>
        <w:rPr>
          <w:rFonts w:cs="Helvetica"/>
        </w:rPr>
        <w:t>protocol.</w:t>
      </w:r>
    </w:p>
    <w:p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3D5FCB">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lastRenderedPageBreak/>
        <w:t>Overview</w:t>
      </w:r>
    </w:p>
    <w:p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842516">
        <w:fldChar w:fldCharType="begin"/>
      </w:r>
      <w:r>
        <w:instrText xml:space="preserve"> SEQ TABLE \* ROMAN </w:instrText>
      </w:r>
      <w:r w:rsidR="00842516">
        <w:fldChar w:fldCharType="separate"/>
      </w:r>
      <w:r w:rsidR="007A146C">
        <w:rPr>
          <w:noProof/>
        </w:rPr>
        <w:t>II</w:t>
      </w:r>
      <w:r w:rsidR="00842516">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926"/>
      </w:tblGrid>
      <w:tr w:rsidR="00655955" w:rsidTr="0068446A">
        <w:tc>
          <w:tcPr>
            <w:tcW w:w="768" w:type="dxa"/>
          </w:tcPr>
          <w:p w:rsidR="00655955" w:rsidRPr="00A00A48" w:rsidRDefault="00655955" w:rsidP="00655955">
            <w:pPr>
              <w:jc w:val="center"/>
              <w:rPr>
                <w:sz w:val="16"/>
                <w:szCs w:val="16"/>
              </w:rPr>
            </w:pPr>
          </w:p>
        </w:tc>
        <w:tc>
          <w:tcPr>
            <w:tcW w:w="1198" w:type="dxa"/>
          </w:tcPr>
          <w:p w:rsidR="00655955" w:rsidRPr="00A00A48" w:rsidRDefault="00655955" w:rsidP="00655955">
            <w:pPr>
              <w:jc w:val="center"/>
              <w:rPr>
                <w:sz w:val="16"/>
                <w:szCs w:val="16"/>
              </w:rPr>
            </w:pPr>
            <w:r w:rsidRPr="00A00A48">
              <w:rPr>
                <w:sz w:val="16"/>
                <w:szCs w:val="16"/>
              </w:rPr>
              <w:t>Total Internet Usage Time</w:t>
            </w:r>
          </w:p>
        </w:tc>
        <w:tc>
          <w:tcPr>
            <w:tcW w:w="1083" w:type="dxa"/>
          </w:tcPr>
          <w:p w:rsidR="00655955" w:rsidRPr="00A00A48" w:rsidRDefault="00655955" w:rsidP="00655955">
            <w:pPr>
              <w:jc w:val="center"/>
              <w:rPr>
                <w:sz w:val="16"/>
                <w:szCs w:val="16"/>
              </w:rPr>
            </w:pPr>
            <w:r w:rsidRPr="00A00A48">
              <w:rPr>
                <w:sz w:val="16"/>
                <w:szCs w:val="16"/>
              </w:rPr>
              <w:t>Total Internet Usage Delay</w:t>
            </w:r>
          </w:p>
        </w:tc>
        <w:tc>
          <w:tcPr>
            <w:tcW w:w="1095" w:type="dxa"/>
          </w:tcPr>
          <w:p w:rsidR="00655955" w:rsidRPr="00A00A48" w:rsidRDefault="00655955" w:rsidP="00655955">
            <w:pPr>
              <w:jc w:val="center"/>
              <w:rPr>
                <w:sz w:val="16"/>
                <w:szCs w:val="16"/>
              </w:rPr>
            </w:pPr>
            <w:r w:rsidRPr="00A00A48">
              <w:rPr>
                <w:sz w:val="16"/>
                <w:szCs w:val="16"/>
              </w:rPr>
              <w:t>Average Internet Usage Time for a Client</w:t>
            </w:r>
          </w:p>
        </w:tc>
        <w:tc>
          <w:tcPr>
            <w:tcW w:w="926"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8446A">
        <w:tc>
          <w:tcPr>
            <w:tcW w:w="768" w:type="dxa"/>
          </w:tcPr>
          <w:p w:rsidR="00655955" w:rsidRPr="00A00A48" w:rsidRDefault="00655955" w:rsidP="00655955">
            <w:pPr>
              <w:jc w:val="center"/>
              <w:rPr>
                <w:sz w:val="16"/>
                <w:szCs w:val="16"/>
              </w:rPr>
            </w:pPr>
            <w:r w:rsidRPr="00A00A48">
              <w:rPr>
                <w:sz w:val="16"/>
                <w:szCs w:val="16"/>
              </w:rPr>
              <w:t>Student</w:t>
            </w:r>
          </w:p>
        </w:tc>
        <w:tc>
          <w:tcPr>
            <w:tcW w:w="1198" w:type="dxa"/>
          </w:tcPr>
          <w:p w:rsidR="00655955" w:rsidRPr="00A00A48" w:rsidRDefault="00655955" w:rsidP="00655955">
            <w:pPr>
              <w:jc w:val="center"/>
              <w:rPr>
                <w:sz w:val="16"/>
                <w:szCs w:val="16"/>
              </w:rPr>
            </w:pPr>
            <w:r w:rsidRPr="00A00A48">
              <w:rPr>
                <w:sz w:val="16"/>
                <w:szCs w:val="16"/>
              </w:rPr>
              <w:t>95899,26 Minutes</w:t>
            </w:r>
          </w:p>
        </w:tc>
        <w:tc>
          <w:tcPr>
            <w:tcW w:w="1083" w:type="dxa"/>
          </w:tcPr>
          <w:p w:rsidR="00655955" w:rsidRPr="00A00A48" w:rsidRDefault="00655955" w:rsidP="00655955">
            <w:pPr>
              <w:jc w:val="center"/>
              <w:rPr>
                <w:sz w:val="16"/>
                <w:szCs w:val="16"/>
              </w:rPr>
            </w:pPr>
            <w:r w:rsidRPr="00A00A48">
              <w:rPr>
                <w:sz w:val="16"/>
                <w:szCs w:val="16"/>
              </w:rPr>
              <w:t>1698,95 Minutes</w:t>
            </w:r>
          </w:p>
        </w:tc>
        <w:tc>
          <w:tcPr>
            <w:tcW w:w="1095" w:type="dxa"/>
          </w:tcPr>
          <w:p w:rsidR="00655955" w:rsidRPr="00A00A48" w:rsidRDefault="00655955" w:rsidP="00655955">
            <w:pPr>
              <w:jc w:val="center"/>
              <w:rPr>
                <w:sz w:val="16"/>
                <w:szCs w:val="16"/>
              </w:rPr>
            </w:pPr>
            <w:r w:rsidRPr="00A00A48">
              <w:rPr>
                <w:sz w:val="16"/>
                <w:szCs w:val="16"/>
              </w:rPr>
              <w:t>958,99 Minutes</w:t>
            </w:r>
          </w:p>
        </w:tc>
        <w:tc>
          <w:tcPr>
            <w:tcW w:w="926" w:type="dxa"/>
          </w:tcPr>
          <w:p w:rsidR="00655955" w:rsidRPr="00A00A48" w:rsidRDefault="00655955" w:rsidP="00655955">
            <w:pPr>
              <w:jc w:val="center"/>
              <w:rPr>
                <w:sz w:val="16"/>
                <w:szCs w:val="16"/>
              </w:rPr>
            </w:pPr>
            <w:r w:rsidRPr="00A00A48">
              <w:rPr>
                <w:sz w:val="16"/>
                <w:szCs w:val="16"/>
              </w:rPr>
              <w:t>16,98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Worker</w:t>
            </w:r>
          </w:p>
        </w:tc>
        <w:tc>
          <w:tcPr>
            <w:tcW w:w="1198"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1083" w:type="dxa"/>
          </w:tcPr>
          <w:p w:rsidR="00655955" w:rsidRPr="00A00A48" w:rsidRDefault="00655955" w:rsidP="00655955">
            <w:pPr>
              <w:jc w:val="center"/>
              <w:rPr>
                <w:sz w:val="16"/>
                <w:szCs w:val="16"/>
              </w:rPr>
            </w:pPr>
            <w:r w:rsidRPr="00A00A48">
              <w:rPr>
                <w:sz w:val="16"/>
                <w:szCs w:val="16"/>
              </w:rPr>
              <w:t>1316,35 Minutes</w:t>
            </w:r>
          </w:p>
        </w:tc>
        <w:tc>
          <w:tcPr>
            <w:tcW w:w="1095"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926" w:type="dxa"/>
          </w:tcPr>
          <w:p w:rsidR="00655955" w:rsidRPr="00A00A48" w:rsidRDefault="00655955" w:rsidP="00655955">
            <w:pPr>
              <w:jc w:val="center"/>
              <w:rPr>
                <w:sz w:val="16"/>
                <w:szCs w:val="16"/>
              </w:rPr>
            </w:pPr>
            <w:r w:rsidRPr="00A00A48">
              <w:rPr>
                <w:sz w:val="16"/>
                <w:szCs w:val="16"/>
              </w:rPr>
              <w:t>13,16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Non-Worker</w:t>
            </w:r>
          </w:p>
        </w:tc>
        <w:tc>
          <w:tcPr>
            <w:tcW w:w="1198"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rsidR="00655955" w:rsidRPr="00A00A48" w:rsidRDefault="00655955" w:rsidP="00655955">
            <w:pPr>
              <w:jc w:val="center"/>
              <w:rPr>
                <w:sz w:val="16"/>
                <w:szCs w:val="16"/>
              </w:rPr>
            </w:pPr>
            <w:r w:rsidRPr="00A00A48">
              <w:rPr>
                <w:sz w:val="16"/>
                <w:szCs w:val="16"/>
              </w:rPr>
              <w:t>1456,12 Minutes</w:t>
            </w:r>
          </w:p>
        </w:tc>
        <w:tc>
          <w:tcPr>
            <w:tcW w:w="1095" w:type="dxa"/>
          </w:tcPr>
          <w:p w:rsidR="00655955" w:rsidRPr="00A00A48" w:rsidRDefault="00655955" w:rsidP="00655955">
            <w:pPr>
              <w:jc w:val="center"/>
              <w:rPr>
                <w:sz w:val="16"/>
                <w:szCs w:val="16"/>
              </w:rPr>
            </w:pPr>
            <w:r w:rsidRPr="00A00A48">
              <w:rPr>
                <w:sz w:val="16"/>
                <w:szCs w:val="16"/>
              </w:rPr>
              <w:t>1053,35 Minutes</w:t>
            </w:r>
          </w:p>
        </w:tc>
        <w:tc>
          <w:tcPr>
            <w:tcW w:w="926"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EE61AF" w:rsidP="00AF7D35">
      <w:pPr>
        <w:pStyle w:val="IEEEParagraph"/>
        <w:ind w:firstLine="0"/>
        <w:jc w:val="center"/>
      </w:pPr>
      <w:r>
        <w:rPr>
          <w:noProof/>
          <w:lang w:val="tr-TR" w:eastAsia="tr-TR"/>
        </w:rPr>
        <w:drawing>
          <wp:inline distT="0" distB="0" distL="0" distR="0">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5"/>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EE61AF" w:rsidP="009C3143">
      <w:pPr>
        <w:pStyle w:val="IEEEParagraph"/>
        <w:jc w:val="center"/>
        <w:rPr>
          <w:szCs w:val="20"/>
        </w:rPr>
      </w:pPr>
      <w:r>
        <w:rPr>
          <w:noProof/>
          <w:lang w:val="tr-TR" w:eastAsia="tr-TR"/>
        </w:rPr>
        <w:drawing>
          <wp:inline distT="0" distB="0" distL="0" distR="0">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6"/>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ED0561" w:rsidP="00AF7D35">
      <w:pPr>
        <w:pStyle w:val="IEEEParagraph"/>
        <w:ind w:firstLine="0"/>
        <w:jc w:val="center"/>
      </w:pPr>
      <w:r>
        <w:rPr>
          <w:rFonts w:cs="Helvetica"/>
          <w:noProof/>
          <w:lang w:val="tr-TR" w:eastAsia="tr-TR"/>
        </w:rPr>
        <w:drawing>
          <wp:inline distT="0" distB="0" distL="0" distR="0">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7"/>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ED0561" w:rsidP="00AF7D35">
      <w:pPr>
        <w:pStyle w:val="IEEEParagraph"/>
        <w:ind w:firstLine="0"/>
        <w:jc w:val="center"/>
      </w:pPr>
      <w:r>
        <w:rPr>
          <w:rFonts w:cs="Helvetica"/>
          <w:noProof/>
          <w:lang w:val="tr-TR" w:eastAsia="tr-TR"/>
        </w:rPr>
        <w:drawing>
          <wp:inline distT="0" distB="0" distL="0" distR="0">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8"/>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ED0561" w:rsidP="00FB5339">
      <w:pPr>
        <w:pStyle w:val="IEEEParagraph"/>
        <w:jc w:val="center"/>
      </w:pPr>
      <w:r>
        <w:rPr>
          <w:rFonts w:cs="Helvetica"/>
          <w:noProof/>
          <w:lang w:val="tr-TR" w:eastAsia="tr-TR"/>
        </w:rPr>
        <w:lastRenderedPageBreak/>
        <w:drawing>
          <wp:inline distT="0" distB="0" distL="0" distR="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9"/>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ED0561" w:rsidP="00AF7D35">
      <w:pPr>
        <w:pStyle w:val="IEEEParagraph"/>
        <w:ind w:firstLine="0"/>
        <w:jc w:val="center"/>
        <w:rPr>
          <w:szCs w:val="20"/>
        </w:rPr>
      </w:pPr>
      <w:r>
        <w:rPr>
          <w:rFonts w:cs="Helvetica"/>
          <w:noProof/>
          <w:lang w:val="tr-TR" w:eastAsia="tr-TR"/>
        </w:rPr>
        <w:drawing>
          <wp:inline distT="0" distB="0" distL="0" distR="0">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0"/>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1"/>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ED0561" w:rsidP="00AF7D35">
      <w:pPr>
        <w:pStyle w:val="IEEEParagraph"/>
        <w:ind w:firstLine="0"/>
        <w:jc w:val="center"/>
      </w:pPr>
      <w:r>
        <w:rPr>
          <w:rFonts w:cs="Helvetica"/>
          <w:noProof/>
          <w:lang w:val="tr-TR" w:eastAsia="tr-TR"/>
        </w:rPr>
        <w:drawing>
          <wp:inline distT="0" distB="0" distL="0" distR="0">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2"/>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r>
        <w:t>Figure 22</w:t>
      </w:r>
      <w:r w:rsidR="00876A33">
        <w:t>.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ED0561" w:rsidP="00876A33">
      <w:pPr>
        <w:pStyle w:val="IEEEParagraph"/>
        <w:jc w:val="center"/>
      </w:pPr>
      <w:r>
        <w:rPr>
          <w:rFonts w:cs="Helvetica"/>
          <w:noProof/>
          <w:lang w:val="tr-TR" w:eastAsia="tr-TR"/>
        </w:rPr>
        <w:drawing>
          <wp:inline distT="0" distB="0" distL="0" distR="0">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3"/>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lastRenderedPageBreak/>
        <w:t>Real-Life Scenario Simulation Result for Packet Transfer</w:t>
      </w:r>
    </w:p>
    <w:p w:rsidR="00876A33" w:rsidRDefault="00ED0561" w:rsidP="00876A33">
      <w:pPr>
        <w:pStyle w:val="IEEEParagraph"/>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4"/>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5"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6"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7"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hyphenationZone w:val="425"/>
  <w:noPunctuationKerning/>
  <w:characterSpacingControl w:val="doNotCompress"/>
  <w:compat>
    <w:applyBreakingRules/>
    <w:useFELayout/>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76EAA"/>
    <w:rsid w:val="00585769"/>
    <w:rsid w:val="00587F32"/>
    <w:rsid w:val="00591130"/>
    <w:rsid w:val="005A3F28"/>
    <w:rsid w:val="005A40BE"/>
    <w:rsid w:val="005B13E2"/>
    <w:rsid w:val="005B47D7"/>
    <w:rsid w:val="005B68DD"/>
    <w:rsid w:val="005B7671"/>
    <w:rsid w:val="005C5526"/>
    <w:rsid w:val="005C5B01"/>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317"/>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AF7D35"/>
    <w:rsid w:val="00B23B31"/>
    <w:rsid w:val="00B44639"/>
    <w:rsid w:val="00B55D5E"/>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203D6"/>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204B2"/>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 w:val="00FE1E3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en.wikipedia.org/wiki/Special:BookSources/052181099X" TargetMode="External"/><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csrc.nist.gov/publications/fips/fips197/fips-197.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nsn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4790</Words>
  <Characters>27308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32034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126</cp:revision>
  <cp:lastPrinted>2012-12-19T09:35:00Z</cp:lastPrinted>
  <dcterms:created xsi:type="dcterms:W3CDTF">2012-12-03T20:31:00Z</dcterms:created>
  <dcterms:modified xsi:type="dcterms:W3CDTF">2012-12-20T19:17:00Z</dcterms:modified>
</cp:coreProperties>
</file>