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52CD8" w14:textId="77777777" w:rsidR="00D41274" w:rsidRPr="0071275B" w:rsidRDefault="00D42D54" w:rsidP="00FA6751">
      <w:pPr>
        <w:pStyle w:val="IEEETitle"/>
      </w:pPr>
      <w:r>
        <w:t>Secure and Seamless Payment for Wireless Mesh Networks</w:t>
      </w:r>
    </w:p>
    <w:p w14:paraId="74963188" w14:textId="77777777" w:rsidR="00D41274" w:rsidRPr="002162BB" w:rsidRDefault="00D42D54" w:rsidP="00D41274">
      <w:pPr>
        <w:pStyle w:val="IEEEAuthorName"/>
      </w:pPr>
      <w:r>
        <w:t>Albert Levi, Serhat Can Leloglu</w:t>
      </w:r>
    </w:p>
    <w:p w14:paraId="40F73128" w14:textId="77777777" w:rsidR="00D41274" w:rsidRPr="0071275B" w:rsidRDefault="00D42D54" w:rsidP="00D41274">
      <w:pPr>
        <w:pStyle w:val="IEEEAuthorAffiliation"/>
      </w:pPr>
      <w:r>
        <w:t>Sabanci University, Turkey</w:t>
      </w:r>
    </w:p>
    <w:p w14:paraId="6625A405" w14:textId="77777777" w:rsidR="00D41274" w:rsidRDefault="00D42D54" w:rsidP="00D41274">
      <w:pPr>
        <w:pStyle w:val="IEEEAuthorEmail"/>
      </w:pPr>
      <w:r>
        <w:t>levi@sabanciuniv.edu</w:t>
      </w:r>
    </w:p>
    <w:p w14:paraId="4D124183" w14:textId="77777777" w:rsidR="00D41274" w:rsidRDefault="00D42D54" w:rsidP="00D41274">
      <w:pPr>
        <w:pStyle w:val="IEEEAuthorEmail"/>
      </w:pPr>
      <w:r>
        <w:t>canleloglu@sabanciuniv.edu</w:t>
      </w:r>
    </w:p>
    <w:p w14:paraId="5068156E" w14:textId="77777777" w:rsidR="00D41274" w:rsidRPr="00D41274" w:rsidRDefault="00D41274" w:rsidP="00D41274"/>
    <w:p w14:paraId="440B0ACE"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5C471D5C" w14:textId="2F3E3255" w:rsidR="00BF66C8" w:rsidRPr="00BF66C8" w:rsidRDefault="0084146B" w:rsidP="00BF66C8">
      <w:pPr>
        <w:pStyle w:val="IEEEAbtract"/>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t>Wireless Mesh Network (WMN) technology is a multi-hop high-speed networking technology for broadband network access. Compared to base stations, WMNs are easy to deploy and cost-effective systems. Building a secure payment system over WMNs is highly desirable since it provides network access to mobile or stationary clients. In this paper a secure and seamless way of pre-payment for Internet access is proposed additionally network simulations for this system are shown.</w:t>
      </w:r>
    </w:p>
    <w:p w14:paraId="0EB9EF5A" w14:textId="15BE4E3D" w:rsidR="0084146B" w:rsidRDefault="00BF66C8" w:rsidP="00BF66C8">
      <w:pPr>
        <w:jc w:val="both"/>
        <w:rPr>
          <w:lang w:val="en-GB" w:eastAsia="en-GB"/>
        </w:rPr>
      </w:pPr>
      <w:r w:rsidRPr="002162BB">
        <w:rPr>
          <w:rStyle w:val="IEEEAbstractHeadingChar"/>
        </w:rPr>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technology is a multi-hop high-speed networking technology for broadband network access. C</w:t>
      </w:r>
    </w:p>
    <w:p w14:paraId="40A999A7" w14:textId="77777777" w:rsidR="00BF66C8" w:rsidRDefault="00BF66C8" w:rsidP="0084146B">
      <w:pPr>
        <w:rPr>
          <w:lang w:val="en-GB" w:eastAsia="en-GB"/>
        </w:rPr>
      </w:pPr>
    </w:p>
    <w:p w14:paraId="0E2008A5"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DF85736" w14:textId="77777777" w:rsidR="0084146B" w:rsidRDefault="0084146B" w:rsidP="0084146B">
      <w:pPr>
        <w:pStyle w:val="IEEEHeading1"/>
      </w:pPr>
      <w:r>
        <w:t>Introduction</w:t>
      </w:r>
    </w:p>
    <w:p w14:paraId="3B36B871"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14:paraId="3D4E8A69"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920C34D"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48F11CB1" w14:textId="77777777" w:rsidR="0084146B" w:rsidRDefault="0084146B" w:rsidP="0084146B">
      <w:pPr>
        <w:pStyle w:val="IEEEHeading1"/>
      </w:pPr>
      <w:r>
        <w:t>Cryptographic Notes</w:t>
      </w:r>
    </w:p>
    <w:p w14:paraId="64E68339"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A450223" w14:textId="77777777" w:rsidR="0084146B" w:rsidRDefault="0084146B" w:rsidP="0084146B">
      <w:pPr>
        <w:pStyle w:val="IEEEHeading1"/>
      </w:pPr>
      <w:r>
        <w:lastRenderedPageBreak/>
        <w:t>General Overview of Proposed Scheme and System Entities</w:t>
      </w:r>
    </w:p>
    <w:p w14:paraId="446FF027" w14:textId="77777777" w:rsidR="0084146B" w:rsidRDefault="0084146B" w:rsidP="0084146B">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155CD054" w14:textId="77777777" w:rsidR="0084146B" w:rsidRDefault="0084146B" w:rsidP="0084146B">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26DB45CA" w14:textId="77777777" w:rsidTr="008F4EB6">
        <w:tc>
          <w:tcPr>
            <w:tcW w:w="1626" w:type="dxa"/>
            <w:shd w:val="clear" w:color="auto" w:fill="auto"/>
            <w:vAlign w:val="center"/>
          </w:tcPr>
          <w:p w14:paraId="24B0D6EC" w14:textId="77777777" w:rsidR="0084146B" w:rsidRDefault="0084146B" w:rsidP="008F4EB6">
            <w:pPr>
              <w:pStyle w:val="IEEEParagraph"/>
              <w:ind w:firstLine="0"/>
              <w:jc w:val="center"/>
            </w:pPr>
            <w:r>
              <w:rPr>
                <w:noProof/>
                <w:sz w:val="24"/>
                <w:lang w:val="en-US" w:eastAsia="en-US"/>
              </w:rPr>
              <w:drawing>
                <wp:inline distT="0" distB="0" distL="0" distR="0" wp14:anchorId="711D6D1C" wp14:editId="10EFB1E7">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F31DC40"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456F95FD" w14:textId="77777777" w:rsidTr="008F4EB6">
        <w:tc>
          <w:tcPr>
            <w:tcW w:w="1626" w:type="dxa"/>
            <w:shd w:val="clear" w:color="auto" w:fill="auto"/>
            <w:vAlign w:val="center"/>
          </w:tcPr>
          <w:p w14:paraId="4511153F" w14:textId="77777777" w:rsidR="0084146B" w:rsidRDefault="0084146B" w:rsidP="008F4EB6">
            <w:pPr>
              <w:pStyle w:val="IEEEParagraph"/>
              <w:ind w:firstLine="0"/>
              <w:jc w:val="center"/>
            </w:pPr>
            <w:r>
              <w:rPr>
                <w:noProof/>
                <w:sz w:val="24"/>
                <w:lang w:val="en-US" w:eastAsia="en-US"/>
              </w:rPr>
              <w:drawing>
                <wp:inline distT="0" distB="0" distL="0" distR="0" wp14:anchorId="56889F97" wp14:editId="525F584B">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B68FAF0"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5D9F5F74" w14:textId="77777777" w:rsidTr="008F4EB6">
        <w:tc>
          <w:tcPr>
            <w:tcW w:w="1626" w:type="dxa"/>
            <w:shd w:val="clear" w:color="auto" w:fill="auto"/>
            <w:vAlign w:val="center"/>
          </w:tcPr>
          <w:p w14:paraId="64D9EBB7"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ECB196D" wp14:editId="409B3ED1">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34BF66"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46B8090E" w14:textId="77777777" w:rsidTr="008F4EB6">
        <w:tc>
          <w:tcPr>
            <w:tcW w:w="1626" w:type="dxa"/>
            <w:shd w:val="clear" w:color="auto" w:fill="auto"/>
            <w:vAlign w:val="center"/>
          </w:tcPr>
          <w:p w14:paraId="461DD635" w14:textId="77777777" w:rsidR="0084146B" w:rsidRDefault="0084146B" w:rsidP="008F4EB6">
            <w:pPr>
              <w:pStyle w:val="IEEEParagraph"/>
              <w:ind w:firstLine="0"/>
              <w:jc w:val="center"/>
            </w:pPr>
            <w:r>
              <w:rPr>
                <w:noProof/>
                <w:sz w:val="24"/>
                <w:lang w:val="en-US" w:eastAsia="en-US"/>
              </w:rPr>
              <w:drawing>
                <wp:inline distT="0" distB="0" distL="0" distR="0" wp14:anchorId="1EC5B810" wp14:editId="2232F304">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01AF8CC5"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580794AB" w14:textId="77777777" w:rsidTr="008F4EB6">
        <w:tc>
          <w:tcPr>
            <w:tcW w:w="1626" w:type="dxa"/>
            <w:shd w:val="clear" w:color="auto" w:fill="auto"/>
            <w:vAlign w:val="center"/>
          </w:tcPr>
          <w:p w14:paraId="1D402D5D" w14:textId="77777777" w:rsidR="0084146B" w:rsidRDefault="0084146B" w:rsidP="008F4EB6">
            <w:pPr>
              <w:pStyle w:val="IEEEParagraph"/>
              <w:ind w:firstLine="0"/>
              <w:jc w:val="center"/>
            </w:pPr>
            <w:r>
              <w:rPr>
                <w:noProof/>
                <w:sz w:val="24"/>
                <w:lang w:val="en-US" w:eastAsia="en-US"/>
              </w:rPr>
              <w:drawing>
                <wp:inline distT="0" distB="0" distL="0" distR="0" wp14:anchorId="17A19295" wp14:editId="2C812576">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2191A02"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5D8733E3" w14:textId="77777777" w:rsidTr="008F4EB6">
        <w:tc>
          <w:tcPr>
            <w:tcW w:w="1626" w:type="dxa"/>
            <w:shd w:val="clear" w:color="auto" w:fill="auto"/>
            <w:vAlign w:val="center"/>
          </w:tcPr>
          <w:p w14:paraId="35DF4B13"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7186F6B5" wp14:editId="61B36B99">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524FE168"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26DE74E4" w14:textId="77777777" w:rsidR="0084146B" w:rsidRDefault="0084146B" w:rsidP="0084146B">
      <w:pPr>
        <w:pStyle w:val="IEEEParagraph"/>
      </w:pPr>
    </w:p>
    <w:p w14:paraId="3F37181C" w14:textId="77777777" w:rsidR="0084146B" w:rsidRDefault="0084146B" w:rsidP="0084146B">
      <w:pPr>
        <w:pStyle w:val="IEEEParagraph"/>
      </w:pPr>
      <w:r>
        <w:t>Figure 1 shows the topology of the network and connections between entities.</w:t>
      </w:r>
    </w:p>
    <w:p w14:paraId="3FA4B660" w14:textId="77777777" w:rsidR="0084146B" w:rsidRDefault="0084146B" w:rsidP="0084146B">
      <w:pPr>
        <w:pStyle w:val="IEEEParagraph"/>
        <w:jc w:val="center"/>
      </w:pPr>
      <w:r w:rsidRPr="00314071">
        <w:rPr>
          <w:noProof/>
          <w:lang w:val="en-US" w:eastAsia="en-US"/>
        </w:rPr>
        <w:lastRenderedPageBreak/>
        <w:drawing>
          <wp:inline distT="0" distB="0" distL="0" distR="0" wp14:anchorId="3B33B183" wp14:editId="492DBBC4">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2CF5504D" w14:textId="77777777" w:rsidR="0084146B" w:rsidRDefault="0084146B" w:rsidP="0084146B">
      <w:pPr>
        <w:pStyle w:val="IEEEParagraph"/>
        <w:jc w:val="center"/>
        <w:rPr>
          <w:sz w:val="16"/>
          <w:szCs w:val="16"/>
        </w:rPr>
      </w:pPr>
      <w:r>
        <w:rPr>
          <w:sz w:val="16"/>
          <w:szCs w:val="16"/>
        </w:rPr>
        <w:t>Figure 1. Network Topology</w:t>
      </w:r>
    </w:p>
    <w:p w14:paraId="5A166221" w14:textId="77777777" w:rsidR="0084146B" w:rsidRDefault="0084146B" w:rsidP="0084146B">
      <w:pPr>
        <w:pStyle w:val="IEEEParagraph"/>
        <w:ind w:firstLine="215"/>
        <w:rPr>
          <w:szCs w:val="20"/>
        </w:rPr>
      </w:pPr>
    </w:p>
    <w:p w14:paraId="27BF62C2" w14:textId="77777777" w:rsidR="0084146B" w:rsidRPr="00392783" w:rsidRDefault="0084146B" w:rsidP="0084146B">
      <w:pPr>
        <w:pStyle w:val="IEEEParagraph"/>
        <w:ind w:firstLine="215"/>
        <w:rPr>
          <w:szCs w:val="20"/>
        </w:rPr>
      </w:pPr>
      <w:r>
        <w:rPr>
          <w:szCs w:val="20"/>
        </w:rPr>
        <w:t>Figure 1 shows the topology of the network and connections between entities.</w:t>
      </w:r>
    </w:p>
    <w:p w14:paraId="743C6CFD"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4D2E0ECF"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7AFB006D" w14:textId="77777777" w:rsidR="0084146B" w:rsidRDefault="0084146B" w:rsidP="0084146B">
      <w:pPr>
        <w:pStyle w:val="IEEEHeading2"/>
        <w:numPr>
          <w:ilvl w:val="0"/>
          <w:numId w:val="1"/>
        </w:numPr>
      </w:pPr>
      <w:r>
        <w:t>Connection Card Structure</w:t>
      </w:r>
    </w:p>
    <w:p w14:paraId="0A4C3EA7"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2A0C3342"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3117335C" w14:textId="77777777" w:rsidR="0084146B" w:rsidRPr="00314071" w:rsidRDefault="00BF66C8"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21A15BB" w14:textId="77777777" w:rsidR="0084146B" w:rsidRPr="00314071" w:rsidRDefault="00BF66C8"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DC08173"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D32DC6F" w14:textId="77777777" w:rsidR="0084146B" w:rsidRPr="00314071" w:rsidRDefault="00BF66C8"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33F8F5A" w14:textId="77777777" w:rsidR="0084146B" w:rsidRPr="00497FEC" w:rsidRDefault="00BF66C8"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86B4171" w14:textId="77777777" w:rsidR="0084146B" w:rsidRPr="00314071" w:rsidRDefault="00BF66C8" w:rsidP="0084146B">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84146B">
        <w:rPr>
          <w:sz w:val="20"/>
          <w:szCs w:val="20"/>
        </w:rPr>
        <w:t xml:space="preserve"> </w:t>
      </w:r>
      <w:r w:rsidR="0084146B" w:rsidRPr="00314071">
        <w:rPr>
          <w:sz w:val="20"/>
          <w:szCs w:val="20"/>
        </w:rPr>
        <w:t>is the first token</w:t>
      </w:r>
      <w:r w:rsidR="0084146B">
        <w:rPr>
          <w:sz w:val="20"/>
          <w:szCs w:val="20"/>
        </w:rPr>
        <w:t xml:space="preserve"> to be used, t</w:t>
      </w:r>
      <w:r w:rsidR="0084146B" w:rsidRPr="00314071">
        <w:rPr>
          <w:sz w:val="20"/>
          <w:szCs w:val="20"/>
        </w:rPr>
        <w:t>hen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14:paraId="25BA6C69" w14:textId="77777777" w:rsidR="0084146B" w:rsidRDefault="0084146B" w:rsidP="0084146B">
      <w:pPr>
        <w:pStyle w:val="IEEEHeading2"/>
        <w:numPr>
          <w:ilvl w:val="0"/>
          <w:numId w:val="1"/>
        </w:numPr>
      </w:pPr>
      <w:r>
        <w:lastRenderedPageBreak/>
        <w:t>Alias Computation</w:t>
      </w:r>
    </w:p>
    <w:p w14:paraId="7BDDC23F"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0571DD62"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7C469AB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3BA96AF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6D78761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415748B1"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w:t>
      </w:r>
      <w:r w:rsidRPr="006D3737">
        <w:rPr>
          <w:rFonts w:cs="Helvetica"/>
          <w:szCs w:val="20"/>
        </w:rPr>
        <w:t xml:space="preserve"> </w:t>
      </w:r>
      <w:r>
        <w:rPr>
          <w:rFonts w:cs="Helvetica"/>
          <w:szCs w:val="20"/>
        </w:rPr>
        <w:t>making TTP to check the proposed alias to be a unique one solves this problem</w:t>
      </w:r>
      <w:r w:rsidRPr="006D3737">
        <w:rPr>
          <w:rFonts w:cs="Helvetica"/>
          <w:szCs w:val="20"/>
        </w:rPr>
        <w:t>.</w:t>
      </w:r>
    </w:p>
    <w:p w14:paraId="4C8C7D5A" w14:textId="77777777" w:rsidR="0084146B" w:rsidRDefault="0084146B" w:rsidP="0084146B">
      <w:pPr>
        <w:pStyle w:val="IEEEHeading1"/>
      </w:pPr>
      <w:r>
        <w:t>Protocols</w:t>
      </w:r>
    </w:p>
    <w:p w14:paraId="44B1B15F"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6FEE74E2"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Card using the other hash tokens on the hash chain. This kind of similar protocols will be explained simultaneously.</w:t>
      </w:r>
    </w:p>
    <w:p w14:paraId="2A06E71B" w14:textId="77777777" w:rsidR="0084146B" w:rsidRDefault="0084146B" w:rsidP="0084146B">
      <w:pPr>
        <w:pStyle w:val="IEEEHeading2"/>
        <w:numPr>
          <w:ilvl w:val="1"/>
          <w:numId w:val="7"/>
        </w:numPr>
      </w:pPr>
      <w:r>
        <w:t>End-to-End Two-Way Protocols</w:t>
      </w:r>
    </w:p>
    <w:p w14:paraId="65DCCAF3" w14:textId="304AB5E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6262CBCE"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03317D86" w14:textId="77777777" w:rsidR="0084146B" w:rsidRDefault="0084146B" w:rsidP="0084146B">
      <w:pPr>
        <w:pStyle w:val="IEEEParagraph"/>
      </w:pPr>
      <w:r>
        <w:rPr>
          <w:noProof/>
          <w:lang w:val="en-US" w:eastAsia="en-US"/>
        </w:rPr>
        <w:lastRenderedPageBreak/>
        <w:drawing>
          <wp:inline distT="0" distB="0" distL="0" distR="0" wp14:anchorId="7A892B7C" wp14:editId="6A1690DA">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1CA92F6F" w14:textId="77777777" w:rsidR="0084146B" w:rsidRDefault="0084146B" w:rsidP="0084146B">
      <w:pPr>
        <w:pStyle w:val="IEEEParagraph"/>
        <w:jc w:val="center"/>
        <w:rPr>
          <w:sz w:val="16"/>
          <w:szCs w:val="16"/>
        </w:rPr>
      </w:pPr>
      <w:r>
        <w:rPr>
          <w:sz w:val="16"/>
          <w:szCs w:val="16"/>
        </w:rPr>
        <w:t>Figure 2. End-to-End Two Way Protocol Flow</w:t>
      </w:r>
    </w:p>
    <w:p w14:paraId="218D802F" w14:textId="77777777" w:rsidR="0084146B" w:rsidRPr="00392783" w:rsidRDefault="0084146B" w:rsidP="0084146B">
      <w:pPr>
        <w:pStyle w:val="IEEEParagraph"/>
        <w:jc w:val="center"/>
        <w:rPr>
          <w:szCs w:val="20"/>
        </w:rPr>
      </w:pPr>
    </w:p>
    <w:p w14:paraId="4C7B40CC"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F71B504"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383A2B4D"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2A9C0270"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3E1657E2" w14:textId="77777777" w:rsidR="0084146B" w:rsidRDefault="0084146B" w:rsidP="0084146B">
      <w:pPr>
        <w:pStyle w:val="IEEEHeading2"/>
        <w:numPr>
          <w:ilvl w:val="1"/>
          <w:numId w:val="7"/>
        </w:numPr>
      </w:pPr>
      <w:r>
        <w:t>Access Point Authentication</w:t>
      </w:r>
    </w:p>
    <w:p w14:paraId="7A3640BB" w14:textId="77777777" w:rsidR="0084146B" w:rsidRPr="001A09EB" w:rsidRDefault="0084146B" w:rsidP="0084146B">
      <w:pPr>
        <w:pStyle w:val="IEEEParagraph"/>
        <w:jc w:val="center"/>
      </w:pPr>
      <w:r>
        <w:rPr>
          <w:noProof/>
          <w:lang w:val="en-US" w:eastAsia="en-US"/>
        </w:rPr>
        <w:drawing>
          <wp:inline distT="0" distB="0" distL="0" distR="0" wp14:anchorId="35F1237B" wp14:editId="7EEB0537">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0E5E38A7" w14:textId="77777777" w:rsidR="0084146B" w:rsidRDefault="0084146B" w:rsidP="0084146B">
      <w:pPr>
        <w:pStyle w:val="IEEEParagraph"/>
        <w:jc w:val="center"/>
        <w:rPr>
          <w:sz w:val="16"/>
          <w:szCs w:val="16"/>
        </w:rPr>
      </w:pPr>
      <w:r>
        <w:rPr>
          <w:sz w:val="16"/>
          <w:szCs w:val="16"/>
        </w:rPr>
        <w:t>Figure 3. Access Point Authentication</w:t>
      </w:r>
    </w:p>
    <w:p w14:paraId="4FB015BD" w14:textId="77777777" w:rsidR="0084146B" w:rsidRPr="00392783" w:rsidRDefault="0084146B" w:rsidP="0084146B">
      <w:pPr>
        <w:pStyle w:val="IEEEParagraph"/>
        <w:jc w:val="center"/>
        <w:rPr>
          <w:szCs w:val="20"/>
        </w:rPr>
      </w:pPr>
    </w:p>
    <w:p w14:paraId="313EE0E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5446F7AD" w14:textId="00F085C9"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4198880E" w14:textId="77777777" w:rsidR="0084146B" w:rsidRDefault="0084146B" w:rsidP="0084146B">
      <w:pPr>
        <w:pStyle w:val="IEEEHeading2"/>
        <w:numPr>
          <w:ilvl w:val="1"/>
          <w:numId w:val="7"/>
        </w:numPr>
      </w:pPr>
      <w:r>
        <w:t>Packet Transfer</w:t>
      </w:r>
    </w:p>
    <w:p w14:paraId="13A8639F" w14:textId="77777777" w:rsidR="0084146B" w:rsidRDefault="0084146B" w:rsidP="0084146B">
      <w:pPr>
        <w:pStyle w:val="IEEEParagraph"/>
        <w:jc w:val="center"/>
      </w:pPr>
      <w:r>
        <w:rPr>
          <w:noProof/>
          <w:sz w:val="24"/>
          <w:lang w:val="en-US" w:eastAsia="en-US"/>
        </w:rPr>
        <w:drawing>
          <wp:inline distT="0" distB="0" distL="0" distR="0" wp14:anchorId="1933FF87" wp14:editId="7ADE8AEC">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3E0278C5" w14:textId="77777777"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14:paraId="7FDFE545" w14:textId="77777777" w:rsidR="0084146B" w:rsidRPr="00392783" w:rsidRDefault="0084146B" w:rsidP="0084146B">
      <w:pPr>
        <w:pStyle w:val="IEEEParagraph"/>
        <w:jc w:val="center"/>
        <w:rPr>
          <w:szCs w:val="20"/>
        </w:rPr>
      </w:pPr>
    </w:p>
    <w:p w14:paraId="4B6B81C0" w14:textId="52A7AADC" w:rsidR="0084146B" w:rsidRDefault="0084146B" w:rsidP="0084146B">
      <w:pPr>
        <w:pStyle w:val="IEEEParagraph"/>
      </w:pPr>
      <w:r>
        <w:rPr>
          <w:i/>
        </w:rPr>
        <w:t>Packet T</w:t>
      </w:r>
      <w:r w:rsidRPr="00EA6ECF">
        <w:rPr>
          <w:i/>
        </w:rPr>
        <w:t>ransfer</w:t>
      </w:r>
      <w:r>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bookmarkStart w:id="0" w:name="_GoBack"/>
      <w:bookmarkEnd w:id="0"/>
      <w:r>
        <w:t xml:space="preserve"> the protocol is called after e.g. 2 minutes, user could not get a refund for the remaining 3 minutes.</w:t>
      </w:r>
    </w:p>
    <w:p w14:paraId="765D7BFD"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7B6A7F8F" w14:textId="77777777" w:rsidR="0084146B" w:rsidRDefault="0084146B" w:rsidP="0084146B">
      <w:pPr>
        <w:pStyle w:val="IEEEHeading2"/>
        <w:numPr>
          <w:ilvl w:val="1"/>
          <w:numId w:val="7"/>
        </w:numPr>
      </w:pPr>
      <w:r>
        <w:lastRenderedPageBreak/>
        <w:t>Update Packets</w:t>
      </w:r>
    </w:p>
    <w:p w14:paraId="3FAC8B75" w14:textId="77777777" w:rsidR="0084146B" w:rsidRDefault="0084146B" w:rsidP="0084146B">
      <w:pPr>
        <w:pStyle w:val="IEEEParagraph"/>
        <w:jc w:val="center"/>
        <w:rPr>
          <w:szCs w:val="20"/>
        </w:rPr>
      </w:pPr>
      <w:r>
        <w:rPr>
          <w:noProof/>
          <w:sz w:val="24"/>
          <w:lang w:val="en-US" w:eastAsia="en-US"/>
        </w:rPr>
        <w:drawing>
          <wp:inline distT="0" distB="0" distL="0" distR="0" wp14:anchorId="4684785E" wp14:editId="630A9912">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596EE0BE" w14:textId="77777777" w:rsidR="0084146B" w:rsidRDefault="0084146B" w:rsidP="0084146B">
      <w:pPr>
        <w:pStyle w:val="IEEEParagraph"/>
        <w:jc w:val="center"/>
        <w:rPr>
          <w:sz w:val="16"/>
          <w:szCs w:val="16"/>
        </w:rPr>
      </w:pPr>
      <w:r>
        <w:rPr>
          <w:sz w:val="16"/>
          <w:szCs w:val="16"/>
        </w:rPr>
        <w:t>Figure 5. Update Packets</w:t>
      </w:r>
    </w:p>
    <w:p w14:paraId="0DB0BFAE" w14:textId="77777777" w:rsidR="0084146B" w:rsidRPr="00392783" w:rsidRDefault="0084146B" w:rsidP="0084146B">
      <w:pPr>
        <w:pStyle w:val="IEEEParagraph"/>
        <w:ind w:firstLine="0"/>
        <w:rPr>
          <w:szCs w:val="20"/>
        </w:rPr>
      </w:pPr>
    </w:p>
    <w:p w14:paraId="50B623D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w:t>
      </w:r>
      <w:r w:rsidRPr="00805D97">
        <w:rPr>
          <w:sz w:val="20"/>
          <w:szCs w:val="20"/>
        </w:rPr>
        <w:t xml:space="preserve"> </w:t>
      </w:r>
      <w:r>
        <w:rPr>
          <w:sz w:val="20"/>
          <w:szCs w:val="20"/>
        </w:rPr>
        <w:t xml:space="preserv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7689E0B2"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227DF497" w14:textId="77777777" w:rsidR="0084146B" w:rsidRDefault="0084146B" w:rsidP="0084146B">
      <w:pPr>
        <w:pStyle w:val="IEEEHeading2"/>
        <w:numPr>
          <w:ilvl w:val="1"/>
          <w:numId w:val="7"/>
        </w:numPr>
      </w:pPr>
      <w:r>
        <w:t>Seamless Mobility and Roaming (Payment Related)</w:t>
      </w:r>
    </w:p>
    <w:p w14:paraId="551D1C4C" w14:textId="77777777" w:rsidR="0084146B" w:rsidRDefault="0084146B" w:rsidP="0084146B">
      <w:pPr>
        <w:pStyle w:val="IEEEParagraph"/>
        <w:jc w:val="center"/>
      </w:pPr>
      <w:r>
        <w:rPr>
          <w:noProof/>
          <w:sz w:val="24"/>
          <w:lang w:val="en-US" w:eastAsia="en-US"/>
        </w:rPr>
        <w:drawing>
          <wp:inline distT="0" distB="0" distL="0" distR="0" wp14:anchorId="289F2919" wp14:editId="7CF86A96">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58D36879" w14:textId="77777777" w:rsidR="0084146B" w:rsidRDefault="0084146B" w:rsidP="0084146B">
      <w:pPr>
        <w:pStyle w:val="IEEEParagraph"/>
        <w:jc w:val="center"/>
        <w:rPr>
          <w:sz w:val="16"/>
          <w:szCs w:val="16"/>
        </w:rPr>
      </w:pPr>
      <w:r>
        <w:rPr>
          <w:sz w:val="16"/>
          <w:szCs w:val="16"/>
        </w:rPr>
        <w:t>Figure 6. Seamless Mobility and Roaming</w:t>
      </w:r>
    </w:p>
    <w:p w14:paraId="415BD421" w14:textId="77777777" w:rsidR="0084146B" w:rsidRPr="00392783" w:rsidRDefault="0084146B" w:rsidP="0084146B">
      <w:pPr>
        <w:pStyle w:val="IEEEParagraph"/>
        <w:jc w:val="center"/>
        <w:rPr>
          <w:szCs w:val="20"/>
        </w:rPr>
      </w:pPr>
    </w:p>
    <w:p w14:paraId="7AE5DE96"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5F991035"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0E0FBADE"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0C80828F"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391D6C5C" w14:textId="77777777" w:rsidR="0084146B" w:rsidRDefault="0084146B" w:rsidP="0084146B">
      <w:pPr>
        <w:pStyle w:val="IEEEHeading2"/>
        <w:numPr>
          <w:ilvl w:val="1"/>
          <w:numId w:val="7"/>
        </w:numPr>
      </w:pPr>
      <w:r>
        <w:t>Distributing Access Point Public Keys</w:t>
      </w:r>
    </w:p>
    <w:p w14:paraId="38D2D90B" w14:textId="77777777" w:rsidR="0084146B" w:rsidRPr="00515210" w:rsidRDefault="0084146B" w:rsidP="0084146B">
      <w:pPr>
        <w:pStyle w:val="IEEEParagraph"/>
        <w:jc w:val="center"/>
      </w:pPr>
      <w:r w:rsidRPr="003543E2">
        <w:rPr>
          <w:noProof/>
          <w:sz w:val="24"/>
          <w:lang w:val="en-US" w:eastAsia="en-US"/>
        </w:rPr>
        <w:drawing>
          <wp:inline distT="0" distB="0" distL="0" distR="0" wp14:anchorId="611DF9C5" wp14:editId="5603EF61">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0BDD49C0" w14:textId="77777777" w:rsidR="0084146B" w:rsidRDefault="0084146B" w:rsidP="0084146B">
      <w:pPr>
        <w:pStyle w:val="IEEEParagraph"/>
        <w:jc w:val="center"/>
        <w:rPr>
          <w:sz w:val="16"/>
          <w:szCs w:val="16"/>
        </w:rPr>
      </w:pPr>
      <w:r>
        <w:rPr>
          <w:sz w:val="16"/>
          <w:szCs w:val="16"/>
        </w:rPr>
        <w:t>Figure 7. Distributing Access Point Public Keys</w:t>
      </w:r>
    </w:p>
    <w:p w14:paraId="4362FA8E" w14:textId="77777777" w:rsidR="0084146B" w:rsidRPr="00392783" w:rsidRDefault="0084146B" w:rsidP="0084146B">
      <w:pPr>
        <w:pStyle w:val="IEEEParagraph"/>
        <w:jc w:val="center"/>
        <w:rPr>
          <w:szCs w:val="20"/>
        </w:rPr>
      </w:pPr>
    </w:p>
    <w:p w14:paraId="4732EF14"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080AB5C6"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1DEC28CD" w14:textId="77777777" w:rsidR="0084146B" w:rsidRDefault="0084146B" w:rsidP="0084146B">
      <w:pPr>
        <w:pStyle w:val="IEEEHeading1"/>
      </w:pPr>
      <w:r>
        <w:t>Unit Test Results</w:t>
      </w:r>
    </w:p>
    <w:p w14:paraId="07E5F8F9"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8D1A49"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6C363457" w14:textId="77777777" w:rsidR="0084146B" w:rsidRDefault="0084146B" w:rsidP="0084146B">
      <w:pPr>
        <w:pStyle w:val="IEEEHeading2"/>
        <w:numPr>
          <w:ilvl w:val="1"/>
          <w:numId w:val="7"/>
        </w:numPr>
        <w:rPr>
          <w:lang w:val="en-GB"/>
        </w:rPr>
      </w:pPr>
      <w:r>
        <w:rPr>
          <w:lang w:val="en-GB"/>
        </w:rPr>
        <w:t>Results for End-to-End Two-Way Protocols</w:t>
      </w:r>
    </w:p>
    <w:p w14:paraId="7682D4EE"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142F9AE3" w14:textId="77777777" w:rsidR="0084146B" w:rsidRDefault="0084146B" w:rsidP="0084146B">
      <w:pPr>
        <w:pStyle w:val="IEEEParagraph"/>
      </w:pPr>
      <w:r>
        <w:lastRenderedPageBreak/>
        <w:t>Figure 8 gives the result for unit test of end-to-end two-way protocols.</w:t>
      </w:r>
    </w:p>
    <w:p w14:paraId="0155A3A7" w14:textId="77777777" w:rsidR="0084146B" w:rsidRDefault="0084146B" w:rsidP="0084146B">
      <w:pPr>
        <w:pStyle w:val="IEEEParagraph"/>
        <w:jc w:val="center"/>
      </w:pPr>
      <w:r>
        <w:rPr>
          <w:noProof/>
          <w:lang w:val="en-US" w:eastAsia="en-US"/>
        </w:rPr>
        <w:drawing>
          <wp:inline distT="0" distB="0" distL="0" distR="0" wp14:anchorId="70033CE5" wp14:editId="4744032B">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4D73DF16" w14:textId="77777777" w:rsidR="0084146B" w:rsidRDefault="0084146B" w:rsidP="0084146B">
      <w:pPr>
        <w:pStyle w:val="IEEEParagraph"/>
        <w:jc w:val="center"/>
        <w:rPr>
          <w:sz w:val="16"/>
          <w:szCs w:val="16"/>
        </w:rPr>
      </w:pPr>
      <w:r>
        <w:rPr>
          <w:sz w:val="16"/>
          <w:szCs w:val="16"/>
        </w:rPr>
        <w:t>Figure 8. End-to-End Two-Way protocols Unit Test Result</w:t>
      </w:r>
    </w:p>
    <w:p w14:paraId="71422947" w14:textId="77777777" w:rsidR="0084146B" w:rsidRPr="00392783" w:rsidRDefault="0084146B" w:rsidP="0084146B">
      <w:pPr>
        <w:pStyle w:val="IEEEParagraph"/>
        <w:jc w:val="center"/>
        <w:rPr>
          <w:szCs w:val="20"/>
        </w:rPr>
      </w:pPr>
    </w:p>
    <w:p w14:paraId="12368FB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523524BE" w14:textId="77777777" w:rsidR="0084146B" w:rsidRDefault="0084146B" w:rsidP="0084146B">
      <w:pPr>
        <w:pStyle w:val="IEEEHeading2"/>
        <w:numPr>
          <w:ilvl w:val="1"/>
          <w:numId w:val="7"/>
        </w:numPr>
        <w:rPr>
          <w:lang w:val="en-GB"/>
        </w:rPr>
      </w:pPr>
      <w:r>
        <w:rPr>
          <w:lang w:val="en-GB"/>
        </w:rPr>
        <w:t>Results for Access Point Authentication</w:t>
      </w:r>
    </w:p>
    <w:p w14:paraId="5BCF7A1E" w14:textId="77777777" w:rsidR="0084146B" w:rsidRDefault="0084146B" w:rsidP="0084146B">
      <w:pPr>
        <w:pStyle w:val="IEEEParagraph"/>
        <w:rPr>
          <w:szCs w:val="20"/>
        </w:rPr>
      </w:pPr>
      <w:r w:rsidRPr="008F4EB6">
        <w:rPr>
          <w:i/>
          <w:szCs w:val="20"/>
        </w:rPr>
        <w:t>Access Point Authentication</w:t>
      </w:r>
      <w:r>
        <w:rPr>
          <w:szCs w:val="20"/>
        </w:rPr>
        <w:t xml:space="preserve"> protocol, consists of a challenge-response protocol. It contains two HMAC operations.</w:t>
      </w:r>
    </w:p>
    <w:p w14:paraId="418CBCB8"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F30C74B" w14:textId="77777777" w:rsidR="0084146B" w:rsidRDefault="0084146B" w:rsidP="0084146B">
      <w:pPr>
        <w:pStyle w:val="IEEEParagraph"/>
        <w:jc w:val="center"/>
      </w:pPr>
      <w:r>
        <w:rPr>
          <w:noProof/>
          <w:lang w:val="en-US" w:eastAsia="en-US"/>
        </w:rPr>
        <w:drawing>
          <wp:inline distT="0" distB="0" distL="0" distR="0" wp14:anchorId="173A6AB4" wp14:editId="371C4C5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1D5A6A08" w14:textId="77777777" w:rsidR="0084146B" w:rsidRDefault="0084146B" w:rsidP="0084146B">
      <w:pPr>
        <w:pStyle w:val="IEEEParagraph"/>
        <w:jc w:val="center"/>
        <w:rPr>
          <w:sz w:val="16"/>
          <w:szCs w:val="16"/>
        </w:rPr>
      </w:pPr>
      <w:r>
        <w:rPr>
          <w:sz w:val="16"/>
          <w:szCs w:val="16"/>
        </w:rPr>
        <w:t>Figure 9. Access Point Authentication protocol Unit Test Result</w:t>
      </w:r>
    </w:p>
    <w:p w14:paraId="30A269F5" w14:textId="77777777" w:rsidR="0084146B" w:rsidRDefault="0084146B" w:rsidP="0084146B">
      <w:pPr>
        <w:pStyle w:val="IEEEParagraph"/>
        <w:rPr>
          <w:szCs w:val="20"/>
        </w:rPr>
      </w:pPr>
    </w:p>
    <w:p w14:paraId="61C7A68E"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34D8B86" w14:textId="77777777" w:rsidR="0084146B" w:rsidRDefault="0084146B" w:rsidP="0084146B">
      <w:pPr>
        <w:pStyle w:val="IEEEHeading2"/>
        <w:numPr>
          <w:ilvl w:val="1"/>
          <w:numId w:val="7"/>
        </w:numPr>
        <w:rPr>
          <w:lang w:val="en-GB"/>
        </w:rPr>
      </w:pPr>
      <w:r>
        <w:rPr>
          <w:lang w:val="en-GB"/>
        </w:rPr>
        <w:t>Results for Seamless Mobility and Roaming</w:t>
      </w:r>
    </w:p>
    <w:p w14:paraId="10EE69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255C9F75"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D5E0CC4"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4C1C9D0F" w14:textId="77777777" w:rsidR="0084146B" w:rsidRDefault="0084146B" w:rsidP="0084146B">
      <w:pPr>
        <w:pStyle w:val="IEEEParagraph"/>
        <w:jc w:val="center"/>
      </w:pPr>
      <w:r>
        <w:rPr>
          <w:noProof/>
          <w:lang w:val="en-US" w:eastAsia="en-US"/>
        </w:rPr>
        <w:drawing>
          <wp:inline distT="0" distB="0" distL="0" distR="0" wp14:anchorId="53A8797F" wp14:editId="0149CE37">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00C22AFC" w14:textId="77777777" w:rsidR="0084146B" w:rsidRPr="00BD55F1" w:rsidRDefault="0084146B" w:rsidP="0084146B">
      <w:pPr>
        <w:pStyle w:val="IEEEParagraph"/>
        <w:jc w:val="center"/>
        <w:rPr>
          <w:sz w:val="16"/>
          <w:szCs w:val="16"/>
        </w:rPr>
      </w:pPr>
      <w:r>
        <w:rPr>
          <w:sz w:val="16"/>
          <w:szCs w:val="16"/>
        </w:rPr>
        <w:t>Figure 10. Seamless Mobility and Roaming protocols Unit Test Result</w:t>
      </w:r>
    </w:p>
    <w:p w14:paraId="33F7B38E" w14:textId="77777777" w:rsidR="0084146B" w:rsidRDefault="0084146B" w:rsidP="0084146B">
      <w:pPr>
        <w:pStyle w:val="IEEEParagraph"/>
      </w:pPr>
    </w:p>
    <w:p w14:paraId="40B0164B"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3E541A11" w14:textId="77777777" w:rsidR="0084146B" w:rsidRDefault="0084146B" w:rsidP="0084146B">
      <w:pPr>
        <w:pStyle w:val="IEEEHeading2"/>
        <w:numPr>
          <w:ilvl w:val="1"/>
          <w:numId w:val="7"/>
        </w:numPr>
        <w:rPr>
          <w:lang w:val="en-GB"/>
        </w:rPr>
      </w:pPr>
      <w:r>
        <w:rPr>
          <w:lang w:val="en-GB"/>
        </w:rPr>
        <w:t>Results for Packet Transfer</w:t>
      </w:r>
    </w:p>
    <w:p w14:paraId="3B78E607" w14:textId="612479E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84146B" w:rsidRPr="005F639D">
        <w:t xml:space="preserve"> </w:t>
      </w:r>
      <w:r>
        <w:t>protocol</w:t>
      </w:r>
      <w:r w:rsidR="0084146B">
        <w:t xml:space="preserve"> is that</w:t>
      </w:r>
      <w:r w:rsidR="0084146B" w:rsidRPr="005F639D">
        <w:t xml:space="preserve"> a </w:t>
      </w:r>
      <w:r w:rsidR="0084146B">
        <w:t xml:space="preserve">client sends a 512-byte packet every minute. </w:t>
      </w:r>
    </w:p>
    <w:p w14:paraId="281D6AF1" w14:textId="77777777" w:rsidR="0084146B" w:rsidRDefault="0084146B" w:rsidP="0084146B">
      <w:pPr>
        <w:pStyle w:val="IEEEParagraph"/>
      </w:pPr>
      <w:r>
        <w:t>Figure 11 shows the unit test result for Packet Transfer protocol.</w:t>
      </w:r>
    </w:p>
    <w:p w14:paraId="0B9C7592" w14:textId="77777777" w:rsidR="0084146B" w:rsidRDefault="0084146B" w:rsidP="0084146B">
      <w:pPr>
        <w:pStyle w:val="IEEEParagraph"/>
        <w:jc w:val="center"/>
      </w:pPr>
      <w:r>
        <w:rPr>
          <w:noProof/>
          <w:lang w:val="en-US" w:eastAsia="en-US"/>
        </w:rPr>
        <w:drawing>
          <wp:inline distT="0" distB="0" distL="0" distR="0" wp14:anchorId="0778B5A1" wp14:editId="3CDC83F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C572999" w14:textId="77777777" w:rsidR="0084146B" w:rsidRPr="00BD55F1" w:rsidRDefault="0084146B" w:rsidP="0084146B">
      <w:pPr>
        <w:pStyle w:val="IEEEParagraph"/>
        <w:jc w:val="center"/>
        <w:rPr>
          <w:sz w:val="16"/>
          <w:szCs w:val="16"/>
        </w:rPr>
      </w:pPr>
      <w:r>
        <w:rPr>
          <w:sz w:val="16"/>
          <w:szCs w:val="16"/>
        </w:rPr>
        <w:t>Figure 11. Packet Transfer protocol Unit Test Result</w:t>
      </w:r>
    </w:p>
    <w:p w14:paraId="06E397F8" w14:textId="77777777" w:rsidR="0084146B" w:rsidRDefault="0084146B" w:rsidP="0084146B">
      <w:pPr>
        <w:pStyle w:val="IEEEParagraph"/>
      </w:pPr>
    </w:p>
    <w:p w14:paraId="6449C036" w14:textId="77777777" w:rsidR="0084146B" w:rsidRDefault="0084146B" w:rsidP="0084146B">
      <w:pPr>
        <w:pStyle w:val="IEEEParagraph"/>
      </w:pPr>
      <w:r>
        <w:lastRenderedPageBreak/>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7C5FBD84" w14:textId="77777777" w:rsidR="0084146B" w:rsidRDefault="0084146B" w:rsidP="0084146B">
      <w:pPr>
        <w:pStyle w:val="IEEEHeading2"/>
        <w:numPr>
          <w:ilvl w:val="1"/>
          <w:numId w:val="7"/>
        </w:numPr>
        <w:rPr>
          <w:lang w:val="en-GB"/>
        </w:rPr>
      </w:pPr>
      <w:r>
        <w:rPr>
          <w:lang w:val="en-GB"/>
        </w:rPr>
        <w:t>Results for Update Packets</w:t>
      </w:r>
    </w:p>
    <w:p w14:paraId="7FF6725A"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2C8DDB36" w14:textId="77777777" w:rsidR="0084146B" w:rsidRDefault="0084146B" w:rsidP="0084146B">
      <w:pPr>
        <w:pStyle w:val="IEEEParagraph"/>
        <w:jc w:val="center"/>
      </w:pPr>
      <w:r>
        <w:rPr>
          <w:noProof/>
          <w:lang w:val="en-US" w:eastAsia="en-US"/>
        </w:rPr>
        <w:drawing>
          <wp:inline distT="0" distB="0" distL="0" distR="0" wp14:anchorId="72BF2242" wp14:editId="299234D1">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591F6B7A" w14:textId="77777777" w:rsidR="0084146B" w:rsidRDefault="0084146B" w:rsidP="0084146B">
      <w:pPr>
        <w:pStyle w:val="IEEEParagraph"/>
        <w:jc w:val="center"/>
        <w:rPr>
          <w:sz w:val="16"/>
          <w:szCs w:val="16"/>
        </w:rPr>
      </w:pPr>
      <w:r>
        <w:rPr>
          <w:sz w:val="16"/>
          <w:szCs w:val="16"/>
        </w:rPr>
        <w:t>Figure 12. Update Packets protocol Unit Test Result</w:t>
      </w:r>
    </w:p>
    <w:p w14:paraId="256AFE64" w14:textId="77777777" w:rsidR="0084146B" w:rsidRPr="007A7E5D" w:rsidRDefault="0084146B" w:rsidP="0084146B">
      <w:pPr>
        <w:pStyle w:val="IEEEParagraph"/>
        <w:jc w:val="center"/>
        <w:rPr>
          <w:szCs w:val="20"/>
        </w:rPr>
      </w:pPr>
    </w:p>
    <w:p w14:paraId="742B5A40" w14:textId="6900ECB2"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that there is a 0.02</w:t>
      </w:r>
      <w:r w:rsidRPr="00CC7108">
        <w:t xml:space="preserve"> </w:t>
      </w:r>
      <w:r>
        <w:t xml:space="preserve">second </w:t>
      </w:r>
      <w:r w:rsidRPr="00CC7108">
        <w:t xml:space="preserve">maximum network delay for updating operator for </w:t>
      </w:r>
      <w:r>
        <w:t xml:space="preserve">the </w:t>
      </w:r>
      <w:r w:rsidRPr="00CC7108">
        <w:t>client usage</w:t>
      </w:r>
      <w:r w:rsidR="007A7E5D">
        <w:t>.</w:t>
      </w:r>
    </w:p>
    <w:p w14:paraId="3E323453" w14:textId="77777777" w:rsidR="00A671B3" w:rsidRDefault="008A22E4" w:rsidP="00A671B3">
      <w:pPr>
        <w:pStyle w:val="IEEEHeading1"/>
      </w:pPr>
      <w:r>
        <w:t>User Modeling And Mobility</w:t>
      </w:r>
    </w:p>
    <w:p w14:paraId="270E1D5C"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638917A7"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D5D5B94" w14:textId="77777777" w:rsidR="006D7330" w:rsidRPr="008A22E4" w:rsidRDefault="006D7330" w:rsidP="008A22E4">
      <w:pPr>
        <w:pStyle w:val="IEEEParagraph"/>
      </w:pPr>
    </w:p>
    <w:p w14:paraId="218F048D" w14:textId="77777777" w:rsidR="006D7330" w:rsidRDefault="006D7330" w:rsidP="006D7330">
      <w:pPr>
        <w:pStyle w:val="IEEEHeading2"/>
        <w:numPr>
          <w:ilvl w:val="1"/>
          <w:numId w:val="7"/>
        </w:numPr>
        <w:rPr>
          <w:lang w:val="en-GB"/>
        </w:rPr>
      </w:pPr>
      <w:r>
        <w:rPr>
          <w:lang w:val="en-GB"/>
        </w:rPr>
        <w:t>User Actions</w:t>
      </w:r>
    </w:p>
    <w:p w14:paraId="06AE4927"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67390BEC" w14:textId="77777777" w:rsidR="00DE59D7" w:rsidRDefault="002B11BD" w:rsidP="00DE59D7">
      <w:pPr>
        <w:pStyle w:val="IEEEParagraph"/>
        <w:jc w:val="center"/>
      </w:pPr>
      <w:r>
        <w:rPr>
          <w:noProof/>
          <w:lang w:val="en-US" w:eastAsia="en-US"/>
        </w:rPr>
        <w:lastRenderedPageBreak/>
        <w:drawing>
          <wp:inline distT="0" distB="0" distL="0" distR="0" wp14:anchorId="02391BC7" wp14:editId="63EB4BB3">
            <wp:extent cx="3042285" cy="2400300"/>
            <wp:effectExtent l="0" t="0" r="0" b="0"/>
            <wp:docPr id="8"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2285" cy="2400300"/>
                    </a:xfrm>
                    <a:prstGeom prst="rect">
                      <a:avLst/>
                    </a:prstGeom>
                    <a:noFill/>
                    <a:ln>
                      <a:noFill/>
                    </a:ln>
                  </pic:spPr>
                </pic:pic>
              </a:graphicData>
            </a:graphic>
          </wp:inline>
        </w:drawing>
      </w:r>
    </w:p>
    <w:p w14:paraId="128B43C4" w14:textId="77777777" w:rsidR="00DE59D7" w:rsidRDefault="00DE59D7" w:rsidP="00DE59D7">
      <w:pPr>
        <w:pStyle w:val="IEEEParagraph"/>
        <w:jc w:val="center"/>
        <w:rPr>
          <w:sz w:val="16"/>
          <w:szCs w:val="16"/>
        </w:rPr>
      </w:pPr>
      <w:r>
        <w:rPr>
          <w:sz w:val="16"/>
          <w:szCs w:val="16"/>
        </w:rPr>
        <w:t>Figure 13. State Diagram of Clients</w:t>
      </w:r>
    </w:p>
    <w:p w14:paraId="03B36051" w14:textId="77777777" w:rsidR="00DE59D7" w:rsidRDefault="00DE59D7" w:rsidP="00DE59D7">
      <w:pPr>
        <w:pStyle w:val="IEEEParagraph"/>
        <w:rPr>
          <w:szCs w:val="20"/>
        </w:rPr>
      </w:pPr>
    </w:p>
    <w:p w14:paraId="1382BA0D"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a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Initial Authorization (if the connection card is used for the first time) or Reuse of a Connection Card protocol (if the connection has been used before). In this way, this user starts using the network and getting the service. While in Not Connected state, a user stays in the same state with probability value of </w:t>
      </w:r>
      <m:oMath>
        <m:r>
          <w:rPr>
            <w:rFonts w:ascii="Cambria Math" w:hAnsi="Cambria Math"/>
          </w:rPr>
          <m:t>1-BecomeActiveProb</m:t>
        </m:r>
      </m:oMath>
      <w:r>
        <w:rPr>
          <w:rFonts w:eastAsiaTheme="minorEastAsia"/>
        </w:rPr>
        <w:t>.</w:t>
      </w:r>
    </w:p>
    <w:p w14:paraId="19284829" w14:textId="77777777"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This transition disconnects the user via Disconnection protocol.</w:t>
      </w:r>
    </w:p>
    <w:p w14:paraId="396512A7"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75896EA0" w14:textId="77777777" w:rsidR="00191ADB" w:rsidRDefault="00191ADB" w:rsidP="00DE59D7">
      <w:pPr>
        <w:pStyle w:val="IEEEParagraph"/>
        <w:rPr>
          <w:rFonts w:eastAsiaTheme="minorEastAsia"/>
        </w:rPr>
      </w:pPr>
    </w:p>
    <w:p w14:paraId="3465E7C9" w14:textId="77777777" w:rsidR="00C545DA" w:rsidRPr="00C545DA" w:rsidRDefault="00BF66C8"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4479E701"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139FFB2A"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7B734003" w14:textId="77777777" w:rsidR="00191ADB" w:rsidRDefault="00191ADB" w:rsidP="00C545DA">
      <w:pPr>
        <w:pStyle w:val="IEEEParagraph"/>
        <w:rPr>
          <w:rFonts w:eastAsiaTheme="minorEastAsia"/>
        </w:rPr>
      </w:pPr>
    </w:p>
    <w:p w14:paraId="0F6BB76B" w14:textId="77777777" w:rsidR="00C545DA" w:rsidRPr="00C545DA" w:rsidRDefault="00BF66C8"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m:t>
                </m:r>
                <m:r>
                  <w:rPr>
                    <w:rFonts w:ascii="Cambria Math" w:eastAsiaTheme="minorEastAsia" w:hAnsi="Cambria Math" w:cs="Helvetica"/>
                    <w:sz w:val="20"/>
                    <w:szCs w:val="20"/>
                  </w:rPr>
                  <m:t>A</m:t>
                </m:r>
              </m:sub>
            </m:sSub>
          </m:den>
        </m:f>
      </m:oMath>
      <w:r w:rsidR="00191ADB">
        <w:rPr>
          <w:rFonts w:eastAsiaTheme="minorEastAsia" w:cs="Helvetica"/>
          <w:sz w:val="20"/>
          <w:szCs w:val="20"/>
        </w:rPr>
        <w:tab/>
      </w:r>
      <w:r w:rsidR="00191ADB">
        <w:rPr>
          <w:rFonts w:eastAsiaTheme="minorEastAsia" w:cs="Helvetica"/>
          <w:sz w:val="20"/>
          <w:szCs w:val="20"/>
        </w:rPr>
        <w:tab/>
        <w:t>(2)</w:t>
      </w:r>
    </w:p>
    <w:p w14:paraId="32682EF5"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61DE317D" w14:textId="77777777" w:rsidR="00C545DA" w:rsidRDefault="00C545DA" w:rsidP="00C545DA">
      <w:pPr>
        <w:pStyle w:val="IEEEHeading2"/>
        <w:numPr>
          <w:ilvl w:val="1"/>
          <w:numId w:val="7"/>
        </w:numPr>
        <w:rPr>
          <w:lang w:val="en-GB"/>
        </w:rPr>
      </w:pPr>
      <w:r>
        <w:rPr>
          <w:lang w:val="en-GB"/>
        </w:rPr>
        <w:t>Client Types</w:t>
      </w:r>
    </w:p>
    <w:p w14:paraId="241D6300" w14:textId="77777777" w:rsidR="00C545DA" w:rsidRDefault="00C545DA" w:rsidP="00C545DA">
      <w:pPr>
        <w:pStyle w:val="IEEEParagraph"/>
        <w:rPr>
          <w:rFonts w:cs="Helvetica"/>
        </w:rPr>
      </w:pPr>
      <w:r>
        <w:rPr>
          <w:rFonts w:cs="Helvetica"/>
        </w:rPr>
        <w:t>Three different user types are defined with different networking and mobility requirements. Considering whether they are working, studying or domestic provides the differentiation among these types.</w:t>
      </w:r>
    </w:p>
    <w:p w14:paraId="166BC1A2" w14:textId="77777777"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(i) night (00:00 – 07:59), (ii) daytime (08:00 – 15:59), and (iii) evening (16:00 – 23:59).</w:t>
      </w:r>
    </w:p>
    <w:p w14:paraId="3EF01408" w14:textId="77777777" w:rsidR="00C545DA" w:rsidRDefault="00C545DA" w:rsidP="00C545DA">
      <w:pPr>
        <w:pStyle w:val="IEEEParagraph"/>
        <w:rPr>
          <w:rFonts w:cs="Helvetica"/>
        </w:rPr>
      </w:pPr>
      <w:r w:rsidRPr="003F5067">
        <w:rPr>
          <w:rFonts w:cs="Helvetica"/>
        </w:rPr>
        <w:t>User types are described as follows:</w:t>
      </w:r>
    </w:p>
    <w:p w14:paraId="1B3D48E1"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1921AEA4"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C358752" w14:textId="77777777"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Pr>
          <w:rFonts w:cs="Helvetica"/>
        </w:rPr>
        <w:t>they 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6C95220A"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values are given below. The triplets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14:paraId="3047BDE3" w14:textId="77777777" w:rsidR="008D4A3F" w:rsidRDefault="008D4A3F" w:rsidP="008D4A3F">
      <w:pPr>
        <w:pStyle w:val="IEEEParagraph"/>
        <w:rPr>
          <w:rFonts w:eastAsiaTheme="minorEastAsia" w:cs="Helvetica"/>
        </w:rPr>
      </w:pPr>
    </w:p>
    <w:p w14:paraId="4B4C88CD"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52290A6C"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0B81A4E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07A1142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498FFAC2"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m:t>
          </m:r>
          <m:r>
            <w:rPr>
              <w:rFonts w:ascii="Cambria Math" w:hAnsi="Cambria Math" w:cs="Helvetica"/>
              <w:sz w:val="20"/>
              <w:szCs w:val="20"/>
            </w:rPr>
            <m:t>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3393BA58"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4560A1F4"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2731DB45" w14:textId="77777777" w:rsidR="008D4A3F" w:rsidRDefault="008D4A3F" w:rsidP="008D4A3F">
      <w:pPr>
        <w:pStyle w:val="IEEEParagraph"/>
        <w:rPr>
          <w:szCs w:val="20"/>
        </w:rPr>
      </w:pPr>
    </w:p>
    <w:p w14:paraId="3EB5A070" w14:textId="77777777" w:rsidR="008D4A3F" w:rsidRDefault="008D4A3F" w:rsidP="008D4A3F">
      <w:pPr>
        <w:pStyle w:val="IEEEParagraph"/>
        <w:rPr>
          <w:rFonts w:eastAsiaTheme="minorEastAsia" w:cs="Helvetica"/>
        </w:rPr>
      </w:pPr>
      <w:r>
        <w:rPr>
          <w:rFonts w:cs="Helvetica"/>
        </w:rPr>
        <w:t xml:space="preserve">These values also determine the average connection duration and idle time by using Eqs.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58D8AF45" w14:textId="77777777" w:rsidR="008D4A3F" w:rsidRDefault="008D4A3F" w:rsidP="008D4A3F">
      <w:pPr>
        <w:pStyle w:val="IEEEHeading2"/>
        <w:numPr>
          <w:ilvl w:val="1"/>
          <w:numId w:val="7"/>
        </w:numPr>
        <w:rPr>
          <w:lang w:val="en-GB"/>
        </w:rPr>
      </w:pPr>
      <w:r>
        <w:rPr>
          <w:lang w:val="en-GB"/>
        </w:rPr>
        <w:t>User Mobility and Timing</w:t>
      </w:r>
    </w:p>
    <w:p w14:paraId="0BC8C7F4" w14:textId="77777777"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t>
      </w:r>
      <w:r w:rsidR="0023289C">
        <w:t>Simulation time is divided</w:t>
      </w:r>
      <w:r>
        <w:t xml:space="preserve"> into 3 </w:t>
      </w:r>
      <w:r>
        <w:lastRenderedPageBreak/>
        <w:t xml:space="preserve">parts considering </w:t>
      </w:r>
      <w:r w:rsidR="002D3D2D">
        <w:t>morning</w:t>
      </w:r>
      <w:r>
        <w:t>, daytime and evening. Every part of the day has different statistical values for client behaviours.</w:t>
      </w:r>
    </w:p>
    <w:p w14:paraId="30ABA5F9" w14:textId="77777777" w:rsidR="00840C46" w:rsidRDefault="00840C46" w:rsidP="00CF09BD">
      <w:pPr>
        <w:pStyle w:val="IEEEParagraph"/>
      </w:pPr>
      <w:r>
        <w:t>Simulations are run for 1440 seconds, but every second in the simulation time stands for 1 minute in real lif</w:t>
      </w:r>
      <w:r w:rsidR="0033730F">
        <w:t xml:space="preserve">e. In the simulations the night </w:t>
      </w:r>
      <w:r>
        <w:t>time begins at 00:00 a.m. and lasts until 07:59. Daytime period starts at 08:00 and finishes at 15:59. Evening starts at 16:00 and finishes at 23:59.</w:t>
      </w:r>
    </w:p>
    <w:p w14:paraId="440AFC20" w14:textId="77777777"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Pr="003F5067">
        <w:rPr>
          <w:rFonts w:cs="Helvetica"/>
        </w:rPr>
        <w:t xml:space="preserve"> to another </w:t>
      </w:r>
      <w:r>
        <w:rPr>
          <w:rFonts w:cs="Helvetica"/>
        </w:rPr>
        <w:t>one</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his/her target destination </w:t>
      </w:r>
      <w:r>
        <w:rPr>
          <w:rFonts w:cs="Helvetica"/>
        </w:rPr>
        <w:t>(e.g. his/her home)</w:t>
      </w:r>
      <w:r w:rsidRPr="003F5067">
        <w:rPr>
          <w:rFonts w:cs="Helvetica"/>
        </w:rPr>
        <w:t>.</w:t>
      </w:r>
    </w:p>
    <w:p w14:paraId="74773A14" w14:textId="583BD48C" w:rsidR="00840C46" w:rsidRDefault="00840C46" w:rsidP="00CF09BD">
      <w:pPr>
        <w:pStyle w:val="IEEEParagraph"/>
        <w:rPr>
          <w:rFonts w:cs="Helvetica"/>
        </w:rPr>
      </w:pPr>
      <w:r w:rsidRPr="003F5067">
        <w:rPr>
          <w:rFonts w:cs="Helvetica"/>
        </w:rPr>
        <w:t xml:space="preserve">Clients are assigned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Pr="003F5067">
        <w:rPr>
          <w:rFonts w:cs="Helvetica"/>
        </w:rPr>
        <w:t xml:space="preserve"> </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84146B">
        <w:rPr>
          <w:rFonts w:cs="Helvetica"/>
        </w:rPr>
        <w:t xml:space="preserve"> </w:t>
      </w:r>
      <w:r>
        <w:rPr>
          <w:rFonts w:cs="Helvetica"/>
        </w:rPr>
        <w:t>Internet, she</w:t>
      </w:r>
      <w:r w:rsidRPr="003F5067">
        <w:rPr>
          <w:rFonts w:cs="Helvetica"/>
        </w:rPr>
        <w:t xml:space="preserve"> forms up a new connection with the access point, which is closest to client’s current location.</w:t>
      </w:r>
    </w:p>
    <w:p w14:paraId="1CFC0508" w14:textId="77777777" w:rsidR="00FE1408" w:rsidRDefault="00FE1408" w:rsidP="00FE1408">
      <w:pPr>
        <w:pStyle w:val="IEEEParagraph"/>
        <w:jc w:val="center"/>
      </w:pPr>
      <w:r>
        <w:rPr>
          <w:rFonts w:cs="Helvetica"/>
          <w:noProof/>
          <w:lang w:val="en-US" w:eastAsia="en-US"/>
        </w:rPr>
        <w:drawing>
          <wp:inline distT="0" distB="0" distL="0" distR="0" wp14:anchorId="54C40AE3" wp14:editId="7FE296C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0B59CFD0" w14:textId="77777777" w:rsidR="00FE1408" w:rsidRDefault="00FE1408" w:rsidP="00FE1408">
      <w:pPr>
        <w:pStyle w:val="IEEEParagraph"/>
        <w:jc w:val="center"/>
        <w:rPr>
          <w:sz w:val="16"/>
          <w:szCs w:val="16"/>
        </w:rPr>
      </w:pPr>
      <w:r>
        <w:rPr>
          <w:sz w:val="16"/>
          <w:szCs w:val="16"/>
        </w:rPr>
        <w:t>Figure 14. User Mobility</w:t>
      </w:r>
    </w:p>
    <w:p w14:paraId="0F86121E" w14:textId="77777777" w:rsidR="00FE1408" w:rsidRPr="00FE1408" w:rsidRDefault="00FE1408" w:rsidP="00FE1408">
      <w:pPr>
        <w:pStyle w:val="IEEEParagraph"/>
        <w:rPr>
          <w:szCs w:val="20"/>
        </w:rPr>
      </w:pPr>
    </w:p>
    <w:p w14:paraId="2571BB2D" w14:textId="4D68904D"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w:t>
      </w:r>
      <w:r w:rsidR="00600CDC">
        <w:rPr>
          <w:rFonts w:cs="Helvetica"/>
        </w:rPr>
        <w:t xml:space="preserve"> </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1713B0">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00935DB9">
        <w:rPr>
          <w:rFonts w:cs="Helvetica"/>
        </w:rPr>
        <w:t xml:space="preserve"> </w:t>
      </w:r>
      <w:r w:rsidRPr="00935DB9">
        <w:rPr>
          <w:rFonts w:cs="Helvetica"/>
          <w:i/>
        </w:rPr>
        <w:t>Seamless Mobility</w:t>
      </w:r>
      <w:r w:rsidRPr="001713B0">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sidRPr="001713B0">
        <w:rPr>
          <w:rFonts w:cs="Helvetica"/>
        </w:rPr>
        <w:t xml:space="preserve"> </w:t>
      </w:r>
      <w:r>
        <w:rPr>
          <w:rFonts w:cs="Helvetica"/>
        </w:rPr>
        <w:t>protocol.</w:t>
      </w:r>
    </w:p>
    <w:p w14:paraId="1726829E" w14:textId="6BDCBE1D"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3B6DB600" w14:textId="77777777" w:rsidR="009C3143" w:rsidRDefault="009C3143" w:rsidP="009C3143">
      <w:pPr>
        <w:pStyle w:val="IEEEHeading1"/>
      </w:pPr>
      <w:r>
        <w:t>Results for Real-Life Scenario Simulation</w:t>
      </w:r>
    </w:p>
    <w:p w14:paraId="7AEBE63A"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but the more important results are real-life scenario</w:t>
      </w:r>
      <w:r>
        <w:rPr>
          <w:rFonts w:cs="Helvetica"/>
        </w:rPr>
        <w:t xml:space="preserve"> simulation results</w:t>
      </w:r>
      <w:r w:rsidRPr="003F5067">
        <w:rPr>
          <w:rFonts w:cs="Helvetica"/>
        </w:rPr>
        <w:t xml:space="preserve">. </w:t>
      </w:r>
      <w:r w:rsidR="007D5620">
        <w:rPr>
          <w:rFonts w:cs="Helvetica"/>
        </w:rPr>
        <w:t>Despite the randomness of the system, users’ actions are highly related to their group and current time.</w:t>
      </w:r>
    </w:p>
    <w:p w14:paraId="46EC432B" w14:textId="77777777" w:rsidR="009C3143" w:rsidRDefault="009C3143" w:rsidP="008D4A3F">
      <w:pPr>
        <w:pStyle w:val="IEEEParagraph"/>
        <w:rPr>
          <w:rFonts w:cs="Helvetica"/>
        </w:rPr>
      </w:pPr>
      <w:r>
        <w:rPr>
          <w:rFonts w:cs="Helvetica"/>
        </w:rPr>
        <w:t>Charts for the results show the average delay for a particular protocol so far.</w:t>
      </w:r>
    </w:p>
    <w:p w14:paraId="70D9AB73" w14:textId="77777777" w:rsidR="009C3143" w:rsidRDefault="009C3143" w:rsidP="009C3143">
      <w:pPr>
        <w:pStyle w:val="IEEEHeading2"/>
        <w:numPr>
          <w:ilvl w:val="1"/>
          <w:numId w:val="7"/>
        </w:numPr>
        <w:rPr>
          <w:lang w:val="en-GB"/>
        </w:rPr>
      </w:pPr>
      <w:r>
        <w:rPr>
          <w:lang w:val="en-GB"/>
        </w:rPr>
        <w:lastRenderedPageBreak/>
        <w:t>Overview</w:t>
      </w:r>
    </w:p>
    <w:p w14:paraId="69934B05" w14:textId="0A33EE3D" w:rsidR="00655955" w:rsidRDefault="00655955" w:rsidP="00655955">
      <w:pPr>
        <w:pStyle w:val="IEEEParagraph"/>
      </w:pPr>
      <w:r>
        <w:t xml:space="preserve">Final simulations gave the results in Table 2. Charts on </w:t>
      </w:r>
      <w:r w:rsidR="00935DB9">
        <w:t>Figure 15 and Figure 16</w:t>
      </w:r>
      <w:r>
        <w:t xml:space="preserve"> are drawn using the results in Table 2. Considering the results it could be calculated that over 100 minutes of Internet service, workers have only waited for 1 minute. In average over 1000 minutes of Internet </w:t>
      </w:r>
      <w:r w:rsidR="00B73ED2">
        <w:t xml:space="preserve">service needs a delay of 13 to </w:t>
      </w:r>
      <w:r>
        <w:t>16 minutes of waiting.</w:t>
      </w:r>
    </w:p>
    <w:p w14:paraId="52B1DC8D" w14:textId="77777777" w:rsidR="00655955" w:rsidRDefault="00655955" w:rsidP="00655955">
      <w:pPr>
        <w:pStyle w:val="IEEETableCaption"/>
      </w:pPr>
      <w:r>
        <w:t xml:space="preserve">TABLE </w:t>
      </w:r>
      <w:r w:rsidR="00C43A68">
        <w:fldChar w:fldCharType="begin"/>
      </w:r>
      <w:r>
        <w:instrText xml:space="preserve"> SEQ TABLE \* ROMAN </w:instrText>
      </w:r>
      <w:r w:rsidR="00C43A68">
        <w:fldChar w:fldCharType="separate"/>
      </w:r>
      <w:r>
        <w:rPr>
          <w:noProof/>
        </w:rPr>
        <w:t>II</w:t>
      </w:r>
      <w:r w:rsidR="00C43A68">
        <w:rPr>
          <w:noProof/>
        </w:rPr>
        <w:fldChar w:fldCharType="end"/>
      </w:r>
      <w:r>
        <w:br w:type="textWrapping" w:clear="all"/>
        <w:t>Simulation Results for Client Types</w:t>
      </w:r>
    </w:p>
    <w:p w14:paraId="0C66EFFB"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926"/>
      </w:tblGrid>
      <w:tr w:rsidR="00655955" w14:paraId="0304637D" w14:textId="77777777" w:rsidTr="0068446A">
        <w:tc>
          <w:tcPr>
            <w:tcW w:w="768" w:type="dxa"/>
          </w:tcPr>
          <w:p w14:paraId="64113318" w14:textId="77777777" w:rsidR="00655955" w:rsidRPr="00A00A48" w:rsidRDefault="00655955" w:rsidP="00655955">
            <w:pPr>
              <w:jc w:val="center"/>
              <w:rPr>
                <w:sz w:val="16"/>
                <w:szCs w:val="16"/>
              </w:rPr>
            </w:pPr>
          </w:p>
        </w:tc>
        <w:tc>
          <w:tcPr>
            <w:tcW w:w="1198" w:type="dxa"/>
          </w:tcPr>
          <w:p w14:paraId="02E2016E" w14:textId="77777777" w:rsidR="00655955" w:rsidRPr="00A00A48" w:rsidRDefault="00655955" w:rsidP="00655955">
            <w:pPr>
              <w:jc w:val="center"/>
              <w:rPr>
                <w:sz w:val="16"/>
                <w:szCs w:val="16"/>
              </w:rPr>
            </w:pPr>
            <w:r w:rsidRPr="00A00A48">
              <w:rPr>
                <w:sz w:val="16"/>
                <w:szCs w:val="16"/>
              </w:rPr>
              <w:t>Total Internet Usage Time</w:t>
            </w:r>
          </w:p>
        </w:tc>
        <w:tc>
          <w:tcPr>
            <w:tcW w:w="1083" w:type="dxa"/>
          </w:tcPr>
          <w:p w14:paraId="335D870B" w14:textId="77777777" w:rsidR="00655955" w:rsidRPr="00A00A48" w:rsidRDefault="00655955" w:rsidP="00655955">
            <w:pPr>
              <w:jc w:val="center"/>
              <w:rPr>
                <w:sz w:val="16"/>
                <w:szCs w:val="16"/>
              </w:rPr>
            </w:pPr>
            <w:r w:rsidRPr="00A00A48">
              <w:rPr>
                <w:sz w:val="16"/>
                <w:szCs w:val="16"/>
              </w:rPr>
              <w:t>Total Internet Usage Delay</w:t>
            </w:r>
          </w:p>
        </w:tc>
        <w:tc>
          <w:tcPr>
            <w:tcW w:w="1095" w:type="dxa"/>
          </w:tcPr>
          <w:p w14:paraId="26127FAD" w14:textId="77777777" w:rsidR="00655955" w:rsidRPr="00A00A48" w:rsidRDefault="00655955" w:rsidP="00655955">
            <w:pPr>
              <w:jc w:val="center"/>
              <w:rPr>
                <w:sz w:val="16"/>
                <w:szCs w:val="16"/>
              </w:rPr>
            </w:pPr>
            <w:r w:rsidRPr="00A00A48">
              <w:rPr>
                <w:sz w:val="16"/>
                <w:szCs w:val="16"/>
              </w:rPr>
              <w:t>Average Internet Usage Time for a Client</w:t>
            </w:r>
          </w:p>
        </w:tc>
        <w:tc>
          <w:tcPr>
            <w:tcW w:w="926" w:type="dxa"/>
          </w:tcPr>
          <w:p w14:paraId="2EB8CFB0"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7D7D72C6" w14:textId="77777777" w:rsidTr="0068446A">
        <w:tc>
          <w:tcPr>
            <w:tcW w:w="768" w:type="dxa"/>
          </w:tcPr>
          <w:p w14:paraId="5A697000" w14:textId="77777777" w:rsidR="00655955" w:rsidRPr="00A00A48" w:rsidRDefault="00655955" w:rsidP="00655955">
            <w:pPr>
              <w:jc w:val="center"/>
              <w:rPr>
                <w:sz w:val="16"/>
                <w:szCs w:val="16"/>
              </w:rPr>
            </w:pPr>
            <w:r w:rsidRPr="00A00A48">
              <w:rPr>
                <w:sz w:val="16"/>
                <w:szCs w:val="16"/>
              </w:rPr>
              <w:t>Student</w:t>
            </w:r>
          </w:p>
        </w:tc>
        <w:tc>
          <w:tcPr>
            <w:tcW w:w="1198" w:type="dxa"/>
          </w:tcPr>
          <w:p w14:paraId="19FA95AF" w14:textId="77777777" w:rsidR="00655955" w:rsidRPr="00A00A48" w:rsidRDefault="00655955" w:rsidP="00655955">
            <w:pPr>
              <w:jc w:val="center"/>
              <w:rPr>
                <w:sz w:val="16"/>
                <w:szCs w:val="16"/>
              </w:rPr>
            </w:pPr>
            <w:r w:rsidRPr="00A00A48">
              <w:rPr>
                <w:sz w:val="16"/>
                <w:szCs w:val="16"/>
              </w:rPr>
              <w:t>95899,26 Minutes</w:t>
            </w:r>
          </w:p>
        </w:tc>
        <w:tc>
          <w:tcPr>
            <w:tcW w:w="1083" w:type="dxa"/>
          </w:tcPr>
          <w:p w14:paraId="3D4D1159" w14:textId="77777777" w:rsidR="00655955" w:rsidRPr="00A00A48" w:rsidRDefault="00655955" w:rsidP="00655955">
            <w:pPr>
              <w:jc w:val="center"/>
              <w:rPr>
                <w:sz w:val="16"/>
                <w:szCs w:val="16"/>
              </w:rPr>
            </w:pPr>
            <w:r w:rsidRPr="00A00A48">
              <w:rPr>
                <w:sz w:val="16"/>
                <w:szCs w:val="16"/>
              </w:rPr>
              <w:t>1698,95 Minutes</w:t>
            </w:r>
          </w:p>
        </w:tc>
        <w:tc>
          <w:tcPr>
            <w:tcW w:w="1095" w:type="dxa"/>
          </w:tcPr>
          <w:p w14:paraId="509F54B4" w14:textId="77777777" w:rsidR="00655955" w:rsidRPr="00A00A48" w:rsidRDefault="00655955" w:rsidP="00655955">
            <w:pPr>
              <w:jc w:val="center"/>
              <w:rPr>
                <w:sz w:val="16"/>
                <w:szCs w:val="16"/>
              </w:rPr>
            </w:pPr>
            <w:r w:rsidRPr="00A00A48">
              <w:rPr>
                <w:sz w:val="16"/>
                <w:szCs w:val="16"/>
              </w:rPr>
              <w:t>958,99 Minutes</w:t>
            </w:r>
          </w:p>
        </w:tc>
        <w:tc>
          <w:tcPr>
            <w:tcW w:w="926" w:type="dxa"/>
          </w:tcPr>
          <w:p w14:paraId="0B816146" w14:textId="77777777" w:rsidR="00655955" w:rsidRPr="00A00A48" w:rsidRDefault="00655955" w:rsidP="00655955">
            <w:pPr>
              <w:jc w:val="center"/>
              <w:rPr>
                <w:sz w:val="16"/>
                <w:szCs w:val="16"/>
              </w:rPr>
            </w:pPr>
            <w:r w:rsidRPr="00A00A48">
              <w:rPr>
                <w:sz w:val="16"/>
                <w:szCs w:val="16"/>
              </w:rPr>
              <w:t>16,98 Minutes</w:t>
            </w:r>
          </w:p>
        </w:tc>
      </w:tr>
      <w:tr w:rsidR="00655955" w14:paraId="343D6B15" w14:textId="77777777" w:rsidTr="0068446A">
        <w:tc>
          <w:tcPr>
            <w:tcW w:w="768" w:type="dxa"/>
          </w:tcPr>
          <w:p w14:paraId="50A9068C" w14:textId="77777777" w:rsidR="00655955" w:rsidRPr="00A00A48" w:rsidRDefault="00655955" w:rsidP="00655955">
            <w:pPr>
              <w:jc w:val="center"/>
              <w:rPr>
                <w:sz w:val="16"/>
                <w:szCs w:val="16"/>
              </w:rPr>
            </w:pPr>
            <w:r w:rsidRPr="00A00A48">
              <w:rPr>
                <w:sz w:val="16"/>
                <w:szCs w:val="16"/>
              </w:rPr>
              <w:t>Worker</w:t>
            </w:r>
          </w:p>
        </w:tc>
        <w:tc>
          <w:tcPr>
            <w:tcW w:w="1198" w:type="dxa"/>
          </w:tcPr>
          <w:p w14:paraId="7F6D02FF" w14:textId="77777777" w:rsidR="00655955" w:rsidRPr="00A00A48" w:rsidRDefault="00655955" w:rsidP="00655955">
            <w:pPr>
              <w:jc w:val="center"/>
              <w:rPr>
                <w:sz w:val="16"/>
                <w:szCs w:val="16"/>
              </w:rPr>
            </w:pPr>
            <w:r w:rsidRPr="00A00A48">
              <w:rPr>
                <w:sz w:val="16"/>
                <w:szCs w:val="16"/>
              </w:rPr>
              <w:t xml:space="preserve">101681,64 </w:t>
            </w:r>
          </w:p>
          <w:p w14:paraId="1418DE2F" w14:textId="77777777" w:rsidR="00655955" w:rsidRPr="00A00A48" w:rsidRDefault="00655955" w:rsidP="00655955">
            <w:pPr>
              <w:jc w:val="center"/>
              <w:rPr>
                <w:sz w:val="16"/>
                <w:szCs w:val="16"/>
              </w:rPr>
            </w:pPr>
            <w:r w:rsidRPr="00A00A48">
              <w:rPr>
                <w:sz w:val="16"/>
                <w:szCs w:val="16"/>
              </w:rPr>
              <w:t>Minutes</w:t>
            </w:r>
          </w:p>
        </w:tc>
        <w:tc>
          <w:tcPr>
            <w:tcW w:w="1083" w:type="dxa"/>
          </w:tcPr>
          <w:p w14:paraId="19107A22" w14:textId="77777777" w:rsidR="00655955" w:rsidRPr="00A00A48" w:rsidRDefault="00655955" w:rsidP="00655955">
            <w:pPr>
              <w:jc w:val="center"/>
              <w:rPr>
                <w:sz w:val="16"/>
                <w:szCs w:val="16"/>
              </w:rPr>
            </w:pPr>
            <w:r w:rsidRPr="00A00A48">
              <w:rPr>
                <w:sz w:val="16"/>
                <w:szCs w:val="16"/>
              </w:rPr>
              <w:t>1316,35 Minutes</w:t>
            </w:r>
          </w:p>
        </w:tc>
        <w:tc>
          <w:tcPr>
            <w:tcW w:w="1095" w:type="dxa"/>
          </w:tcPr>
          <w:p w14:paraId="282A21A7" w14:textId="77777777" w:rsidR="00655955" w:rsidRPr="00A00A48" w:rsidRDefault="00655955" w:rsidP="00655955">
            <w:pPr>
              <w:jc w:val="center"/>
              <w:rPr>
                <w:sz w:val="16"/>
                <w:szCs w:val="16"/>
              </w:rPr>
            </w:pPr>
            <w:r w:rsidRPr="00A00A48">
              <w:rPr>
                <w:sz w:val="16"/>
                <w:szCs w:val="16"/>
              </w:rPr>
              <w:t xml:space="preserve">1016,81 </w:t>
            </w:r>
          </w:p>
          <w:p w14:paraId="7359B917" w14:textId="77777777" w:rsidR="00655955" w:rsidRPr="00A00A48" w:rsidRDefault="00655955" w:rsidP="00655955">
            <w:pPr>
              <w:jc w:val="center"/>
              <w:rPr>
                <w:sz w:val="16"/>
                <w:szCs w:val="16"/>
              </w:rPr>
            </w:pPr>
            <w:r w:rsidRPr="00A00A48">
              <w:rPr>
                <w:sz w:val="16"/>
                <w:szCs w:val="16"/>
              </w:rPr>
              <w:t>Minutes</w:t>
            </w:r>
          </w:p>
        </w:tc>
        <w:tc>
          <w:tcPr>
            <w:tcW w:w="926" w:type="dxa"/>
          </w:tcPr>
          <w:p w14:paraId="541E94C0" w14:textId="77777777" w:rsidR="00655955" w:rsidRPr="00A00A48" w:rsidRDefault="00655955" w:rsidP="00655955">
            <w:pPr>
              <w:jc w:val="center"/>
              <w:rPr>
                <w:sz w:val="16"/>
                <w:szCs w:val="16"/>
              </w:rPr>
            </w:pPr>
            <w:r w:rsidRPr="00A00A48">
              <w:rPr>
                <w:sz w:val="16"/>
                <w:szCs w:val="16"/>
              </w:rPr>
              <w:t>13,16 Minutes</w:t>
            </w:r>
          </w:p>
        </w:tc>
      </w:tr>
      <w:tr w:rsidR="00655955" w14:paraId="4E024DBA" w14:textId="77777777" w:rsidTr="0068446A">
        <w:tc>
          <w:tcPr>
            <w:tcW w:w="768" w:type="dxa"/>
          </w:tcPr>
          <w:p w14:paraId="3341DC99" w14:textId="77777777" w:rsidR="00655955" w:rsidRPr="00A00A48" w:rsidRDefault="00655955" w:rsidP="00655955">
            <w:pPr>
              <w:jc w:val="center"/>
              <w:rPr>
                <w:sz w:val="16"/>
                <w:szCs w:val="16"/>
              </w:rPr>
            </w:pPr>
            <w:r w:rsidRPr="00A00A48">
              <w:rPr>
                <w:sz w:val="16"/>
                <w:szCs w:val="16"/>
              </w:rPr>
              <w:t>Non-Worker</w:t>
            </w:r>
          </w:p>
        </w:tc>
        <w:tc>
          <w:tcPr>
            <w:tcW w:w="1198" w:type="dxa"/>
          </w:tcPr>
          <w:p w14:paraId="00B89681"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14:paraId="447279D3" w14:textId="77777777" w:rsidR="00655955" w:rsidRPr="00A00A48" w:rsidRDefault="00655955" w:rsidP="00655955">
            <w:pPr>
              <w:jc w:val="center"/>
              <w:rPr>
                <w:sz w:val="16"/>
                <w:szCs w:val="16"/>
              </w:rPr>
            </w:pPr>
            <w:r w:rsidRPr="00A00A48">
              <w:rPr>
                <w:sz w:val="16"/>
                <w:szCs w:val="16"/>
              </w:rPr>
              <w:t>1456,12 Minutes</w:t>
            </w:r>
          </w:p>
        </w:tc>
        <w:tc>
          <w:tcPr>
            <w:tcW w:w="1095" w:type="dxa"/>
          </w:tcPr>
          <w:p w14:paraId="76B87EDF" w14:textId="77777777" w:rsidR="00655955" w:rsidRPr="00A00A48" w:rsidRDefault="00655955" w:rsidP="00655955">
            <w:pPr>
              <w:jc w:val="center"/>
              <w:rPr>
                <w:sz w:val="16"/>
                <w:szCs w:val="16"/>
              </w:rPr>
            </w:pPr>
            <w:r w:rsidRPr="00A00A48">
              <w:rPr>
                <w:sz w:val="16"/>
                <w:szCs w:val="16"/>
              </w:rPr>
              <w:t>1053,35 Minutes</w:t>
            </w:r>
          </w:p>
        </w:tc>
        <w:tc>
          <w:tcPr>
            <w:tcW w:w="926" w:type="dxa"/>
          </w:tcPr>
          <w:p w14:paraId="1EE839E8"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96CA73F" w14:textId="77777777" w:rsidR="00655955" w:rsidRDefault="00655955" w:rsidP="00655955">
      <w:pPr>
        <w:pStyle w:val="IEEEParagraph"/>
        <w:rPr>
          <w:szCs w:val="20"/>
        </w:rPr>
      </w:pPr>
    </w:p>
    <w:p w14:paraId="6858EB15" w14:textId="77777777" w:rsidR="00655955" w:rsidRDefault="00655955" w:rsidP="00655955">
      <w:pPr>
        <w:pStyle w:val="IEEEParagraph"/>
      </w:pPr>
    </w:p>
    <w:p w14:paraId="363F849B" w14:textId="77777777" w:rsidR="00655955" w:rsidRPr="00655955" w:rsidRDefault="00655955" w:rsidP="00655955">
      <w:pPr>
        <w:pStyle w:val="IEEEParagraph"/>
      </w:pPr>
    </w:p>
    <w:p w14:paraId="3DCF1170" w14:textId="77777777" w:rsidR="009C3143" w:rsidRPr="009C3143" w:rsidRDefault="0039000D" w:rsidP="009C3143">
      <w:pPr>
        <w:pStyle w:val="IEEEParagraph"/>
        <w:jc w:val="center"/>
      </w:pPr>
      <w:r>
        <w:rPr>
          <w:noProof/>
          <w:lang w:val="en-US" w:eastAsia="en-US"/>
        </w:rPr>
        <w:drawing>
          <wp:inline distT="0" distB="0" distL="0" distR="0" wp14:anchorId="32BF5B36" wp14:editId="394A7F8F">
            <wp:extent cx="3045429" cy="1790700"/>
            <wp:effectExtent l="0" t="0" r="0" b="0"/>
            <wp:docPr id="25" name="Picture 7" descr="C:\Users\SUUSER\Desktop\paper images\reallife\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paper images\reallife\overviewTotal.png"/>
                    <pic:cNvPicPr>
                      <a:picLocks noChangeAspect="1" noChangeArrowheads="1"/>
                    </pic:cNvPicPr>
                  </pic:nvPicPr>
                  <pic:blipFill>
                    <a:blip r:embed="rId26"/>
                    <a:srcRect/>
                    <a:stretch>
                      <a:fillRect/>
                    </a:stretch>
                  </pic:blipFill>
                  <pic:spPr bwMode="auto">
                    <a:xfrm>
                      <a:off x="0" y="0"/>
                      <a:ext cx="3045429" cy="1790700"/>
                    </a:xfrm>
                    <a:prstGeom prst="rect">
                      <a:avLst/>
                    </a:prstGeom>
                    <a:noFill/>
                    <a:ln w="9525">
                      <a:noFill/>
                      <a:miter lim="800000"/>
                      <a:headEnd/>
                      <a:tailEnd/>
                    </a:ln>
                  </pic:spPr>
                </pic:pic>
              </a:graphicData>
            </a:graphic>
          </wp:inline>
        </w:drawing>
      </w:r>
    </w:p>
    <w:p w14:paraId="4BDCDB71" w14:textId="5B0412D4" w:rsidR="009C3143" w:rsidRDefault="00102AD6" w:rsidP="009C3143">
      <w:pPr>
        <w:pStyle w:val="IEEEParagraph"/>
        <w:jc w:val="center"/>
        <w:rPr>
          <w:sz w:val="16"/>
          <w:szCs w:val="16"/>
        </w:rPr>
      </w:pPr>
      <w:r>
        <w:rPr>
          <w:sz w:val="16"/>
          <w:szCs w:val="16"/>
        </w:rPr>
        <w:t>Figure 15</w:t>
      </w:r>
      <w:r w:rsidR="009C3143">
        <w:rPr>
          <w:sz w:val="16"/>
          <w:szCs w:val="16"/>
        </w:rPr>
        <w:t>. Total Amount of Internet Usage Times for Client Types vs Total Delays</w:t>
      </w:r>
    </w:p>
    <w:p w14:paraId="72DB4B26" w14:textId="77777777" w:rsidR="009C3143" w:rsidRDefault="009C3143" w:rsidP="009C3143">
      <w:pPr>
        <w:pStyle w:val="IEEEParagraph"/>
        <w:rPr>
          <w:szCs w:val="20"/>
        </w:rPr>
      </w:pPr>
    </w:p>
    <w:p w14:paraId="61DEED7C" w14:textId="77777777" w:rsidR="009C3143" w:rsidRDefault="0039000D" w:rsidP="009C3143">
      <w:pPr>
        <w:pStyle w:val="IEEEParagraph"/>
        <w:jc w:val="center"/>
        <w:rPr>
          <w:szCs w:val="20"/>
        </w:rPr>
      </w:pPr>
      <w:r>
        <w:rPr>
          <w:noProof/>
          <w:lang w:val="en-US" w:eastAsia="en-US"/>
        </w:rPr>
        <w:drawing>
          <wp:inline distT="0" distB="0" distL="0" distR="0" wp14:anchorId="0F9469B3" wp14:editId="59CC612F">
            <wp:extent cx="3045429" cy="1781175"/>
            <wp:effectExtent l="0" t="0" r="0" b="0"/>
            <wp:docPr id="26" name="Picture 8" descr="C:\Users\SUUSER\Desktop\paper images\reallife\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USER\Desktop\paper images\reallife\overviewAvg.png"/>
                    <pic:cNvPicPr>
                      <a:picLocks noChangeAspect="1" noChangeArrowheads="1"/>
                    </pic:cNvPicPr>
                  </pic:nvPicPr>
                  <pic:blipFill>
                    <a:blip r:embed="rId27"/>
                    <a:srcRect/>
                    <a:stretch>
                      <a:fillRect/>
                    </a:stretch>
                  </pic:blipFill>
                  <pic:spPr bwMode="auto">
                    <a:xfrm>
                      <a:off x="0" y="0"/>
                      <a:ext cx="3045429" cy="1781175"/>
                    </a:xfrm>
                    <a:prstGeom prst="rect">
                      <a:avLst/>
                    </a:prstGeom>
                    <a:noFill/>
                    <a:ln w="9525">
                      <a:noFill/>
                      <a:miter lim="800000"/>
                      <a:headEnd/>
                      <a:tailEnd/>
                    </a:ln>
                  </pic:spPr>
                </pic:pic>
              </a:graphicData>
            </a:graphic>
          </wp:inline>
        </w:drawing>
      </w:r>
    </w:p>
    <w:p w14:paraId="4049917A" w14:textId="014FF458"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615ED095" w14:textId="77777777" w:rsidR="009C3143" w:rsidRDefault="009C3143" w:rsidP="009C3143">
      <w:pPr>
        <w:pStyle w:val="IEEEParagraph"/>
        <w:rPr>
          <w:szCs w:val="20"/>
        </w:rPr>
      </w:pPr>
    </w:p>
    <w:p w14:paraId="0D74C71D"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540754FD" w14:textId="1CCD9C26" w:rsidR="009C3143" w:rsidRDefault="00102AD6" w:rsidP="009C3143">
      <w:pPr>
        <w:pStyle w:val="IEEEParagraph"/>
      </w:pPr>
      <w:r>
        <w:t>Figure 15 and Figure 16</w:t>
      </w:r>
      <w:r w:rsidR="00655955">
        <w:t xml:space="preserve"> shows the overall results for real-lif</w:t>
      </w:r>
      <w:r>
        <w:t>e scenario simulation. Figure 15</w:t>
      </w:r>
      <w:r w:rsidR="00655955">
        <w:t xml:space="preserve"> shows comparison of </w:t>
      </w:r>
      <w:r w:rsidR="00655955">
        <w:lastRenderedPageBreak/>
        <w:t>minutes clients u</w:t>
      </w:r>
      <w:r>
        <w:t>sed as idle or active. Figure 16</w:t>
      </w:r>
      <w:r w:rsidR="00655955">
        <w:t xml:space="preserve">. Shows the average value for the clients of the same group. </w:t>
      </w:r>
    </w:p>
    <w:p w14:paraId="38544341" w14:textId="77777777" w:rsidR="00781C53" w:rsidRDefault="00781C53" w:rsidP="009C3143">
      <w:pPr>
        <w:pStyle w:val="IEEEParagraph"/>
      </w:pPr>
    </w:p>
    <w:p w14:paraId="13A4EA2F"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38B8D12F" w14:textId="77777777" w:rsidR="00781C53" w:rsidRDefault="0039000D" w:rsidP="0039000D">
      <w:pPr>
        <w:pStyle w:val="IEEEParagraph"/>
        <w:jc w:val="center"/>
      </w:pPr>
      <w:r>
        <w:rPr>
          <w:rFonts w:cs="Helvetica"/>
          <w:noProof/>
          <w:lang w:val="en-US" w:eastAsia="en-US"/>
        </w:rPr>
        <w:drawing>
          <wp:inline distT="0" distB="0" distL="0" distR="0" wp14:anchorId="79BECD4B" wp14:editId="27D6A0B9">
            <wp:extent cx="3095625" cy="1562100"/>
            <wp:effectExtent l="19050" t="0" r="9525" b="0"/>
            <wp:docPr id="32" name="Picture 13" descr="C:\Users\SUUSER\Desktop\paper images\reallife\initial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USER\Desktop\paper images\reallife\initialAuth.png"/>
                    <pic:cNvPicPr>
                      <a:picLocks noChangeAspect="1" noChangeArrowheads="1"/>
                    </pic:cNvPicPr>
                  </pic:nvPicPr>
                  <pic:blipFill>
                    <a:blip r:embed="rId28"/>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253DD630" w14:textId="7B904F9B"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504EA84F" w14:textId="77777777" w:rsidR="00781C53" w:rsidRDefault="00781C53" w:rsidP="00781C53">
      <w:pPr>
        <w:pStyle w:val="IEEEParagraph"/>
        <w:rPr>
          <w:szCs w:val="20"/>
        </w:rPr>
      </w:pPr>
    </w:p>
    <w:p w14:paraId="749BB35E"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143D00BB" w14:textId="1AFE9D73"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achieves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0351C8D9"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392E82C" w14:textId="77777777" w:rsidR="00781C53" w:rsidRDefault="00FB5339" w:rsidP="00781C53">
      <w:pPr>
        <w:pStyle w:val="IEEEParagraph"/>
        <w:jc w:val="center"/>
      </w:pPr>
      <w:r>
        <w:rPr>
          <w:rFonts w:cs="Helvetica"/>
          <w:noProof/>
          <w:lang w:val="en-US" w:eastAsia="en-US"/>
        </w:rPr>
        <w:drawing>
          <wp:inline distT="0" distB="0" distL="0" distR="0" wp14:anchorId="6FE09107" wp14:editId="491240A7">
            <wp:extent cx="3095625" cy="1552575"/>
            <wp:effectExtent l="19050" t="0" r="9525" b="0"/>
            <wp:docPr id="35" name="Picture 14" descr="C:\Users\SUUSER\Desktop\paper images\reallife\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USER\Desktop\paper images\reallife\reuse.png"/>
                    <pic:cNvPicPr>
                      <a:picLocks noChangeAspect="1" noChangeArrowheads="1"/>
                    </pic:cNvPicPr>
                  </pic:nvPicPr>
                  <pic:blipFill>
                    <a:blip r:embed="rId29"/>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65E1DACB" w14:textId="57C2E98B"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2493836D" w14:textId="77777777" w:rsidR="00781C53" w:rsidRDefault="00781C53" w:rsidP="00781C53">
      <w:pPr>
        <w:pStyle w:val="IEEEParagraph"/>
        <w:rPr>
          <w:szCs w:val="20"/>
        </w:rPr>
      </w:pPr>
    </w:p>
    <w:p w14:paraId="4A25B2B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468A60" w14:textId="1FC564D0"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64374191" w14:textId="77777777" w:rsidR="00781C53" w:rsidRDefault="00781C53" w:rsidP="00781C53">
      <w:pPr>
        <w:pStyle w:val="IEEEHeading2"/>
        <w:numPr>
          <w:ilvl w:val="1"/>
          <w:numId w:val="7"/>
        </w:numPr>
        <w:rPr>
          <w:lang w:val="en-GB"/>
        </w:rPr>
      </w:pPr>
      <w:r>
        <w:rPr>
          <w:lang w:val="en-GB"/>
        </w:rPr>
        <w:t>Real-Life Scenario Simulation Result for Changing Alias</w:t>
      </w:r>
    </w:p>
    <w:p w14:paraId="36DB3676" w14:textId="77777777" w:rsidR="00781C53" w:rsidRDefault="00FB5339" w:rsidP="00FB5339">
      <w:pPr>
        <w:pStyle w:val="IEEEParagraph"/>
        <w:jc w:val="center"/>
      </w:pPr>
      <w:r>
        <w:rPr>
          <w:rFonts w:cs="Helvetica"/>
          <w:noProof/>
          <w:lang w:val="en-US" w:eastAsia="en-US"/>
        </w:rPr>
        <w:lastRenderedPageBreak/>
        <w:drawing>
          <wp:inline distT="0" distB="0" distL="0" distR="0" wp14:anchorId="528532EF" wp14:editId="5AFFDEC7">
            <wp:extent cx="3095625" cy="1552575"/>
            <wp:effectExtent l="19050" t="0" r="9525" b="0"/>
            <wp:docPr id="36" name="Picture 15" descr="C:\Users\SUUSER\Desktop\paper images\reallife\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USER\Desktop\paper images\reallife\changeAlias.png"/>
                    <pic:cNvPicPr>
                      <a:picLocks noChangeAspect="1" noChangeArrowheads="1"/>
                    </pic:cNvPicPr>
                  </pic:nvPicPr>
                  <pic:blipFill>
                    <a:blip r:embed="rId30"/>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12C51E18" w14:textId="1F6DCB6B"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F202E4D" w14:textId="77777777" w:rsidR="00781C53" w:rsidRDefault="00781C53" w:rsidP="00781C53">
      <w:pPr>
        <w:pStyle w:val="IEEEParagraph"/>
        <w:rPr>
          <w:szCs w:val="20"/>
        </w:rPr>
      </w:pPr>
    </w:p>
    <w:p w14:paraId="009D0091"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222B5DD2" w14:textId="50A318E8"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935DB9">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74BAFC08" w14:textId="77777777" w:rsidR="00876A33" w:rsidRDefault="00876A33" w:rsidP="00876A33">
      <w:pPr>
        <w:pStyle w:val="IEEEHeading2"/>
        <w:numPr>
          <w:ilvl w:val="1"/>
          <w:numId w:val="7"/>
        </w:numPr>
        <w:rPr>
          <w:lang w:val="en-GB"/>
        </w:rPr>
      </w:pPr>
      <w:r>
        <w:rPr>
          <w:lang w:val="en-GB"/>
        </w:rPr>
        <w:t>Real-Life Scenario Simulation Result for Disconnection</w:t>
      </w:r>
    </w:p>
    <w:p w14:paraId="4463B3D5" w14:textId="77777777" w:rsidR="00781C53" w:rsidRDefault="00FB5339" w:rsidP="00876A33">
      <w:pPr>
        <w:pStyle w:val="IEEEParagraph"/>
        <w:jc w:val="center"/>
        <w:rPr>
          <w:szCs w:val="20"/>
        </w:rPr>
      </w:pPr>
      <w:r>
        <w:rPr>
          <w:rFonts w:cs="Helvetica"/>
          <w:noProof/>
          <w:lang w:val="en-US" w:eastAsia="en-US"/>
        </w:rPr>
        <w:drawing>
          <wp:inline distT="0" distB="0" distL="0" distR="0" wp14:anchorId="25125DF9" wp14:editId="4CABDF97">
            <wp:extent cx="3095625" cy="1552575"/>
            <wp:effectExtent l="19050" t="0" r="9525" b="0"/>
            <wp:docPr id="37" name="Picture 16" descr="C:\Users\SUUSER\Desktop\paper images\reallife\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USER\Desktop\paper images\reallife\disconnection.png"/>
                    <pic:cNvPicPr>
                      <a:picLocks noChangeAspect="1" noChangeArrowheads="1"/>
                    </pic:cNvPicPr>
                  </pic:nvPicPr>
                  <pic:blipFill>
                    <a:blip r:embed="rId31"/>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3FF6CA6C" w14:textId="6D96682F"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79C0551E" w14:textId="77777777" w:rsidR="00876A33" w:rsidRDefault="00876A33" w:rsidP="00876A33">
      <w:pPr>
        <w:pStyle w:val="IEEEParagraph"/>
        <w:rPr>
          <w:szCs w:val="20"/>
        </w:rPr>
      </w:pPr>
    </w:p>
    <w:p w14:paraId="628E4F77" w14:textId="38C09F11" w:rsidR="00876A33" w:rsidRDefault="00876A33" w:rsidP="00876A33">
      <w:pPr>
        <w:pStyle w:val="IEEEParagraph"/>
        <w:rPr>
          <w:rFonts w:cs="Helvetica"/>
        </w:rPr>
      </w:pPr>
      <w:r w:rsidRPr="00935DB9">
        <w:rPr>
          <w:rFonts w:cs="Helvetica"/>
          <w:i/>
        </w:rPr>
        <w:t>Disconnection</w:t>
      </w:r>
      <w:r w:rsidRPr="00126FAA">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088B73E8" w14:textId="77777777" w:rsidR="00876A33" w:rsidRDefault="00876A33" w:rsidP="00876A33">
      <w:pPr>
        <w:pStyle w:val="IEEEHeading2"/>
        <w:numPr>
          <w:ilvl w:val="1"/>
          <w:numId w:val="7"/>
        </w:numPr>
        <w:rPr>
          <w:lang w:val="en-GB"/>
        </w:rPr>
      </w:pPr>
      <w:r>
        <w:rPr>
          <w:lang w:val="en-GB"/>
        </w:rPr>
        <w:t>Real-Life Scenario Simulation Result for Update Packets</w:t>
      </w:r>
    </w:p>
    <w:p w14:paraId="68EA3F6E" w14:textId="77777777" w:rsidR="00876A33" w:rsidRDefault="00FB5339" w:rsidP="00876A33">
      <w:pPr>
        <w:pStyle w:val="IEEEParagraph"/>
        <w:jc w:val="center"/>
        <w:rPr>
          <w:szCs w:val="20"/>
        </w:rPr>
      </w:pPr>
      <w:r>
        <w:rPr>
          <w:rFonts w:cs="Helvetica"/>
          <w:noProof/>
          <w:lang w:val="en-US" w:eastAsia="en-US"/>
        </w:rPr>
        <w:drawing>
          <wp:inline distT="0" distB="0" distL="0" distR="0" wp14:anchorId="78AD7E4A" wp14:editId="32D2E64D">
            <wp:extent cx="3095625" cy="1790700"/>
            <wp:effectExtent l="19050" t="0" r="9525" b="0"/>
            <wp:docPr id="38" name="Picture 17" descr="C:\Users\SUUSER\Desktop\paper images\reallife\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USER\Desktop\paper images\reallife\updatePackets.png"/>
                    <pic:cNvPicPr>
                      <a:picLocks noChangeAspect="1" noChangeArrowheads="1"/>
                    </pic:cNvPicPr>
                  </pic:nvPicPr>
                  <pic:blipFill>
                    <a:blip r:embed="rId32"/>
                    <a:srcRect/>
                    <a:stretch>
                      <a:fillRect/>
                    </a:stretch>
                  </pic:blipFill>
                  <pic:spPr bwMode="auto">
                    <a:xfrm>
                      <a:off x="0" y="0"/>
                      <a:ext cx="3095625" cy="1790700"/>
                    </a:xfrm>
                    <a:prstGeom prst="rect">
                      <a:avLst/>
                    </a:prstGeom>
                    <a:noFill/>
                    <a:ln w="9525">
                      <a:noFill/>
                      <a:miter lim="800000"/>
                      <a:headEnd/>
                      <a:tailEnd/>
                    </a:ln>
                  </pic:spPr>
                </pic:pic>
              </a:graphicData>
            </a:graphic>
          </wp:inline>
        </w:drawing>
      </w:r>
    </w:p>
    <w:p w14:paraId="7D9048FB" w14:textId="197695D1"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234CC636" w14:textId="77777777" w:rsidR="00876A33" w:rsidRDefault="00876A33" w:rsidP="00876A33">
      <w:pPr>
        <w:pStyle w:val="IEEEParagraph"/>
        <w:rPr>
          <w:szCs w:val="20"/>
        </w:rPr>
      </w:pPr>
    </w:p>
    <w:p w14:paraId="535CD75D" w14:textId="190C443D"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sidRPr="0057294C">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2BBEEB25" w14:textId="20460E5A"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564FB48B"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4ACE2AFC" w14:textId="77777777" w:rsidR="00876A33" w:rsidRDefault="00FB5339" w:rsidP="00FB5339">
      <w:pPr>
        <w:pStyle w:val="IEEEParagraph"/>
        <w:jc w:val="center"/>
      </w:pPr>
      <w:r>
        <w:rPr>
          <w:rFonts w:cs="Helvetica"/>
          <w:noProof/>
          <w:lang w:val="en-US" w:eastAsia="en-US"/>
        </w:rPr>
        <w:drawing>
          <wp:inline distT="0" distB="0" distL="0" distR="0" wp14:anchorId="5FD9F6E8" wp14:editId="47E20171">
            <wp:extent cx="3095625" cy="1562100"/>
            <wp:effectExtent l="19050" t="0" r="9525" b="0"/>
            <wp:docPr id="39" name="Picture 18" descr="C:\Users\SUUSER\Desktop\paper images\reallife\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USER\Desktop\paper images\reallife\seamlessMobility.png"/>
                    <pic:cNvPicPr>
                      <a:picLocks noChangeAspect="1" noChangeArrowheads="1"/>
                    </pic:cNvPicPr>
                  </pic:nvPicPr>
                  <pic:blipFill>
                    <a:blip r:embed="rId33"/>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6253F45D" w14:textId="3B4F886C" w:rsidR="00876A33" w:rsidRDefault="00102AD6" w:rsidP="00876A33">
      <w:pPr>
        <w:pStyle w:val="IEEEReferenceItem"/>
        <w:numPr>
          <w:ilvl w:val="0"/>
          <w:numId w:val="0"/>
        </w:numPr>
        <w:jc w:val="center"/>
      </w:pPr>
      <w:r>
        <w:t>Figure 22</w:t>
      </w:r>
      <w:r w:rsidR="00876A33">
        <w:t>. Result for Seamless Mobility in Home Operator Protocol</w:t>
      </w:r>
    </w:p>
    <w:p w14:paraId="49D2866D" w14:textId="77777777" w:rsidR="00876A33" w:rsidRPr="00876A33" w:rsidRDefault="00876A33" w:rsidP="00876A33">
      <w:pPr>
        <w:pStyle w:val="IEEEParagraph"/>
      </w:pPr>
    </w:p>
    <w:p w14:paraId="2C7BD9FE" w14:textId="77777777" w:rsidR="00876A33" w:rsidRDefault="00876A33" w:rsidP="00876A33">
      <w:pPr>
        <w:pStyle w:val="IEEEParagraph"/>
        <w:rPr>
          <w:rFonts w:cs="Helvetica"/>
        </w:rPr>
      </w:pPr>
      <w:r w:rsidRPr="009C0C74">
        <w:rPr>
          <w:rFonts w:cs="Helvetica"/>
          <w:i/>
        </w:rPr>
        <w:t>Seamless Mobility</w:t>
      </w:r>
      <w:r w:rsidRPr="0057294C">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57294C">
        <w:rPr>
          <w:rFonts w:cs="Helvetica"/>
        </w:rPr>
        <w:t xml:space="preserve"> </w:t>
      </w:r>
      <w:r w:rsidRPr="003F5067">
        <w:rPr>
          <w:rFonts w:cs="Helvetica"/>
        </w:rPr>
        <w:t>protocol.</w:t>
      </w:r>
    </w:p>
    <w:p w14:paraId="2666A94F" w14:textId="5B71F099"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4B7A12D7" w14:textId="77777777" w:rsidR="00876A33" w:rsidRDefault="00876A33" w:rsidP="00876A33">
      <w:pPr>
        <w:pStyle w:val="IEEEHeading2"/>
        <w:numPr>
          <w:ilvl w:val="1"/>
          <w:numId w:val="7"/>
        </w:numPr>
        <w:rPr>
          <w:lang w:val="en-GB"/>
        </w:rPr>
      </w:pPr>
      <w:r>
        <w:rPr>
          <w:lang w:val="en-GB"/>
        </w:rPr>
        <w:t>Real-Life Scenario Simulation Result for Roaming Protocol</w:t>
      </w:r>
    </w:p>
    <w:p w14:paraId="2531A576" w14:textId="77777777" w:rsidR="00876A33" w:rsidRDefault="00FB5339" w:rsidP="00876A33">
      <w:pPr>
        <w:pStyle w:val="IEEEParagraph"/>
        <w:jc w:val="center"/>
      </w:pPr>
      <w:r>
        <w:rPr>
          <w:rFonts w:cs="Helvetica"/>
          <w:noProof/>
          <w:lang w:val="en-US" w:eastAsia="en-US"/>
        </w:rPr>
        <w:drawing>
          <wp:inline distT="0" distB="0" distL="0" distR="0" wp14:anchorId="445E19C0" wp14:editId="690EC273">
            <wp:extent cx="3095625" cy="1562100"/>
            <wp:effectExtent l="19050" t="0" r="9525" b="0"/>
            <wp:docPr id="40" name="Picture 19" descr="C:\Users\SUUSER\Desktop\paper images\reallife\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USER\Desktop\paper images\reallife\roaming.png"/>
                    <pic:cNvPicPr>
                      <a:picLocks noChangeAspect="1" noChangeArrowheads="1"/>
                    </pic:cNvPicPr>
                  </pic:nvPicPr>
                  <pic:blipFill>
                    <a:blip r:embed="rId34"/>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7CA57428" w14:textId="040E001D"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72662FFE" w14:textId="77777777" w:rsidR="00876A33" w:rsidRDefault="00876A33" w:rsidP="00876A33">
      <w:pPr>
        <w:pStyle w:val="IEEEParagraph"/>
        <w:rPr>
          <w:szCs w:val="20"/>
        </w:rPr>
      </w:pPr>
    </w:p>
    <w:p w14:paraId="554C2114"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7294C">
        <w:rPr>
          <w:rFonts w:cs="Helvetica"/>
        </w:rPr>
        <w:t xml:space="preserve">Roaming </w:t>
      </w:r>
      <w:r w:rsidRPr="003F5067">
        <w:rPr>
          <w:rFonts w:cs="Helvetica"/>
        </w:rPr>
        <w:t>protocol.</w:t>
      </w:r>
    </w:p>
    <w:p w14:paraId="649DD534"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57294C">
        <w:rPr>
          <w:rFonts w:cs="Helvetica"/>
        </w:rPr>
        <w:t xml:space="preserve"> </w:t>
      </w:r>
      <w:r w:rsidRPr="003F5067">
        <w:rPr>
          <w:rFonts w:cs="Helvetica"/>
        </w:rPr>
        <w:t xml:space="preserve">or </w:t>
      </w:r>
      <w:r w:rsidRPr="009C0C74">
        <w:rPr>
          <w:rFonts w:cs="Helvetica"/>
          <w:i/>
        </w:rPr>
        <w:t>Roaming</w:t>
      </w:r>
      <w:r w:rsidRPr="0057294C">
        <w:rPr>
          <w:rFonts w:cs="Helvetica"/>
        </w:rPr>
        <w:t xml:space="preserve"> </w:t>
      </w:r>
      <w:r w:rsidRPr="003F5067">
        <w:rPr>
          <w:rFonts w:cs="Helvetica"/>
        </w:rPr>
        <w:t>protocols.</w:t>
      </w:r>
      <w:r>
        <w:rPr>
          <w:rFonts w:cs="Helvetica"/>
        </w:rPr>
        <w:t xml:space="preserve"> After some time protocol reaches a balance around 0.2 second of delay.</w:t>
      </w:r>
    </w:p>
    <w:p w14:paraId="16091D09" w14:textId="447097B2"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6ABA062" w14:textId="77777777" w:rsidR="00876A33" w:rsidRDefault="00876A33" w:rsidP="00876A33">
      <w:pPr>
        <w:pStyle w:val="IEEEHeading2"/>
        <w:numPr>
          <w:ilvl w:val="1"/>
          <w:numId w:val="7"/>
        </w:numPr>
        <w:rPr>
          <w:lang w:val="en-GB"/>
        </w:rPr>
      </w:pPr>
      <w:r>
        <w:rPr>
          <w:lang w:val="en-GB"/>
        </w:rPr>
        <w:t>Real-Life Scenario Simulation Result for Packet Transfer</w:t>
      </w:r>
    </w:p>
    <w:p w14:paraId="3134BFB2" w14:textId="77777777" w:rsidR="00876A33" w:rsidRDefault="00FB5339" w:rsidP="00876A33">
      <w:pPr>
        <w:pStyle w:val="IEEEParagraph"/>
        <w:jc w:val="center"/>
        <w:rPr>
          <w:szCs w:val="20"/>
        </w:rPr>
      </w:pPr>
      <w:r>
        <w:rPr>
          <w:rFonts w:cs="Helvetica"/>
          <w:noProof/>
          <w:lang w:val="en-US" w:eastAsia="en-US"/>
        </w:rPr>
        <w:lastRenderedPageBreak/>
        <w:drawing>
          <wp:inline distT="0" distB="0" distL="0" distR="0" wp14:anchorId="76469E99" wp14:editId="0E3F5835">
            <wp:extent cx="3095625" cy="1800225"/>
            <wp:effectExtent l="19050" t="0" r="9525" b="0"/>
            <wp:docPr id="48" name="Picture 20" descr="C:\Users\SUUSER\Desktop\paper images\reallife\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USER\Desktop\paper images\reallife\packetTransfer.png"/>
                    <pic:cNvPicPr>
                      <a:picLocks noChangeAspect="1" noChangeArrowheads="1"/>
                    </pic:cNvPicPr>
                  </pic:nvPicPr>
                  <pic:blipFill>
                    <a:blip r:embed="rId35"/>
                    <a:srcRect/>
                    <a:stretch>
                      <a:fillRect/>
                    </a:stretch>
                  </pic:blipFill>
                  <pic:spPr bwMode="auto">
                    <a:xfrm>
                      <a:off x="0" y="0"/>
                      <a:ext cx="3095625" cy="1800225"/>
                    </a:xfrm>
                    <a:prstGeom prst="rect">
                      <a:avLst/>
                    </a:prstGeom>
                    <a:noFill/>
                    <a:ln w="9525">
                      <a:noFill/>
                      <a:miter lim="800000"/>
                      <a:headEnd/>
                      <a:tailEnd/>
                    </a:ln>
                  </pic:spPr>
                </pic:pic>
              </a:graphicData>
            </a:graphic>
          </wp:inline>
        </w:drawing>
      </w:r>
    </w:p>
    <w:p w14:paraId="4FAADF50" w14:textId="7D779B96"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6945DD1F" w14:textId="77777777" w:rsidR="00876A33" w:rsidRDefault="00876A33" w:rsidP="00876A33">
      <w:pPr>
        <w:pStyle w:val="IEEEParagraph"/>
        <w:rPr>
          <w:szCs w:val="20"/>
        </w:rPr>
      </w:pPr>
    </w:p>
    <w:p w14:paraId="3840DF08" w14:textId="77777777" w:rsidR="00876A33" w:rsidRDefault="00876A33" w:rsidP="00876A33">
      <w:pPr>
        <w:pStyle w:val="IEEEParagraph"/>
        <w:rPr>
          <w:rFonts w:cs="Helvetica"/>
        </w:rPr>
      </w:pPr>
      <w:r w:rsidRPr="009C0C74">
        <w:rPr>
          <w:rFonts w:cs="Helvetica"/>
          <w:i/>
        </w:rPr>
        <w:t>Packet Transfer</w:t>
      </w:r>
      <w:r w:rsidRPr="00DB0D1B">
        <w:rPr>
          <w:rFonts w:cs="Helvetica"/>
        </w:rPr>
        <w:t xml:space="preserve"> </w:t>
      </w:r>
      <w:r w:rsidRPr="003F5067">
        <w:rPr>
          <w:rFonts w:cs="Helvetica"/>
        </w:rPr>
        <w:t xml:space="preserve">protocol is the mostly used protocol in the system. </w:t>
      </w:r>
    </w:p>
    <w:p w14:paraId="2BB8F78C" w14:textId="5ABD297C"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71FD6DD4" w14:textId="77777777" w:rsidR="00792CDF" w:rsidRDefault="00792CDF" w:rsidP="00792CDF">
      <w:pPr>
        <w:pStyle w:val="IEEEHeading1"/>
      </w:pPr>
      <w:r>
        <w:t>Conclusion</w:t>
      </w:r>
    </w:p>
    <w:p w14:paraId="226B5228"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0A3B90FE"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A360630" w14:textId="77777777" w:rsidR="00876A33" w:rsidRDefault="00876A33" w:rsidP="00792CDF">
      <w:pPr>
        <w:pStyle w:val="IEEEParagraph"/>
      </w:pPr>
      <w:r>
        <w:rPr>
          <w:rFonts w:cs="Helvetica"/>
        </w:rPr>
        <w:lastRenderedPageBreak/>
        <w:t>There are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Pr>
          <w:rFonts w:cs="Helvetica"/>
        </w:rPr>
        <w:t xml:space="preserve">at </w:t>
      </w:r>
      <w:r w:rsidRPr="003F5067">
        <w:rPr>
          <w:rFonts w:cs="Helvetica"/>
        </w:rPr>
        <w:t xml:space="preserve">the system, </w:t>
      </w:r>
      <w:r>
        <w:rPr>
          <w:rFonts w:cs="Helvetica"/>
        </w:rPr>
        <w:t xml:space="preserve">so </w:t>
      </w:r>
      <w:r w:rsidR="00AF247D">
        <w:rPr>
          <w:rFonts w:cs="Helvetica"/>
        </w:rPr>
        <w:t>there could occur</w:t>
      </w:r>
      <w:r w:rsidRPr="003F5067">
        <w:rPr>
          <w:rFonts w:cs="Helvetica"/>
        </w:rPr>
        <w:t xml:space="preserve"> different outcomes </w:t>
      </w:r>
      <w:r>
        <w:rPr>
          <w:rFonts w:cs="Helvetica"/>
        </w:rPr>
        <w:t>for</w:t>
      </w:r>
      <w:r w:rsidRPr="003F5067">
        <w:rPr>
          <w:rFonts w:cs="Helvetica"/>
        </w:rPr>
        <w:t xml:space="preserve"> the same simulations</w:t>
      </w:r>
      <w:r>
        <w:rPr>
          <w:rFonts w:cs="Helvetica"/>
        </w:rPr>
        <w:t>as there is change in</w:t>
      </w:r>
      <w:r w:rsidR="00AF247D">
        <w:rPr>
          <w:rFonts w:cs="Helvetica"/>
        </w:rPr>
        <w:t xml:space="preserve"> real-life</w:t>
      </w:r>
      <w:r>
        <w:rPr>
          <w:rFonts w:cs="Helvetica"/>
        </w:rPr>
        <w:t xml:space="preserve"> network traffic everyday</w:t>
      </w:r>
      <w:r w:rsidRPr="003F5067">
        <w:rPr>
          <w:rFonts w:cs="Helvetica"/>
        </w:rPr>
        <w:t>. The average of those simulations would cover even the most unexpected situations</w:t>
      </w:r>
    </w:p>
    <w:p w14:paraId="759835D4" w14:textId="6D5DACD2" w:rsidR="0062033E" w:rsidRPr="00792CDF" w:rsidRDefault="00F706E6" w:rsidP="00792CDF">
      <w:pPr>
        <w:pStyle w:val="IEEEParagraph"/>
      </w:pPr>
      <w:r>
        <w:t>Results</w:t>
      </w:r>
      <w:r w:rsidR="009C0C74">
        <w:t xml:space="preserve"> </w:t>
      </w:r>
      <w:r>
        <w:t>are</w:t>
      </w:r>
      <w:r w:rsidR="00792CDF">
        <w:t xml:space="preserve"> very important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B55F069" w14:textId="77777777" w:rsidR="001928FB" w:rsidRDefault="001928FB" w:rsidP="00F06A72">
      <w:pPr>
        <w:pStyle w:val="IEEEHeading1"/>
        <w:numPr>
          <w:ilvl w:val="0"/>
          <w:numId w:val="0"/>
        </w:numPr>
      </w:pPr>
      <w:r>
        <w:t>References</w:t>
      </w:r>
    </w:p>
    <w:p w14:paraId="5AF4E9A6" w14:textId="77777777" w:rsidR="00512536" w:rsidRDefault="00512536" w:rsidP="00512536">
      <w:pPr>
        <w:pStyle w:val="IEEEReferenceItem"/>
      </w:pPr>
      <w:r>
        <w:t xml:space="preserve">Akyildiz, I. F., Wang, X.,and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00B468BD"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2422CF90"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668183EE"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11AF24C8"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0722CA40"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CB5B890"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427658CF" w14:textId="77777777" w:rsidR="008A4405" w:rsidRPr="008A4405" w:rsidRDefault="008A4405" w:rsidP="002C1949">
      <w:pPr>
        <w:pStyle w:val="IEEEReferenceItem"/>
        <w:rPr>
          <w:szCs w:val="16"/>
        </w:rPr>
      </w:pPr>
      <w:r w:rsidRPr="008A4405">
        <w:rPr>
          <w:lang w:eastAsia="tr-TR"/>
        </w:rPr>
        <w:t xml:space="preserve">Everitt,B.S.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5139D7A3" w14:textId="77777777" w:rsidR="001B49F7" w:rsidRDefault="001B49F7" w:rsidP="001B49F7">
      <w:pPr>
        <w:pStyle w:val="IEEEReferenceItem"/>
        <w:numPr>
          <w:ilvl w:val="0"/>
          <w:numId w:val="0"/>
        </w:numPr>
        <w:ind w:left="432" w:hanging="432"/>
        <w:rPr>
          <w:szCs w:val="16"/>
        </w:rPr>
      </w:pPr>
    </w:p>
    <w:p w14:paraId="33126B45"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64AA14D9" w14:textId="77777777" w:rsidR="00877D4C" w:rsidRDefault="00877D4C" w:rsidP="00876A33">
      <w:pPr>
        <w:pStyle w:val="IEEEReferenceItem"/>
        <w:numPr>
          <w:ilvl w:val="0"/>
          <w:numId w:val="0"/>
        </w:numPr>
        <w:jc w:val="center"/>
      </w:pPr>
    </w:p>
    <w:p w14:paraId="6BEEC06A"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620E"/>
    <w:rsid w:val="0022285A"/>
    <w:rsid w:val="00224C61"/>
    <w:rsid w:val="0023289C"/>
    <w:rsid w:val="0024228F"/>
    <w:rsid w:val="00267E06"/>
    <w:rsid w:val="0027227B"/>
    <w:rsid w:val="00273AC7"/>
    <w:rsid w:val="00273D2C"/>
    <w:rsid w:val="00285ECD"/>
    <w:rsid w:val="002908E6"/>
    <w:rsid w:val="00290E1B"/>
    <w:rsid w:val="00291B17"/>
    <w:rsid w:val="00293650"/>
    <w:rsid w:val="002A11CE"/>
    <w:rsid w:val="002A6742"/>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2119E"/>
    <w:rsid w:val="00321304"/>
    <w:rsid w:val="00331F84"/>
    <w:rsid w:val="0033730F"/>
    <w:rsid w:val="00337F77"/>
    <w:rsid w:val="00347495"/>
    <w:rsid w:val="00351DD7"/>
    <w:rsid w:val="00373D37"/>
    <w:rsid w:val="00374371"/>
    <w:rsid w:val="00375879"/>
    <w:rsid w:val="0039000D"/>
    <w:rsid w:val="00392783"/>
    <w:rsid w:val="00392E78"/>
    <w:rsid w:val="003950A4"/>
    <w:rsid w:val="003E1432"/>
    <w:rsid w:val="003E3577"/>
    <w:rsid w:val="003E762E"/>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2033E"/>
    <w:rsid w:val="00624482"/>
    <w:rsid w:val="0064065F"/>
    <w:rsid w:val="00646305"/>
    <w:rsid w:val="0064799C"/>
    <w:rsid w:val="00654156"/>
    <w:rsid w:val="00655955"/>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35F58"/>
    <w:rsid w:val="00745C86"/>
    <w:rsid w:val="00764603"/>
    <w:rsid w:val="0076604D"/>
    <w:rsid w:val="00781C53"/>
    <w:rsid w:val="00790909"/>
    <w:rsid w:val="00792CDF"/>
    <w:rsid w:val="007A7E5D"/>
    <w:rsid w:val="007B5A07"/>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405"/>
    <w:rsid w:val="008A4910"/>
    <w:rsid w:val="008B6AE3"/>
    <w:rsid w:val="008C77E5"/>
    <w:rsid w:val="008D1045"/>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BF66C8"/>
    <w:rsid w:val="00C012E1"/>
    <w:rsid w:val="00C06BB4"/>
    <w:rsid w:val="00C10D20"/>
    <w:rsid w:val="00C12E0C"/>
    <w:rsid w:val="00C20884"/>
    <w:rsid w:val="00C21916"/>
    <w:rsid w:val="00C3789D"/>
    <w:rsid w:val="00C37F07"/>
    <w:rsid w:val="00C43A68"/>
    <w:rsid w:val="00C457CA"/>
    <w:rsid w:val="00C45937"/>
    <w:rsid w:val="00C545DA"/>
    <w:rsid w:val="00C57FB7"/>
    <w:rsid w:val="00C65001"/>
    <w:rsid w:val="00C65F3F"/>
    <w:rsid w:val="00C72414"/>
    <w:rsid w:val="00C8667B"/>
    <w:rsid w:val="00C9339B"/>
    <w:rsid w:val="00CA4CE3"/>
    <w:rsid w:val="00CB756E"/>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E0641E"/>
    <w:rsid w:val="00E06664"/>
    <w:rsid w:val="00E304BC"/>
    <w:rsid w:val="00E32052"/>
    <w:rsid w:val="00E32853"/>
    <w:rsid w:val="00E401F8"/>
    <w:rsid w:val="00E46425"/>
    <w:rsid w:val="00E47D0E"/>
    <w:rsid w:val="00E551AF"/>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10</Pages>
  <Words>4840</Words>
  <Characters>27588</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32364</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88</cp:revision>
  <cp:lastPrinted>2008-12-31T10:29:00Z</cp:lastPrinted>
  <dcterms:created xsi:type="dcterms:W3CDTF">2012-12-03T20:31:00Z</dcterms:created>
  <dcterms:modified xsi:type="dcterms:W3CDTF">2012-12-18T16:22:00Z</dcterms:modified>
</cp:coreProperties>
</file>