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7.77566909790039"/>
          <w:szCs w:val="17.77566909790039"/>
          <w:u w:val="none"/>
          <w:shd w:fill="auto" w:val="clear"/>
          <w:vertAlign w:val="baseline"/>
        </w:rPr>
      </w:pPr>
      <w:r w:rsidDel="00000000" w:rsidR="00000000" w:rsidRPr="00000000">
        <w:rPr>
          <w:rFonts w:ascii="Arial" w:cs="Arial" w:eastAsia="Arial" w:hAnsi="Arial"/>
          <w:b w:val="1"/>
          <w:i w:val="0"/>
          <w:smallCaps w:val="0"/>
          <w:strike w:val="0"/>
          <w:color w:val="000000"/>
          <w:sz w:val="17.77566909790039"/>
          <w:szCs w:val="17.77566909790039"/>
          <w:u w:val="none"/>
          <w:shd w:fill="auto" w:val="clear"/>
          <w:vertAlign w:val="baseline"/>
          <w:rtl w:val="0"/>
        </w:rPr>
        <w:t xml:space="preserve">Group Member X Y Correlation correlation coefficient (r) Explain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462890625" w:line="319.8717498779297" w:lineRule="auto"/>
        <w:ind w:left="0" w:right="0" w:firstLine="0"/>
        <w:jc w:val="left"/>
        <w:rPr>
          <w:rFonts w:ascii="Arial" w:cs="Arial" w:eastAsia="Arial" w:hAnsi="Arial"/>
          <w:b w:val="0"/>
          <w:i w:val="0"/>
          <w:smallCaps w:val="0"/>
          <w:strike w:val="0"/>
          <w:color w:val="000000"/>
          <w:sz w:val="17.77566909790039"/>
          <w:szCs w:val="17.77566909790039"/>
          <w:u w:val="none"/>
          <w:shd w:fill="auto" w:val="clear"/>
          <w:vertAlign w:val="baseline"/>
        </w:rPr>
      </w:pPr>
      <w:r w:rsidDel="00000000" w:rsidR="00000000" w:rsidRPr="00000000">
        <w:rPr>
          <w:rFonts w:ascii="Arial" w:cs="Arial" w:eastAsia="Arial" w:hAnsi="Arial"/>
          <w:b w:val="0"/>
          <w:i w:val="0"/>
          <w:smallCaps w:val="0"/>
          <w:strike w:val="0"/>
          <w:color w:val="000000"/>
          <w:sz w:val="17.77566909790039"/>
          <w:szCs w:val="17.77566909790039"/>
          <w:u w:val="none"/>
          <w:shd w:fill="auto" w:val="clear"/>
          <w:vertAlign w:val="baseline"/>
          <w:rtl w:val="0"/>
        </w:rPr>
        <w:t xml:space="preserve">Mehmet quality fixed acidity positive correlation 0.120 As fixed acidity increases, quality increases Mehmet quality volatile acidity negative correlation -0.390 As volatile acidity increases, quality decreases Mehmet quality citric acid positive correlation 0.230 As citric acid increases, quality increases Fabio quality residual sugar positive correlation 0.014 As residual sugar increases, quality increases Fabio quality chlorides negative correlation -0.129 As chlorides increases, quality decreases Fabio quality free sulfur dioxide negative correlation -0.051 As free sulfur dioxide increases, quality decreases Fabio quality total sulfur dioxide negative correlation -0.185 As total sulfur dioxide increases, quality decreases Tyler quality density negative correlation -0.175 As wine density increases, quality decreases Tyler quality pH negative correlation -0.058 As pH level increases, quality decreases Tyler quality sulphates positive correlation 0.251 As sulphate level increases, quality increases Tyler quality alcohol positive correlation 0.476 As alchol level increases, quality increases</w:t>
      </w:r>
    </w:p>
    <w:sectPr>
      <w:pgSz w:h="15840" w:w="12240" w:orient="portrait"/>
      <w:pgMar w:bottom="7683.555908203125" w:top="1164.6923828125" w:left="1053.1094360351562" w:right="1404.1870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