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17846" w14:textId="77777777" w:rsidR="004577EA" w:rsidRPr="004577EA" w:rsidRDefault="004577EA" w:rsidP="004577EA">
      <w:pPr>
        <w:shd w:val="clear" w:color="auto" w:fill="FFFFFF"/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</w:pP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26"/>
          <w:szCs w:val="26"/>
          <w:lang w:val="en-TR"/>
          <w14:ligatures w14:val="none"/>
        </w:rPr>
        <w:t>Turuncu Hesap Fiyatlama Modeli: Stratejik Proje Özeti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Bu doküman, Turuncu Hesap fiyatlama projesinin stratejik hedeflerini, teknik mimarisini, veri temel-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lerini ve uygulama yol haritasını içeren tek ve nihai yönetici özetidir.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22"/>
          <w:szCs w:val="22"/>
          <w:lang w:val="en-TR"/>
          <w14:ligatures w14:val="none"/>
        </w:rPr>
        <w:t>1. Proje Vizyonu ve Stratejik Hedef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Proje Çıkış Noktası: Çalışma ilk etapta “Turuncu faiz oranını kaç yaparsak yaklaşık ne kadar müşteri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kazanırız?” sorusuyla başlamış, ancak stratejik öncelikler doğrultusunda odak noktası Hacim/Bakiye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Maksimizasyonu olarak güncellenmiştir.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Temel Problem: Rekabetin ve faiz hassasiyetinin arttığı piyasa koşullarında, müşteri kaybını minimize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ederek büyüme hedeflerini yakalamak için optimum fiyatlama seviyesini belirlemek.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Netleştirilmiş Hedef Tanımı: “Turuncu Hesap faiz oranını kaç yaparsak hacim hangi seviyeye gelir?”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Stratejik Hedefler (2026 KPI):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1. Hacim Büyümesi: 2026 sonunda 120 Milyar TL bakiye büyüklüğüne ulaşmak.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2. Veri Odaklı Karar Alma: Fiyatlama kararlarını sezgisel yaklaşımdan, veriye dayalı analitik bir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yapıya taşımak. Hacim değişikliğinin %71’in üzerinde (Mevcut Base Modelin Üzeri) veri ile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açıklanabilmesi yeni başarı kriteridir (Acceptance Criteria).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3. Hibrid Fiyatlama: Tek tip fiyatlama yerine, müşteri davranışı ve tutar bazlı ayrışan Hibrid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Segmentasyon yaklaşımına geçiş.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22"/>
          <w:szCs w:val="22"/>
          <w:lang w:val="en-TR"/>
          <w14:ligatures w14:val="none"/>
        </w:rPr>
        <w:t>2. Stratejik Göstergeler ve Piyasa Reaksiyonu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Model, “Piyasa neye reaksiyon veriyor?” sorusuna cevap ararken aşağıdaki temel göstergeleri kullanır.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A. Olası Veri Kaynakları (Dış Veri İhtiyacı)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Modelin piyasayı doğru okuması için mutlaka bakılması gereken veri setleridir.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Rakip Ortalama Faiz (Benchmark): Başka bankalara ait 6 adet benchmark ürünün tespit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edilip, faiz oranlarının ortalamasının alınması (TRREF).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Fonlama Maliyeti: Bankanın Ağırlıklı Ortalama Fonlama Faizi ve Merkez Bankası verileri.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Piyasa Algısı (Sentiment): DonanımHaber gibi forumlarda, faiz oranlarını yoğun şekilde takip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eden kullanıcıların yorumlarının izlenmesi (Web Scraping). Hedef: Kim hangi bankayı konuşuyor?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Ticari Kredi Faizleri: Piyasada öncü bir gösterge (Leading Indicator) olarak kabul edilen Kısa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Vadeli Ticari Kredi fiyatlamalarındaki değişimler.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Kampanya Fiyatları: HangiKredi, Hesap.com gibi platformlardan alınan “Top 5 En İyi Faiz”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teklifleri.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B. Piyasa Reaksiyon Göstergeleri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Müşterinin hareketini tetikleyen alternatif getiri ve risk faktörleridir.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Alternatif Getiri: Yatırım fonlarındaki günlük gelirler.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Borsa Endeksi: Hisse senedi piyasasındaki hareketlilik.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Kur Oynaklığı: Döviz kurlarındaki dalgalanma ve volatilite.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Reel Sektör Sinyalleri: Tır lastiği değişimi gibi ekonomik aktiviteye dair öncü göstergeler.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C. Müşteri İçgörüleri (Internal Insights)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Fiyatlama stratejisini destekleyen temel banka içi verilerdir.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Ticket Size (Tutar): Müşterinin bakiye büyüklüğü. (Toplantı notu: “Ticket size üzerinden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müşteri anlamında bilgiye erişilebilir.”)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Limit Değişim Takvimi: Banka içi alt limit tutarlarındaki değişim dönemleri (Yılda ~2 kez).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1</w:t>
      </w:r>
    </w:p>
    <w:p w14:paraId="32300539" w14:textId="77777777" w:rsidR="004577EA" w:rsidRPr="004577EA" w:rsidRDefault="004577EA" w:rsidP="004577EA">
      <w:pPr>
        <w:shd w:val="clear" w:color="auto" w:fill="FFFFFF"/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</w:pP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Mevduatın Vadesi (Vintage): Müşterinin bankada ne kadar süredir çalıştığı. Yeni müşteriler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(New-to-Bank) ile mevcut müşterilerin faiz beklentisi ve “Hoş Geldin” etkisi ayrışır.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D. Makroekonomik Göstergeler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Merkez Bankası Verileri: TCMB tarafından açıklanan resmi faiz ve parasal veriler.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12 Aylık Enflasyon Beklentisi: TCMB Piyasa Katılımcıları Anketi’nden alınır. Müşterinin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“Reel Getiri” algısını (Faiz &gt; Enflasyon?) ve vadeli mevduat tercihini şekillendirir.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KKM Dönüşleri: Kur Korumalı Mevduat’tan dönen yüklü TL likiditesi. Hacim hedefleri için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kritik bir “para kaynağı” takibidir.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E. Gelecek Vizyonu: Challenger Model (İleri Seviye)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Modelin sadece bugünü değil, 2-3 yıllık stratejik ufku ve olası krizleri yönetebilmesi için önerilen “Uzman”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seviyesi göstergelerdir.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Sistem Likidite Açığı (Net Liquidity Deficit): Merkez Bankası faizinden ziyade, piyasadaki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gerçek “TL Kıtlığını” ölçer. Likidite açığı arttığında bankaların mevduat yarışına girmesi kaçınıl-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mazdır.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Kredi/Mevduat Rasyosu (LDR): Bankaların (veya sektörün) paraya olan “Açlığını” gösterir.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LDR oranı yüksek (&gt;%100) bankalar fonlama bulmak için agresif fiyatlama yapmak zorundadır.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Swap Maliyeti (Implied Yield): Bankalar bazen mevduat toplamak yerine elindeki dövizi Swap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ile TL’ye çevirir (Arbitraj). Eğer Swap Faizi &lt; Mevduat Faizi ise, mevduat oranları baskılanır.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Reel Efektif Döviz Kuru (REER): Uzun vadeli (2-3 yıl) kriz tahmini için en kritik göstergedir.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lastRenderedPageBreak/>
        <w:t>Aşırı değerlenen TL, gelecekteki kur şoklarının ve ardından gelecek faiz artışlarının habercisidir.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22"/>
          <w:szCs w:val="22"/>
          <w:lang w:val="en-TR"/>
          <w14:ligatures w14:val="none"/>
        </w:rPr>
        <w:t>3. Yapısal Kırılımlar ve Veri Envanteri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Piyasa verilerinin yanı sıra, banka içi operasyonel değişiklikler ve takvim etkileri de modele dahil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edilmiştir.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A. Limit Değişim Takvimi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Turuncu Hesap alt limit tutarları genellikle yılda 2 kez güncellenmektedir.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Geçmiş Etki: 31 Ekim’de yapılan değişiklik.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Gelecek Etki: 2026 yılında planlanan 2 adet limit artışı. Bu yapısal değişikliklerin müşteri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davranışına etkisi modelde yapısal kırılım olarak değerlendirilir.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B. Müşteri Davranış Analizi (Ticket Size)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Müşteri verisine “Ticket Size” (Bakiye Büyüklüğü) üzerinden erişilerek mikro-segmentasyon yapılır.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Farklı bakiye seviyelerindeki müşterilerin faiz duyarlılığı ayrıştırılır.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22"/>
          <w:szCs w:val="22"/>
          <w:lang w:val="en-TR"/>
          <w14:ligatures w14:val="none"/>
        </w:rPr>
        <w:t>4. Analitik Yaklaşım ve Modelleme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Ham veriyi stratejik içgörüye dönüştürmek için 2 aşamalı bir modelleme yaklaşımı benimsenmiştir.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A. Base Model (Fiyat Esnekliği)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Yöntem: Şeffaf ve açıklanabilir (White-Box) modeller.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Amaç: Mevcuttaki hacim değişiminin %65’ini açıklamak ve temel fiyat/hacim ilişkisini kurmak.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B. Challenger Model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Yöntem: Daha karmaşık algoritmalar.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Amaç: Base modelin açıklayamadığı %35’lik kısmı hedefleyerek performansı yukarı taşımak ve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başarı kriterini geliştirmek.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2</w:t>
      </w:r>
    </w:p>
    <w:p w14:paraId="774535D8" w14:textId="77777777" w:rsidR="004577EA" w:rsidRPr="004577EA" w:rsidRDefault="004577EA" w:rsidP="004577EA">
      <w:pPr>
        <w:shd w:val="clear" w:color="auto" w:fill="FFFFFF"/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</w:pP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22"/>
          <w:szCs w:val="22"/>
          <w:lang w:val="en-TR"/>
          <w14:ligatures w14:val="none"/>
        </w:rPr>
        <w:t>5. Teknik Mimari ve Operasyonel Süreç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Model sadece bir hesaplama aracı değil, haftalık karar alma sürecinin bir parçasıdır.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Operasyonel Döngü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Frekans: Modelin haftalık olarak çalıştırılması ve sonuç üretmesi beklenmektedir.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Kullanım: Üretilen sonuçlar, haftalık komitelerde karar destek verisi olarak kullanılır.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Karar Destek Sistemi (Simülasyon)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Yöneticilerin “What-If” analizleri yapabilmesi için bir simülasyon mantığı kurgulanmıştır.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Senaryo Analizi: Farklı faiz oranlarının hacim üzerindeki etkisinin simüle edilmesi.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Manuel Override: Piyasa profesyonellerinin (Kerem Bey vb.) öngörülerinin sisteme manuel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senaryo olarak girilebilmesi.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22"/>
          <w:szCs w:val="22"/>
          <w:lang w:val="en-TR"/>
          <w14:ligatures w14:val="none"/>
        </w:rPr>
        <w:t>6. Doğrulama ve Başarı Kriterleri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Projenin başarısı için somut kriterler belirlenmiştir: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1. Açıklayıcılık Oranı: Mevcut Base Model halihazırda %71 başarıya sahiptir. Projenin yeni hedefi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bu oranı (&gt;%71) yukarı taşımaktır.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2. İş Birimi Teyidi: Model çıktılarının, reel piyasa göstergeleri ile tutarlı olup olmadığının iş birimi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tarafından doğrulanması.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22"/>
          <w:szCs w:val="22"/>
          <w:lang w:val="en-TR"/>
          <w14:ligatures w14:val="none"/>
        </w:rPr>
        <w:t>7. Stratejik Uyum ve Çözüm Yaklaşımı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İş birimi gereksinimleri ile geliştirilen teknik çözümün uyumu: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A. Yalınlık ve Açıklanabilirlik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İş biriminin “anlaşılabilir model” talebi doğrultusunda, karmaşık “Kara Kutu” (Black Box) modeller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yerine, neden-sonuç ilişkisinin net olduğu modeller önceliklendirilmiştir.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B. Hacim ve Adet Dengesi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Her ne kadar ana hedef Hacim (Bakiye) olsa da, model yan çıktı olarak Müşteri Kazanımı (Acqui-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sition) tahminlerini de üreterek bütüncül bir bakış sağlar.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Manuel Override: Piyasa profesyonellerinin sisteme manuel senaryo olarak müdahale edebilmesi.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22"/>
          <w:szCs w:val="22"/>
          <w:lang w:val="en-TR"/>
          <w14:ligatures w14:val="none"/>
        </w:rPr>
        <w:t>8. Dashboard ve Ekran Tasarımları (User Interface)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Modelin çıktılarını iş birimlerine ve üst yönetime sunacak olan görsel arayüzlerin tasarımıdır.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A. Yönetici Özeti (Executive Cockpit)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Üst yönetimin anlık durumu 5 saniyede anlaması için tasarlanmıştır.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KPI Kartları: Anlık Turuncu Hacim, Hedef Gerçekleşme Oranı (%), Mevcut Faiz Oranı.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Piyasa Özeti: Rakip Faiz Ortalaması (Benchmark) vs Bizim Faizimiz (Spread).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Trend Grafiği: Son 12 haftalık Hacim ve Faiz değişimi.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3</w:t>
      </w:r>
    </w:p>
    <w:p w14:paraId="352F8D04" w14:textId="77777777" w:rsidR="004577EA" w:rsidRPr="004577EA" w:rsidRDefault="004577EA" w:rsidP="004577EA">
      <w:pPr>
        <w:shd w:val="clear" w:color="auto" w:fill="FFFFFF"/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</w:pP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B. Strateji ve Sinyal Paneli (Analyst View)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Fiyatlama uzmanının detaylı analiz yapacağı ekrandır.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Erken Uyarı Sinyalleri: Kırmızı/Yeşil renk kodlarıyla “Likidite Açığı”, “LDR Durumu”, “En-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flasyon Makası”.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Limit Doluluk Isı Haritası (Heatmap): Hangi müşteri segmenti limite dayandı? (Limit artış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sinyali).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lastRenderedPageBreak/>
        <w:t>• Akış Takibi: Günlük giriş/çıkış yapan paranın kaynak ve miktar analizi.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C. Simülasyon ve Karar Modülü (What-If)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Karar vericinin senaryo çalışacağı interaktif alandır.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Faiz Slider’ı: “Faizi %45’ten %47’ye çekersem ne olur?” sorusunun cevabı.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Senaryo Çıktısı: Tahmini Hacim Artışı, Ek Maliyet, Net Kârlılık Etkisi.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Onay Butonu: Seçilen senaryonun onaya sunulması ve sisteme işlenmesi.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22"/>
          <w:szCs w:val="22"/>
          <w:lang w:val="en-TR"/>
          <w14:ligatures w14:val="none"/>
        </w:rPr>
        <w:t>Ek A: Mevcut Base Model Değişkenleri ve Performans Analizi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Mevcut Excel/Gretl modelinin yapısı, kullanılan değişkenler ve modelin istatistiksel başarı metrikleri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aşağıda detaylandırılmıştır.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1. Model Değişkenleri (Features)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Modelde kullanılan girdiler ve bunların işlevleri: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OSA Welcome: Turuncu Hesap Hoş Geldin Faizi (Bizim Fiyatımız). Modelin ana kontrol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değişkenidir.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OSA FTP: Fund Transfer Pricing (Banka içi fon transfer maliyeti). Bankanın parayı içeride ne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kadara mal ettiğini gösterir.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CBRT 1-3 month avg: Merkez Bankası tarafından yayınlanan, sektördeki 1-3 ay vadeli mevdu-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atların ağırlıklı ortalama faizi. Pazarın genel seviyesini (Benchmark) temsil eder.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TLREF: Türk Lirası Gecelik Referans Faizi. Bankaların parayı fonlama maliyetini gösteren en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temel piyasa faizidir.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w/TLREF: Modelde en yüksek etkiye (Katsayı: 0.41) sahip değişkendir. Bizim faizimiz ile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TLREF (Fonlama Maliyeti) arasındaki ilişkiyi veya “Spread” avantajını temsil eder.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PPK (Dummy): Para Politikası Kurulu (PPK) toplantı haftaları. Faiz kararı belirsizliğinin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mevduat hacmi üzerindeki etkisini ölçmek için 1 veya 0 değerini alır.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Year end (Dummy): Yıl sonu (Bilanço dönemi) etkisi. Bankaların bilanço makyajlama dönem-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lerinde mevduat yarışının artmasını (Mevsimsellik) modeller.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EXP(CB avg-TLREF): Sektör ortalaması ile TLREF arasındaki makasın üstel (exponential)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etkisi. Piyasadaki anormalliğin şiddetini ölçer. Doğrusal olmayan (Non-linear) bir ilişkidir.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Market Anomaly: Piyasa dışı şokların veya beklenmedik olayların yaşandığı haftalar (Kukla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Değişken). Kriz anlarında modelin sapmasını engeller.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2. Başarı Metrikleri (Regression Statistics)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Mevcut regresyon modelinin (Log-Log veya Lineer) istatistiksel çıktılarının analizi: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R Square (0.709): Modelin açıklayıcılık gücü. Hacimdeki değişimin %71’i yukarıdaki değişkenler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tarafından açıklanabilmektedir. Mevcut başarı bu seviyededir, yeni modellerle bu oranın üzerine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çıkılması hedeflenmektedir.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Multiple R (0.84): Tahmin edilen değerler ile gerçekleşen değerler arasındaki korelasyon kat-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sayısıdır. %84 seviyesinde güçlü bir pozitif ilişki olduğunu gösterir.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Significance F (7.79E-12): Modelin bütünüyle istatistiksel olarak anlamlı olduğunu kanıtlar. Bu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değerin 0.05’ten çok küçük olması (neredeyse sıfır), sonucun tesadüfi olmadığını gösterir.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P-value (Değişken Anlamlılığı):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– w/TLREF (3.5E-12): Hacim üzerinde tartışmasız en belirleyici faktördür.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4</w:t>
      </w:r>
    </w:p>
    <w:p w14:paraId="7C419B5B" w14:textId="77777777" w:rsidR="004577EA" w:rsidRPr="004577EA" w:rsidRDefault="004577EA" w:rsidP="004577EA">
      <w:pPr>
        <w:shd w:val="clear" w:color="auto" w:fill="FFFFFF"/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</w:pP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– Market Anomaly (2.5E-07): Kriz ve şok dönemlerinin hacim üzerinde çok keskin bir etkisi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vardır.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– PPK (0.02): PPK haftalarının etkisi istatistiksel olarak anlamlıdır (%95 güven aralığında).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3. Detaylı İstatistiksel Terimler Sözlüğü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Model çıktısında yer alan her bir istatistiksel terimin anlamı ve bu projeki yorumu: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A. Regresyon İstatistikleri (Regression Statistics) Modelin genel performansını ölçen metrik-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lerdir.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Multiple R (Çoklu Korelasyon Katsayısı): Tahmin edilen hacim ile gerçekleşen hacim arasın-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daki ilişkinin gücünü gösterir (0 ile 1 arası). %84 olması, ilişkinin çok güçlü olduğunu belirtir.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R Square (R Kare): Modelin açıklama gücüdür. Bağımsız değişkenlerin, bağımlı değişkendeki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(Hacim) varyansın %70.9’unu açıkladığını gösterir.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Adjusted R Square (Düzeltilmiş R Kare): Değişken sayısı arttıkça R Kare yapay olarak arta-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bilir. Düzeltilmiş R Kare, gereksiz değişken eklenmesini cezalandıran daha güvenilir bir metriktir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(%67.8).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Standard Error (Standart Hata): Tahminlerin ortalama sapma payıdır. Gerçek değerlerin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regresyon doğrusundan ne kadar saptığını gösterir. Düşük olması iyidir.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Observations (Gözlem Sayısı): Modelin eğitildiği veri noktası sayısıdır (54 hafta).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B. ANOVA (Varyans Analizi) Tablosu Modelin değişkenliğinin kaynağını (Model vs Hata) analiz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eder.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df (Degrees of Freedom - Serbestlik Derecesi): İstatistiksel hesaplamalarda kullanılan bağım-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sız bilgi parçasının sayısıdır.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lastRenderedPageBreak/>
        <w:t>• SS (Sum of Squares - Kareler Toplamı): Verideki toplam değişkenliği (Varyans) ifade eder.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– Regression SS: Modelin açıkladığı değişkenlik.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– Residual SS: Modelin açıklayamadığı (Hata) değişkenlik.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MS (Mean Square - Ortalama Kareler): Kareler toplamının serbestlik derecesine bölünmesiyle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bulunur (SS / df). Varyansı ifade eder.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F (F İstatistiği): Modelin bir bütün olarak anlamlı olup olmadığını test eder. MS(Regression) /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MS(Residual) oranıdır. Değerin yüksek olması (23.41), modelin açıklama gücünün hataya göre çok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yüksek olduğunu gösterir.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Significance F (Anlamlılık F): F değerinin p-değeridir. 7.79E-12 (0.00000000000779) gibi çok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küçük bir değer olması, modelin şans eseri oluşmadığını, istatistiksel olarak son derece anlamlı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olduğunu kanıtlar.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C. Katsayılar Tablosu (Coeﬀicients) Her bir değişkenin denkleme etkisini gösterir.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Intercept (Kesişim/Sabit Terim): Tüm bağımsız değişkenler 0 olduğunda, bağımlı değişkenin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(Log Hacim) alacağı baz değerdir (-0.82). Modelin başlangıç noktasını belirler.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Coeﬀicients (Katsayılar): İlgili değişkenin 1 birim artmasının, sonucu ne kadar değiştireceğini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gösterir. Örn: w/TLREF 1 birim artarsa, sonuç 0.41 birim artar.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Standard Error (Standart Hata): Katsayının hesaplanmasındaki belirsizlik/hata payıdır.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t Stat (t İstatistiği): Katsayının 0’dan anlamlı derecede farklı olup olmadığını test eder. (Katsayı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/ Standart Hata). Mutlak değerce 2’den büyük olması, değişkenin anlamlı olduğunu gösterir. (Örn: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w/TLREF t-stat: 9.20 -&gt; Çok güçlü anlamlı).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P-value (Olasılık Değeri): Değişkenin etkisinin tamamen şans eseri olma olasılığıdır. 0.05’ten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küçük değerler (Örn: w/TLREF 3.58E-12), değişkenin istatistiksel olarak anlamlı olduğunu gösterir.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• Lower/Upper 95% (Güven Aralığı): Katsayının %95 olasılıkla hangi aralıkta yer alacağını</w:t>
      </w:r>
      <w:r w:rsidRPr="004577EA">
        <w:rPr>
          <w:rFonts w:ascii="Arial" w:eastAsia="Times New Roman" w:hAnsi="Arial" w:cs="Arial"/>
          <w:noProof w:val="0"/>
          <w:color w:val="CCCCCC"/>
          <w:kern w:val="0"/>
          <w:sz w:val="20"/>
          <w:szCs w:val="20"/>
          <w:lang w:val="en-TR"/>
          <w14:ligatures w14:val="none"/>
        </w:rPr>
        <w:br/>
      </w:r>
      <w:r w:rsidRPr="004577EA">
        <w:rPr>
          <w:rFonts w:ascii="Times New Roman" w:eastAsia="Times New Roman" w:hAnsi="Times New Roman" w:cs="Times New Roman"/>
          <w:noProof w:val="0"/>
          <w:color w:val="CCCCCC"/>
          <w:kern w:val="0"/>
          <w:sz w:val="18"/>
          <w:szCs w:val="18"/>
          <w:lang w:val="en-TR"/>
          <w14:ligatures w14:val="none"/>
        </w:rPr>
        <w:t>gösterir. Aralığın 0’ı kapsamaması, değişkenin anlamlı olduğunun bir diğer kanıtıdır.</w:t>
      </w:r>
    </w:p>
    <w:p w14:paraId="7BF1E824" w14:textId="77777777" w:rsidR="004577EA" w:rsidRPr="004577EA" w:rsidRDefault="004577EA" w:rsidP="004577EA">
      <w:pPr>
        <w:rPr>
          <w:rFonts w:ascii="Times New Roman" w:eastAsia="Times New Roman" w:hAnsi="Times New Roman" w:cs="Times New Roman"/>
          <w:noProof w:val="0"/>
          <w:kern w:val="0"/>
          <w:lang w:val="en-TR"/>
          <w14:ligatures w14:val="none"/>
        </w:rPr>
      </w:pPr>
    </w:p>
    <w:p w14:paraId="2E72E04A" w14:textId="77777777" w:rsidR="00127761" w:rsidRDefault="00127761"/>
    <w:sectPr w:rsidR="001277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7EA"/>
    <w:rsid w:val="00127761"/>
    <w:rsid w:val="004577EA"/>
    <w:rsid w:val="005027C6"/>
    <w:rsid w:val="006761F5"/>
    <w:rsid w:val="007A702E"/>
    <w:rsid w:val="00AC7865"/>
    <w:rsid w:val="00E43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E2A359"/>
  <w15:chartTrackingRefBased/>
  <w15:docId w15:val="{A5F4AB47-83E4-0A44-B265-392EA8444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7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7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7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7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7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7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7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7EA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7EA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7EA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7EA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7EA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7EA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7EA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7EA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7EA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577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7EA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7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7EA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577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7EA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457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7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7EA"/>
    <w:rPr>
      <w:i/>
      <w:iCs/>
      <w:noProof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4577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1763</Words>
  <Characters>12314</Characters>
  <Application>Microsoft Office Word</Application>
  <DocSecurity>0</DocSecurity>
  <Lines>209</Lines>
  <Paragraphs>5</Paragraphs>
  <ScaleCrop>false</ScaleCrop>
  <Company/>
  <LinksUpToDate>false</LinksUpToDate>
  <CharactersWithSpaces>14145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 Mergen</dc:creator>
  <cp:keywords/>
  <dc:description/>
  <cp:lastModifiedBy>Can Mergen</cp:lastModifiedBy>
  <cp:revision>1</cp:revision>
  <dcterms:created xsi:type="dcterms:W3CDTF">2026-01-15T08:35:00Z</dcterms:created>
  <dcterms:modified xsi:type="dcterms:W3CDTF">2026-01-15T08:35:00Z</dcterms:modified>
</cp:coreProperties>
</file>