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A8E1" w14:textId="77777777" w:rsidR="00DE318C" w:rsidRDefault="00DE318C" w:rsidP="00DE318C">
      <w:pPr>
        <w:pStyle w:val="Default"/>
      </w:pPr>
    </w:p>
    <w:p w14:paraId="0848A831" w14:textId="77777777" w:rsidR="00DE318C" w:rsidRDefault="00E35D53" w:rsidP="00DE318C">
      <w:pPr>
        <w:pStyle w:val="Default"/>
        <w:rPr>
          <w:b/>
          <w:bCs/>
          <w:sz w:val="32"/>
          <w:szCs w:val="32"/>
        </w:rPr>
      </w:pPr>
      <w:r w:rsidRPr="088C5EBC">
        <w:rPr>
          <w:b/>
          <w:bCs/>
          <w:sz w:val="32"/>
          <w:szCs w:val="32"/>
        </w:rPr>
        <w:t>TaNDM</w:t>
      </w:r>
      <w:r w:rsidR="00DE318C" w:rsidRPr="088C5EBC">
        <w:rPr>
          <w:b/>
          <w:bCs/>
          <w:sz w:val="32"/>
          <w:szCs w:val="32"/>
        </w:rPr>
        <w:t xml:space="preserve"> </w:t>
      </w:r>
      <w:r w:rsidRPr="088C5EBC">
        <w:rPr>
          <w:b/>
          <w:bCs/>
          <w:sz w:val="32"/>
          <w:szCs w:val="32"/>
        </w:rPr>
        <w:t>–</w:t>
      </w:r>
      <w:r w:rsidR="00DE318C" w:rsidRPr="088C5EBC">
        <w:rPr>
          <w:b/>
          <w:bCs/>
          <w:sz w:val="32"/>
          <w:szCs w:val="32"/>
        </w:rPr>
        <w:t xml:space="preserve"> </w:t>
      </w:r>
      <w:r w:rsidRPr="088C5EBC">
        <w:rPr>
          <w:b/>
          <w:bCs/>
          <w:sz w:val="32"/>
          <w:szCs w:val="32"/>
        </w:rPr>
        <w:t xml:space="preserve">Tract and Neighbourhood Data Modelling </w:t>
      </w:r>
    </w:p>
    <w:p w14:paraId="1A4273F0" w14:textId="758A0127" w:rsidR="2BE4695D" w:rsidRDefault="2BE4695D" w:rsidP="00EB3AEB">
      <w:pPr>
        <w:rPr>
          <w:rFonts w:ascii="Calibri" w:eastAsia="Calibri" w:hAnsi="Calibri" w:cs="Calibri"/>
          <w:color w:val="000000" w:themeColor="text1"/>
          <w:sz w:val="24"/>
          <w:szCs w:val="24"/>
        </w:rPr>
      </w:pPr>
      <w:r w:rsidRPr="00EB3AEB">
        <w:rPr>
          <w:rFonts w:eastAsia="Calibri"/>
          <w:color w:val="000000" w:themeColor="text1"/>
          <w:sz w:val="28"/>
          <w:szCs w:val="28"/>
        </w:rPr>
        <w:t>Developing building energy and emissions inventories</w:t>
      </w:r>
    </w:p>
    <w:p w14:paraId="66691B5E" w14:textId="77777777" w:rsidR="00E35D53" w:rsidRDefault="00E35D53" w:rsidP="00DE318C">
      <w:pPr>
        <w:pStyle w:val="Default"/>
        <w:rPr>
          <w:sz w:val="32"/>
          <w:szCs w:val="32"/>
        </w:rPr>
      </w:pPr>
    </w:p>
    <w:p w14:paraId="694BCE7F" w14:textId="77777777" w:rsidR="00DE318C" w:rsidRDefault="00E35D53" w:rsidP="00DE318C">
      <w:pPr>
        <w:pStyle w:val="Default"/>
        <w:rPr>
          <w:sz w:val="23"/>
          <w:szCs w:val="23"/>
        </w:rPr>
      </w:pPr>
      <w:r>
        <w:rPr>
          <w:b/>
          <w:bCs/>
          <w:sz w:val="23"/>
          <w:szCs w:val="23"/>
        </w:rPr>
        <w:t xml:space="preserve">Steering Committee </w:t>
      </w:r>
      <w:r w:rsidR="00DE318C">
        <w:rPr>
          <w:b/>
          <w:bCs/>
          <w:sz w:val="23"/>
          <w:szCs w:val="23"/>
        </w:rPr>
        <w:t xml:space="preserve">- Terms of Reference </w:t>
      </w:r>
    </w:p>
    <w:p w14:paraId="1C3DC6D0" w14:textId="77777777" w:rsidR="00E35D53" w:rsidRDefault="00E35D53" w:rsidP="00DE318C">
      <w:pPr>
        <w:pStyle w:val="Default"/>
        <w:rPr>
          <w:sz w:val="22"/>
          <w:szCs w:val="22"/>
        </w:rPr>
      </w:pPr>
    </w:p>
    <w:p w14:paraId="0900E9E4" w14:textId="67CD05E1" w:rsidR="00DE318C" w:rsidRDefault="00E35D53" w:rsidP="00DE318C">
      <w:pPr>
        <w:pStyle w:val="Default"/>
        <w:rPr>
          <w:sz w:val="22"/>
          <w:szCs w:val="22"/>
        </w:rPr>
      </w:pPr>
      <w:r>
        <w:rPr>
          <w:sz w:val="22"/>
          <w:szCs w:val="22"/>
        </w:rPr>
        <w:t>Natural Resources Canada’s Canadian Energy End-use Mapping Project and the province of British Columbia</w:t>
      </w:r>
      <w:r w:rsidR="00DE318C">
        <w:rPr>
          <w:sz w:val="22"/>
          <w:szCs w:val="22"/>
        </w:rPr>
        <w:t xml:space="preserve"> seek to </w:t>
      </w:r>
      <w:r w:rsidR="00CA6C22">
        <w:rPr>
          <w:sz w:val="22"/>
          <w:szCs w:val="22"/>
        </w:rPr>
        <w:t>demonstrate the</w:t>
      </w:r>
      <w:r w:rsidR="008F0557">
        <w:rPr>
          <w:sz w:val="22"/>
          <w:szCs w:val="22"/>
        </w:rPr>
        <w:t xml:space="preserve"> </w:t>
      </w:r>
      <w:hyperlink r:id="rId10" w:history="1">
        <w:r w:rsidR="008F0557" w:rsidRPr="008F0557">
          <w:rPr>
            <w:rStyle w:val="Hyperlink"/>
            <w:sz w:val="22"/>
            <w:szCs w:val="22"/>
          </w:rPr>
          <w:t>Tract and Neighbourhood Data Modelling (</w:t>
        </w:r>
        <w:r w:rsidR="00CA6C22" w:rsidRPr="008F0557">
          <w:rPr>
            <w:rStyle w:val="Hyperlink"/>
            <w:sz w:val="22"/>
            <w:szCs w:val="22"/>
          </w:rPr>
          <w:t>TaNDM</w:t>
        </w:r>
        <w:r w:rsidR="008F0557" w:rsidRPr="008F0557">
          <w:rPr>
            <w:rStyle w:val="Hyperlink"/>
            <w:sz w:val="22"/>
            <w:szCs w:val="22"/>
          </w:rPr>
          <w:t>)</w:t>
        </w:r>
      </w:hyperlink>
      <w:r w:rsidR="00CA6C22">
        <w:rPr>
          <w:sz w:val="22"/>
          <w:szCs w:val="22"/>
        </w:rPr>
        <w:t xml:space="preserve"> method of developing building energy and emissions inventories for the purpose of building stock energy model validation and municipal inventory development. </w:t>
      </w:r>
      <w:r w:rsidR="00DE318C">
        <w:rPr>
          <w:sz w:val="22"/>
          <w:szCs w:val="22"/>
        </w:rPr>
        <w:t xml:space="preserve">To solicit input from </w:t>
      </w:r>
      <w:r w:rsidR="00CA6C22">
        <w:rPr>
          <w:sz w:val="22"/>
          <w:szCs w:val="22"/>
        </w:rPr>
        <w:t>relevant utility, provincial</w:t>
      </w:r>
      <w:r w:rsidR="00DE318C">
        <w:rPr>
          <w:sz w:val="22"/>
          <w:szCs w:val="22"/>
        </w:rPr>
        <w:t>,</w:t>
      </w:r>
      <w:r w:rsidR="00CA6C22">
        <w:rPr>
          <w:sz w:val="22"/>
          <w:szCs w:val="22"/>
        </w:rPr>
        <w:t xml:space="preserve"> municipal stakeholders, supported by contractors,</w:t>
      </w:r>
      <w:r w:rsidR="00DE318C">
        <w:rPr>
          <w:sz w:val="22"/>
          <w:szCs w:val="22"/>
        </w:rPr>
        <w:t xml:space="preserve"> NRCan’s CanmetENERGY</w:t>
      </w:r>
      <w:r w:rsidR="00822840">
        <w:rPr>
          <w:sz w:val="22"/>
          <w:szCs w:val="22"/>
        </w:rPr>
        <w:t>-Ottawa</w:t>
      </w:r>
      <w:r w:rsidR="00DE318C">
        <w:rPr>
          <w:sz w:val="22"/>
          <w:szCs w:val="22"/>
        </w:rPr>
        <w:t xml:space="preserve"> </w:t>
      </w:r>
      <w:r w:rsidR="00BB64C7">
        <w:rPr>
          <w:sz w:val="22"/>
          <w:szCs w:val="22"/>
        </w:rPr>
        <w:t xml:space="preserve">(CE-O) </w:t>
      </w:r>
      <w:r w:rsidR="00DE318C">
        <w:rPr>
          <w:sz w:val="22"/>
          <w:szCs w:val="22"/>
        </w:rPr>
        <w:t xml:space="preserve">is convening the </w:t>
      </w:r>
      <w:r w:rsidR="00CA6C22">
        <w:rPr>
          <w:sz w:val="22"/>
          <w:szCs w:val="22"/>
        </w:rPr>
        <w:t>TaNDM Steering Committee.</w:t>
      </w:r>
    </w:p>
    <w:p w14:paraId="03197885" w14:textId="77777777" w:rsidR="00E35D53" w:rsidRDefault="00E35D53" w:rsidP="00DE318C">
      <w:pPr>
        <w:pStyle w:val="Default"/>
        <w:rPr>
          <w:sz w:val="22"/>
          <w:szCs w:val="22"/>
        </w:rPr>
      </w:pPr>
    </w:p>
    <w:p w14:paraId="03312BA2" w14:textId="580A2791" w:rsidR="00CA6C22" w:rsidRDefault="00CA6C22" w:rsidP="00CA6C22">
      <w:pPr>
        <w:rPr>
          <w:rFonts w:cstheme="minorHAnsi"/>
        </w:rPr>
      </w:pPr>
      <w:r>
        <w:rPr>
          <w:rFonts w:cstheme="minorHAnsi"/>
        </w:rPr>
        <w:t xml:space="preserve">The </w:t>
      </w:r>
      <w:r w:rsidRPr="008F0557">
        <w:rPr>
          <w:rFonts w:cstheme="minorHAnsi"/>
        </w:rPr>
        <w:t>TaNDM</w:t>
      </w:r>
      <w:r w:rsidR="008F0557">
        <w:rPr>
          <w:rFonts w:cstheme="minorHAnsi"/>
        </w:rPr>
        <w:t xml:space="preserve"> </w:t>
      </w:r>
      <w:r w:rsidRPr="008F0557">
        <w:rPr>
          <w:rFonts w:cstheme="minorHAnsi"/>
        </w:rPr>
        <w:t>project</w:t>
      </w:r>
      <w:r>
        <w:rPr>
          <w:rFonts w:cstheme="minorHAnsi"/>
        </w:rPr>
        <w:t xml:space="preserve"> was a research initiative that ran from 2010 through 2013 aiming to improve the structure, level of geography and quality of the </w:t>
      </w:r>
      <w:hyperlink r:id="rId11" w:history="1">
        <w:r w:rsidR="001501DB" w:rsidRPr="001501DB">
          <w:rPr>
            <w:rStyle w:val="Hyperlink"/>
            <w:rFonts w:cstheme="minorHAnsi"/>
          </w:rPr>
          <w:t>Community Energy and Emissions Inventories (</w:t>
        </w:r>
        <w:r w:rsidRPr="001501DB">
          <w:rPr>
            <w:rStyle w:val="Hyperlink"/>
            <w:rFonts w:cstheme="minorHAnsi"/>
          </w:rPr>
          <w:t>CEEI</w:t>
        </w:r>
        <w:r w:rsidR="001501DB" w:rsidRPr="001501DB">
          <w:rPr>
            <w:rStyle w:val="Hyperlink"/>
            <w:rFonts w:cstheme="minorHAnsi"/>
          </w:rPr>
          <w:t>)</w:t>
        </w:r>
      </w:hyperlink>
      <w:r>
        <w:rPr>
          <w:rFonts w:cstheme="minorHAnsi"/>
        </w:rPr>
        <w:t xml:space="preserve"> reports with a focus on energy and emissions in buildings. The TaNDM method, is a bottom-up spatial method to link parcel, building type and measured utility data at a low level of g</w:t>
      </w:r>
      <w:r w:rsidR="0075539D">
        <w:rPr>
          <w:rFonts w:cstheme="minorHAnsi"/>
        </w:rPr>
        <w:t xml:space="preserve">eography and aggregate it </w:t>
      </w:r>
      <w:r>
        <w:rPr>
          <w:rFonts w:cstheme="minorHAnsi"/>
        </w:rPr>
        <w:t xml:space="preserve">by building type to census tract and municipal scale geographies, ensuring the aggregation meets a privacy threshold. The Intellectual Property for the method is retained by NRCan and cross-licensed to the Province of British Columbia via the Ministry of Environment Climate Change Secretariat. </w:t>
      </w:r>
    </w:p>
    <w:p w14:paraId="6285112A" w14:textId="189D06B9" w:rsidR="00E92A88" w:rsidRDefault="00BB64C7" w:rsidP="00CA6C22">
      <w:pPr>
        <w:rPr>
          <w:rFonts w:cstheme="minorHAnsi"/>
          <w:color w:val="FF0000"/>
        </w:rPr>
      </w:pPr>
      <w:r>
        <w:t xml:space="preserve">TaNDM is being re-initiated by NRCan’s CE-O in conjunction with the Canadian Energy End-use Mapping (CEE Map) project. This project is </w:t>
      </w:r>
      <w:r w:rsidR="00377A4C">
        <w:t>develop</w:t>
      </w:r>
      <w:r>
        <w:t>ing</w:t>
      </w:r>
      <w:r w:rsidR="00E92A88">
        <w:t xml:space="preserve"> an online building energy end-use and efficiency opportunities map </w:t>
      </w:r>
      <w:r w:rsidR="00377A4C">
        <w:t>with</w:t>
      </w:r>
      <w:r w:rsidR="00E92A88">
        <w:t xml:space="preserve"> associated data, best practices and standards to accelerate the uptake of building energy retrofits and the transition to a low carbon economy.</w:t>
      </w:r>
      <w:r>
        <w:t xml:space="preserve"> TaNDM is of interest to NRCan CE-O and CEE Map as </w:t>
      </w:r>
      <w:r w:rsidR="008B0320">
        <w:t xml:space="preserve">the method potentially enables access to utility data for building stock energy model validation and calibration. </w:t>
      </w:r>
    </w:p>
    <w:p w14:paraId="1063AADE" w14:textId="77777777" w:rsidR="00DE318C" w:rsidRDefault="00DE318C" w:rsidP="00DE318C">
      <w:pPr>
        <w:pStyle w:val="Default"/>
        <w:rPr>
          <w:sz w:val="22"/>
          <w:szCs w:val="22"/>
        </w:rPr>
      </w:pPr>
      <w:r>
        <w:rPr>
          <w:b/>
          <w:bCs/>
          <w:sz w:val="22"/>
          <w:szCs w:val="22"/>
        </w:rPr>
        <w:t xml:space="preserve">Purpose </w:t>
      </w:r>
    </w:p>
    <w:p w14:paraId="5A9EB5EC" w14:textId="77777777" w:rsidR="00DE318C" w:rsidRDefault="00DE318C" w:rsidP="00DE318C">
      <w:pPr>
        <w:pStyle w:val="Default"/>
        <w:rPr>
          <w:sz w:val="22"/>
          <w:szCs w:val="22"/>
        </w:rPr>
      </w:pPr>
    </w:p>
    <w:p w14:paraId="15B6088E" w14:textId="5E0D41C9" w:rsidR="0075539D" w:rsidRDefault="00DE318C" w:rsidP="00DE318C">
      <w:pPr>
        <w:pStyle w:val="Default"/>
        <w:rPr>
          <w:sz w:val="22"/>
          <w:szCs w:val="22"/>
        </w:rPr>
      </w:pPr>
      <w:r>
        <w:rPr>
          <w:sz w:val="22"/>
          <w:szCs w:val="22"/>
        </w:rPr>
        <w:t xml:space="preserve">The purpose of the TaNDM Steering committee is to help ensure </w:t>
      </w:r>
      <w:r w:rsidR="00CA6C22">
        <w:rPr>
          <w:sz w:val="22"/>
          <w:szCs w:val="22"/>
        </w:rPr>
        <w:t>the TaNDM demonstration is effectively carried out</w:t>
      </w:r>
      <w:r w:rsidR="00066863">
        <w:rPr>
          <w:sz w:val="22"/>
          <w:szCs w:val="22"/>
        </w:rPr>
        <w:t xml:space="preserve">. </w:t>
      </w:r>
      <w:r w:rsidR="0075539D">
        <w:rPr>
          <w:sz w:val="22"/>
          <w:szCs w:val="22"/>
        </w:rPr>
        <w:t xml:space="preserve">The committee will provide oversight to the process such that the </w:t>
      </w:r>
    </w:p>
    <w:p w14:paraId="208E060F" w14:textId="56B234A3" w:rsidR="00E92A88" w:rsidRPr="00AF2DCF" w:rsidRDefault="00CA6C22" w:rsidP="06D4CF8A">
      <w:r>
        <w:t xml:space="preserve">method </w:t>
      </w:r>
      <w:r w:rsidR="00066863">
        <w:t>is practical to implement and</w:t>
      </w:r>
      <w:r w:rsidR="0075539D">
        <w:t xml:space="preserve"> </w:t>
      </w:r>
      <w:r>
        <w:t>resulting data</w:t>
      </w:r>
      <w:r w:rsidR="0075539D">
        <w:t xml:space="preserve"> </w:t>
      </w:r>
      <w:r w:rsidR="00066863">
        <w:t>is relevant for stakeholders and f</w:t>
      </w:r>
      <w:r w:rsidR="0075539D">
        <w:t>ollow</w:t>
      </w:r>
      <w:r w:rsidR="00066863">
        <w:t>s</w:t>
      </w:r>
      <w:r w:rsidR="0075539D">
        <w:t xml:space="preserve"> security </w:t>
      </w:r>
      <w:r w:rsidR="00066863">
        <w:t>and privacy requirements.</w:t>
      </w:r>
      <w:r w:rsidR="00E92A88" w:rsidRPr="6AB1699D">
        <w:t xml:space="preserve"> Anticipated benefits to the province of BC including supporting existing BC buildings-related initiatives such as </w:t>
      </w:r>
      <w:hyperlink r:id="rId12">
        <w:r w:rsidR="00E92A88" w:rsidRPr="6AB1699D">
          <w:rPr>
            <w:rStyle w:val="Hyperlink"/>
            <w:b/>
            <w:bCs/>
          </w:rPr>
          <w:t>Clean BC</w:t>
        </w:r>
      </w:hyperlink>
      <w:r w:rsidR="00E92A88" w:rsidRPr="6AB1699D">
        <w:rPr>
          <w:b/>
          <w:bCs/>
        </w:rPr>
        <w:t xml:space="preserve">, </w:t>
      </w:r>
      <w:hyperlink r:id="rId13">
        <w:r w:rsidR="00E92A88" w:rsidRPr="6AB1699D">
          <w:rPr>
            <w:rStyle w:val="Hyperlink"/>
            <w:b/>
            <w:bCs/>
          </w:rPr>
          <w:t>Better Buildings Strategy</w:t>
        </w:r>
      </w:hyperlink>
      <w:r w:rsidR="00E92A88" w:rsidRPr="6AB1699D">
        <w:rPr>
          <w:b/>
          <w:bCs/>
        </w:rPr>
        <w:t xml:space="preserve"> </w:t>
      </w:r>
      <w:r w:rsidR="00E92A88" w:rsidRPr="6AB1699D">
        <w:t>and an anticipated Alterations Code.</w:t>
      </w:r>
      <w:r w:rsidR="00E92A88" w:rsidRPr="6AB1699D">
        <w:rPr>
          <w:b/>
          <w:bCs/>
        </w:rPr>
        <w:t xml:space="preserve"> </w:t>
      </w:r>
      <w:r w:rsidR="00E92A88" w:rsidRPr="6AB1699D">
        <w:t xml:space="preserve">There is an increasing need for data that accurately captures the value of policies, programs and investments. Planners need data at finer spatial resolutions to take to councils to justify evidence base policy and monitor and capture the impacts and value of policies programs and investments. This can provide the justification to recalibrate policies and programs based on quantitative evidence. Anticipated benefits for Fortis include support of strategic objectives and goals including </w:t>
      </w:r>
      <w:hyperlink r:id="rId14">
        <w:r w:rsidR="00E92A88" w:rsidRPr="6AB1699D">
          <w:rPr>
            <w:rStyle w:val="Hyperlink"/>
            <w:b/>
            <w:bCs/>
          </w:rPr>
          <w:t>FortisBC’s 30by30 target</w:t>
        </w:r>
      </w:hyperlink>
      <w:r w:rsidR="00E92A88" w:rsidRPr="6AB1699D">
        <w:t xml:space="preserve"> and geographic support for municipal </w:t>
      </w:r>
      <w:hyperlink r:id="rId15">
        <w:r w:rsidR="00E92A88" w:rsidRPr="6AB1699D">
          <w:rPr>
            <w:rStyle w:val="Hyperlink"/>
            <w:b/>
            <w:bCs/>
          </w:rPr>
          <w:t>FortisBC’s Climate Action Partners</w:t>
        </w:r>
      </w:hyperlink>
      <w:r w:rsidR="00E92A88" w:rsidRPr="6AB1699D">
        <w:rPr>
          <w:b/>
          <w:bCs/>
        </w:rPr>
        <w:t>.</w:t>
      </w:r>
      <w:r w:rsidR="00E92A88" w:rsidRPr="6AB1699D">
        <w:t xml:space="preserve"> </w:t>
      </w:r>
    </w:p>
    <w:p w14:paraId="0372ED7B" w14:textId="1B2F26B7" w:rsidR="00DE318C" w:rsidRDefault="00066863" w:rsidP="00DE318C">
      <w:pPr>
        <w:pStyle w:val="Default"/>
        <w:rPr>
          <w:sz w:val="22"/>
          <w:szCs w:val="22"/>
        </w:rPr>
      </w:pPr>
      <w:r w:rsidRPr="6AB1699D">
        <w:rPr>
          <w:sz w:val="22"/>
          <w:szCs w:val="22"/>
        </w:rPr>
        <w:t>A co-benefit is that members will gain knowledge of the method and its implementation.</w:t>
      </w:r>
    </w:p>
    <w:p w14:paraId="6B0D3C81" w14:textId="77777777" w:rsidR="00DE318C" w:rsidRDefault="00DE318C" w:rsidP="00DE318C">
      <w:pPr>
        <w:pStyle w:val="Default"/>
        <w:rPr>
          <w:sz w:val="22"/>
          <w:szCs w:val="22"/>
        </w:rPr>
      </w:pPr>
    </w:p>
    <w:p w14:paraId="1D304E89" w14:textId="77777777" w:rsidR="00272F82" w:rsidRDefault="00272F82" w:rsidP="00DE318C">
      <w:pPr>
        <w:pStyle w:val="Default"/>
        <w:rPr>
          <w:sz w:val="22"/>
          <w:szCs w:val="22"/>
        </w:rPr>
      </w:pPr>
    </w:p>
    <w:p w14:paraId="75D7233C" w14:textId="3A3BA4DC" w:rsidR="00DE318C" w:rsidRDefault="00DE318C" w:rsidP="00DE318C">
      <w:pPr>
        <w:pStyle w:val="Default"/>
        <w:rPr>
          <w:sz w:val="22"/>
          <w:szCs w:val="22"/>
        </w:rPr>
      </w:pPr>
      <w:r>
        <w:rPr>
          <w:sz w:val="22"/>
          <w:szCs w:val="22"/>
        </w:rPr>
        <w:lastRenderedPageBreak/>
        <w:t xml:space="preserve">Specific duties of the Steering committee will include: </w:t>
      </w:r>
    </w:p>
    <w:p w14:paraId="596FB719" w14:textId="580A1B6F" w:rsidR="00DE318C" w:rsidRDefault="00CA6C22" w:rsidP="00ED729B">
      <w:pPr>
        <w:pStyle w:val="Default"/>
        <w:numPr>
          <w:ilvl w:val="0"/>
          <w:numId w:val="4"/>
        </w:numPr>
        <w:spacing w:after="58"/>
        <w:rPr>
          <w:sz w:val="22"/>
          <w:szCs w:val="22"/>
        </w:rPr>
      </w:pPr>
      <w:r w:rsidRPr="6AB1699D">
        <w:rPr>
          <w:sz w:val="22"/>
          <w:szCs w:val="22"/>
        </w:rPr>
        <w:t>Participation in monthly one-</w:t>
      </w:r>
      <w:r w:rsidR="00DE318C" w:rsidRPr="6AB1699D">
        <w:rPr>
          <w:sz w:val="22"/>
          <w:szCs w:val="22"/>
        </w:rPr>
        <w:t>hour meetings, any necessary side-meetings and one workshop</w:t>
      </w:r>
    </w:p>
    <w:p w14:paraId="2DD00F21" w14:textId="6F6DCADD" w:rsidR="00CA6C22" w:rsidRDefault="0056680C" w:rsidP="00ED729B">
      <w:pPr>
        <w:pStyle w:val="Default"/>
        <w:numPr>
          <w:ilvl w:val="0"/>
          <w:numId w:val="4"/>
        </w:numPr>
        <w:spacing w:after="58"/>
        <w:rPr>
          <w:sz w:val="22"/>
          <w:szCs w:val="22"/>
        </w:rPr>
      </w:pPr>
      <w:r w:rsidRPr="6AB1699D">
        <w:rPr>
          <w:sz w:val="22"/>
          <w:szCs w:val="22"/>
        </w:rPr>
        <w:t>R</w:t>
      </w:r>
      <w:r w:rsidR="00CA6C22" w:rsidRPr="6AB1699D">
        <w:rPr>
          <w:sz w:val="22"/>
          <w:szCs w:val="22"/>
        </w:rPr>
        <w:t>eview</w:t>
      </w:r>
      <w:r w:rsidRPr="6AB1699D">
        <w:rPr>
          <w:sz w:val="22"/>
          <w:szCs w:val="22"/>
        </w:rPr>
        <w:t xml:space="preserve">ing </w:t>
      </w:r>
      <w:r w:rsidR="00ED729B" w:rsidRPr="6AB1699D">
        <w:rPr>
          <w:sz w:val="22"/>
          <w:szCs w:val="22"/>
        </w:rPr>
        <w:t>memos, data attribute lists, workflows, conceptual models and other materials related to the method</w:t>
      </w:r>
      <w:r w:rsidR="00066863" w:rsidRPr="6AB1699D">
        <w:rPr>
          <w:sz w:val="22"/>
          <w:szCs w:val="22"/>
        </w:rPr>
        <w:t xml:space="preserve"> </w:t>
      </w:r>
    </w:p>
    <w:p w14:paraId="21E11EAF" w14:textId="77777777" w:rsidR="00DE318C" w:rsidRDefault="00ED729B" w:rsidP="00ED729B">
      <w:pPr>
        <w:pStyle w:val="Default"/>
        <w:numPr>
          <w:ilvl w:val="0"/>
          <w:numId w:val="4"/>
        </w:numPr>
        <w:spacing w:after="58"/>
        <w:rPr>
          <w:sz w:val="22"/>
          <w:szCs w:val="22"/>
        </w:rPr>
      </w:pPr>
      <w:r>
        <w:rPr>
          <w:sz w:val="22"/>
          <w:szCs w:val="22"/>
        </w:rPr>
        <w:t xml:space="preserve">Reviewing the agenda, attendees list and meeting materials </w:t>
      </w:r>
      <w:r w:rsidR="0075539D">
        <w:rPr>
          <w:sz w:val="22"/>
          <w:szCs w:val="22"/>
        </w:rPr>
        <w:t>in advance of</w:t>
      </w:r>
      <w:r>
        <w:rPr>
          <w:sz w:val="22"/>
          <w:szCs w:val="22"/>
        </w:rPr>
        <w:t xml:space="preserve"> the workshop</w:t>
      </w:r>
    </w:p>
    <w:p w14:paraId="5462F42B" w14:textId="77777777" w:rsidR="00ED729B" w:rsidRDefault="00DE318C" w:rsidP="00ED729B">
      <w:pPr>
        <w:pStyle w:val="Default"/>
        <w:numPr>
          <w:ilvl w:val="0"/>
          <w:numId w:val="4"/>
        </w:numPr>
        <w:spacing w:after="58"/>
        <w:rPr>
          <w:sz w:val="22"/>
          <w:szCs w:val="22"/>
        </w:rPr>
      </w:pPr>
      <w:r>
        <w:rPr>
          <w:sz w:val="22"/>
          <w:szCs w:val="22"/>
        </w:rPr>
        <w:t xml:space="preserve">Reviewing reports and providing feedback </w:t>
      </w:r>
      <w:r w:rsidR="0075539D">
        <w:rPr>
          <w:sz w:val="22"/>
          <w:szCs w:val="22"/>
        </w:rPr>
        <w:t>on the data outputs of the method</w:t>
      </w:r>
    </w:p>
    <w:p w14:paraId="733DF23B" w14:textId="77777777" w:rsidR="0075539D" w:rsidRDefault="0075539D" w:rsidP="00ED729B">
      <w:pPr>
        <w:pStyle w:val="Default"/>
        <w:numPr>
          <w:ilvl w:val="0"/>
          <w:numId w:val="4"/>
        </w:numPr>
        <w:spacing w:after="58"/>
        <w:rPr>
          <w:sz w:val="22"/>
          <w:szCs w:val="22"/>
        </w:rPr>
      </w:pPr>
      <w:r>
        <w:rPr>
          <w:sz w:val="22"/>
          <w:szCs w:val="22"/>
        </w:rPr>
        <w:t xml:space="preserve">Supporting any follow-on communications of TaNDM results </w:t>
      </w:r>
    </w:p>
    <w:p w14:paraId="2A82AEC1" w14:textId="77777777" w:rsidR="00DE318C" w:rsidRDefault="00DE318C" w:rsidP="00DE318C">
      <w:pPr>
        <w:pStyle w:val="Default"/>
        <w:rPr>
          <w:sz w:val="22"/>
          <w:szCs w:val="22"/>
        </w:rPr>
      </w:pPr>
    </w:p>
    <w:p w14:paraId="7276FC8D" w14:textId="77777777" w:rsidR="00DE318C" w:rsidRDefault="00DE318C" w:rsidP="00DE318C">
      <w:pPr>
        <w:pStyle w:val="Default"/>
        <w:rPr>
          <w:sz w:val="22"/>
          <w:szCs w:val="22"/>
        </w:rPr>
      </w:pPr>
      <w:r>
        <w:rPr>
          <w:b/>
          <w:bCs/>
          <w:sz w:val="22"/>
          <w:szCs w:val="22"/>
        </w:rPr>
        <w:t xml:space="preserve">Scope </w:t>
      </w:r>
    </w:p>
    <w:p w14:paraId="59C39047" w14:textId="77777777" w:rsidR="00066863" w:rsidRDefault="00066863" w:rsidP="00DE318C">
      <w:pPr>
        <w:pStyle w:val="Default"/>
        <w:rPr>
          <w:sz w:val="22"/>
          <w:szCs w:val="22"/>
        </w:rPr>
      </w:pPr>
    </w:p>
    <w:p w14:paraId="3E82D2BA" w14:textId="609A41E5" w:rsidR="00DE318C" w:rsidRDefault="00DE318C" w:rsidP="00DE318C">
      <w:pPr>
        <w:pStyle w:val="Default"/>
        <w:rPr>
          <w:sz w:val="22"/>
          <w:szCs w:val="22"/>
        </w:rPr>
      </w:pPr>
      <w:r w:rsidRPr="6AB1699D">
        <w:rPr>
          <w:sz w:val="22"/>
          <w:szCs w:val="22"/>
        </w:rPr>
        <w:t>We recognize that a there are many potential applications for measured electricity and natural gas data by building type at the municipal scale. The scope of the current project includes its use for verification of building stock energy models and use in the creation of energy and emissions inventories for buildings for municipalities.  Based on consultation with committee members, changes to the building categories and the BCA Building Information Report are being requested that will support the calculation of Energy Use Intensity (EUI) and Greenhouse Gas intensity (</w:t>
      </w:r>
      <w:proofErr w:type="spellStart"/>
      <w:r w:rsidRPr="6AB1699D">
        <w:rPr>
          <w:sz w:val="22"/>
          <w:szCs w:val="22"/>
        </w:rPr>
        <w:t>GHGi</w:t>
      </w:r>
      <w:proofErr w:type="spellEnd"/>
      <w:r w:rsidRPr="6AB1699D">
        <w:rPr>
          <w:sz w:val="22"/>
          <w:szCs w:val="22"/>
        </w:rPr>
        <w:t xml:space="preserve">) which can serve the needs of a broad range of actors. </w:t>
      </w:r>
    </w:p>
    <w:p w14:paraId="41D3930C" w14:textId="77777777" w:rsidR="00DE318C" w:rsidRDefault="00DE318C" w:rsidP="00DE318C">
      <w:pPr>
        <w:pStyle w:val="Default"/>
        <w:rPr>
          <w:b/>
          <w:bCs/>
          <w:sz w:val="22"/>
          <w:szCs w:val="22"/>
        </w:rPr>
      </w:pPr>
    </w:p>
    <w:p w14:paraId="6CBD119E" w14:textId="77777777" w:rsidR="00DE318C" w:rsidRDefault="00DE318C" w:rsidP="00DE318C">
      <w:pPr>
        <w:pStyle w:val="Default"/>
        <w:rPr>
          <w:sz w:val="22"/>
          <w:szCs w:val="22"/>
        </w:rPr>
      </w:pPr>
      <w:r>
        <w:rPr>
          <w:b/>
          <w:bCs/>
          <w:sz w:val="22"/>
          <w:szCs w:val="22"/>
        </w:rPr>
        <w:t xml:space="preserve">Membership </w:t>
      </w:r>
    </w:p>
    <w:tbl>
      <w:tblPr>
        <w:tblStyle w:val="TableGrid"/>
        <w:tblW w:w="0" w:type="auto"/>
        <w:tblLook w:val="04A0" w:firstRow="1" w:lastRow="0" w:firstColumn="1" w:lastColumn="0" w:noHBand="0" w:noVBand="1"/>
      </w:tblPr>
      <w:tblGrid>
        <w:gridCol w:w="2405"/>
        <w:gridCol w:w="2835"/>
        <w:gridCol w:w="4110"/>
      </w:tblGrid>
      <w:tr w:rsidR="004C3F9D" w14:paraId="7433A6FE" w14:textId="77777777" w:rsidTr="088C5EBC">
        <w:tc>
          <w:tcPr>
            <w:tcW w:w="2405" w:type="dxa"/>
            <w:shd w:val="clear" w:color="auto" w:fill="2E74B5" w:themeFill="accent1" w:themeFillShade="BF"/>
          </w:tcPr>
          <w:p w14:paraId="2C59C792" w14:textId="77777777" w:rsidR="004C3F9D" w:rsidRPr="004C3F9D" w:rsidRDefault="004C3F9D">
            <w:pPr>
              <w:rPr>
                <w:b/>
                <w:color w:val="FFFFFF" w:themeColor="background1"/>
              </w:rPr>
            </w:pPr>
            <w:r w:rsidRPr="004C3F9D">
              <w:rPr>
                <w:b/>
                <w:color w:val="FFFFFF" w:themeColor="background1"/>
              </w:rPr>
              <w:t xml:space="preserve">Category </w:t>
            </w:r>
          </w:p>
        </w:tc>
        <w:tc>
          <w:tcPr>
            <w:tcW w:w="2835" w:type="dxa"/>
            <w:shd w:val="clear" w:color="auto" w:fill="2E74B5" w:themeFill="accent1" w:themeFillShade="BF"/>
          </w:tcPr>
          <w:p w14:paraId="0B49F88B" w14:textId="77777777" w:rsidR="004C3F9D" w:rsidRPr="004C3F9D" w:rsidRDefault="004C3F9D">
            <w:pPr>
              <w:rPr>
                <w:b/>
                <w:color w:val="FFFFFF" w:themeColor="background1"/>
              </w:rPr>
            </w:pPr>
            <w:r w:rsidRPr="004C3F9D">
              <w:rPr>
                <w:b/>
                <w:color w:val="FFFFFF" w:themeColor="background1"/>
              </w:rPr>
              <w:t>Individual</w:t>
            </w:r>
          </w:p>
        </w:tc>
        <w:tc>
          <w:tcPr>
            <w:tcW w:w="4110" w:type="dxa"/>
            <w:shd w:val="clear" w:color="auto" w:fill="2E74B5" w:themeFill="accent1" w:themeFillShade="BF"/>
          </w:tcPr>
          <w:p w14:paraId="2FD0B16E" w14:textId="77777777" w:rsidR="004C3F9D" w:rsidRPr="004C3F9D" w:rsidRDefault="004C3F9D">
            <w:pPr>
              <w:rPr>
                <w:b/>
                <w:color w:val="FFFFFF" w:themeColor="background1"/>
              </w:rPr>
            </w:pPr>
            <w:r w:rsidRPr="004C3F9D">
              <w:rPr>
                <w:b/>
                <w:color w:val="FFFFFF" w:themeColor="background1"/>
              </w:rPr>
              <w:t>Organization</w:t>
            </w:r>
          </w:p>
        </w:tc>
      </w:tr>
      <w:tr w:rsidR="009E02A2" w14:paraId="0CDB8361" w14:textId="77777777" w:rsidTr="088C5EBC">
        <w:tc>
          <w:tcPr>
            <w:tcW w:w="2405" w:type="dxa"/>
            <w:vMerge w:val="restart"/>
            <w:shd w:val="clear" w:color="auto" w:fill="BDD6EE" w:themeFill="accent1" w:themeFillTint="66"/>
          </w:tcPr>
          <w:p w14:paraId="7C9A5CE6" w14:textId="77777777" w:rsidR="009E02A2" w:rsidRDefault="009E02A2">
            <w:r>
              <w:t xml:space="preserve">Utility </w:t>
            </w:r>
          </w:p>
        </w:tc>
        <w:tc>
          <w:tcPr>
            <w:tcW w:w="2835" w:type="dxa"/>
          </w:tcPr>
          <w:p w14:paraId="48EAE2DC" w14:textId="240D304D" w:rsidR="009E02A2" w:rsidRDefault="009E02A2">
            <w:r w:rsidRPr="00012036">
              <w:t>Jaime-Ann Leu</w:t>
            </w:r>
          </w:p>
        </w:tc>
        <w:tc>
          <w:tcPr>
            <w:tcW w:w="4110" w:type="dxa"/>
            <w:vMerge w:val="restart"/>
          </w:tcPr>
          <w:p w14:paraId="760DDCC6" w14:textId="77777777" w:rsidR="009E02A2" w:rsidRDefault="009E02A2">
            <w:r>
              <w:t>FortisBC</w:t>
            </w:r>
          </w:p>
        </w:tc>
      </w:tr>
      <w:tr w:rsidR="009E02A2" w14:paraId="6DE3C568" w14:textId="77777777" w:rsidTr="088C5EBC">
        <w:tc>
          <w:tcPr>
            <w:tcW w:w="2405" w:type="dxa"/>
            <w:vMerge/>
          </w:tcPr>
          <w:p w14:paraId="75453152" w14:textId="77777777" w:rsidR="009E02A2" w:rsidRDefault="009E02A2"/>
        </w:tc>
        <w:tc>
          <w:tcPr>
            <w:tcW w:w="2835" w:type="dxa"/>
          </w:tcPr>
          <w:p w14:paraId="7A820707" w14:textId="0838A80F" w:rsidR="009E02A2" w:rsidRPr="00822840" w:rsidRDefault="009E02A2">
            <w:pPr>
              <w:rPr>
                <w:color w:val="FF0000"/>
              </w:rPr>
            </w:pPr>
            <w:r w:rsidRPr="00012036">
              <w:t>James Allen</w:t>
            </w:r>
          </w:p>
        </w:tc>
        <w:tc>
          <w:tcPr>
            <w:tcW w:w="4110" w:type="dxa"/>
            <w:vMerge/>
          </w:tcPr>
          <w:p w14:paraId="69549BA4" w14:textId="62630456" w:rsidR="009E02A2" w:rsidRDefault="009E02A2"/>
        </w:tc>
      </w:tr>
      <w:tr w:rsidR="009E02A2" w14:paraId="19A0C7A7" w14:textId="77777777" w:rsidTr="088C5EBC">
        <w:tc>
          <w:tcPr>
            <w:tcW w:w="2405" w:type="dxa"/>
            <w:vMerge/>
          </w:tcPr>
          <w:p w14:paraId="5C4BE5FF" w14:textId="77777777" w:rsidR="009E02A2" w:rsidRDefault="009E02A2" w:rsidP="00ED729B"/>
        </w:tc>
        <w:tc>
          <w:tcPr>
            <w:tcW w:w="2835" w:type="dxa"/>
          </w:tcPr>
          <w:p w14:paraId="66C34598" w14:textId="28DD43EF" w:rsidR="009E02A2" w:rsidRDefault="009E02A2" w:rsidP="00ED729B">
            <w:r>
              <w:t>Matthew Wood</w:t>
            </w:r>
          </w:p>
        </w:tc>
        <w:tc>
          <w:tcPr>
            <w:tcW w:w="4110" w:type="dxa"/>
            <w:vMerge/>
          </w:tcPr>
          <w:p w14:paraId="6C51CFE0" w14:textId="0BAA374E" w:rsidR="009E02A2" w:rsidRDefault="009E02A2" w:rsidP="00ED729B"/>
        </w:tc>
      </w:tr>
      <w:tr w:rsidR="009E02A2" w14:paraId="07EED5A9" w14:textId="77777777" w:rsidTr="088C5EBC">
        <w:tc>
          <w:tcPr>
            <w:tcW w:w="2405" w:type="dxa"/>
            <w:vMerge w:val="restart"/>
            <w:shd w:val="clear" w:color="auto" w:fill="BDD6EE" w:themeFill="accent1" w:themeFillTint="66"/>
          </w:tcPr>
          <w:p w14:paraId="48180E23" w14:textId="77777777" w:rsidR="009E02A2" w:rsidRDefault="009E02A2" w:rsidP="00ED729B">
            <w:r>
              <w:t>Provincial Government</w:t>
            </w:r>
          </w:p>
        </w:tc>
        <w:tc>
          <w:tcPr>
            <w:tcW w:w="2835" w:type="dxa"/>
          </w:tcPr>
          <w:p w14:paraId="5DE31E98" w14:textId="77777777" w:rsidR="009E02A2" w:rsidRDefault="009E02A2" w:rsidP="00ED729B">
            <w:r>
              <w:t>Ken Porter</w:t>
            </w:r>
          </w:p>
        </w:tc>
        <w:tc>
          <w:tcPr>
            <w:tcW w:w="4110" w:type="dxa"/>
            <w:vMerge w:val="restart"/>
          </w:tcPr>
          <w:p w14:paraId="6D198ACD" w14:textId="77777777" w:rsidR="009E02A2" w:rsidRDefault="009E02A2" w:rsidP="00ED729B">
            <w:r>
              <w:t>Ministry of Environment – Climate Change Secretariat</w:t>
            </w:r>
          </w:p>
        </w:tc>
      </w:tr>
      <w:tr w:rsidR="009E02A2" w14:paraId="5C5DD2F4" w14:textId="77777777" w:rsidTr="088C5EBC">
        <w:tc>
          <w:tcPr>
            <w:tcW w:w="2405" w:type="dxa"/>
            <w:vMerge/>
          </w:tcPr>
          <w:p w14:paraId="7087592F" w14:textId="77777777" w:rsidR="009E02A2" w:rsidRDefault="009E02A2" w:rsidP="00ED729B"/>
        </w:tc>
        <w:tc>
          <w:tcPr>
            <w:tcW w:w="2835" w:type="dxa"/>
          </w:tcPr>
          <w:p w14:paraId="13754109" w14:textId="7046BF76" w:rsidR="009E02A2" w:rsidRDefault="009E02A2" w:rsidP="00ED729B">
            <w:r>
              <w:t>Robyn Hutchings</w:t>
            </w:r>
          </w:p>
        </w:tc>
        <w:tc>
          <w:tcPr>
            <w:tcW w:w="4110" w:type="dxa"/>
            <w:vMerge/>
          </w:tcPr>
          <w:p w14:paraId="144CAB8C" w14:textId="560AE864" w:rsidR="009E02A2" w:rsidRDefault="009E02A2" w:rsidP="00ED729B"/>
        </w:tc>
      </w:tr>
      <w:tr w:rsidR="009E02A2" w14:paraId="17CF56DF" w14:textId="77777777" w:rsidTr="088C5EBC">
        <w:tc>
          <w:tcPr>
            <w:tcW w:w="2405" w:type="dxa"/>
            <w:vMerge/>
          </w:tcPr>
          <w:p w14:paraId="7A984F50" w14:textId="77777777" w:rsidR="009E02A2" w:rsidRDefault="009E02A2" w:rsidP="00ED729B"/>
        </w:tc>
        <w:tc>
          <w:tcPr>
            <w:tcW w:w="2835" w:type="dxa"/>
          </w:tcPr>
          <w:p w14:paraId="4027B3C9" w14:textId="7F7F23EF" w:rsidR="009E02A2" w:rsidRDefault="009E02A2" w:rsidP="00ED729B">
            <w:r>
              <w:t>Elizabeth Lytviak</w:t>
            </w:r>
          </w:p>
        </w:tc>
        <w:tc>
          <w:tcPr>
            <w:tcW w:w="4110" w:type="dxa"/>
            <w:vMerge/>
          </w:tcPr>
          <w:p w14:paraId="4E290C72" w14:textId="7B822A9A" w:rsidR="009E02A2" w:rsidRDefault="009E02A2" w:rsidP="00ED729B"/>
        </w:tc>
      </w:tr>
      <w:tr w:rsidR="009E02A2" w14:paraId="430A2DBE" w14:textId="77777777" w:rsidTr="088C5EBC">
        <w:tc>
          <w:tcPr>
            <w:tcW w:w="2405" w:type="dxa"/>
            <w:vMerge/>
          </w:tcPr>
          <w:p w14:paraId="6B4E7671" w14:textId="77777777" w:rsidR="009E02A2" w:rsidRDefault="009E02A2" w:rsidP="007F7DE9"/>
        </w:tc>
        <w:tc>
          <w:tcPr>
            <w:tcW w:w="2835" w:type="dxa"/>
          </w:tcPr>
          <w:p w14:paraId="3C22C250" w14:textId="567988E4" w:rsidR="009E02A2" w:rsidRPr="004C3F9D" w:rsidRDefault="009E02A2" w:rsidP="007F7DE9">
            <w:r w:rsidRPr="004C3F9D">
              <w:t>Gurdeep Singh</w:t>
            </w:r>
          </w:p>
        </w:tc>
        <w:tc>
          <w:tcPr>
            <w:tcW w:w="4110" w:type="dxa"/>
            <w:vMerge w:val="restart"/>
          </w:tcPr>
          <w:p w14:paraId="1C855B3E" w14:textId="0F858865" w:rsidR="009E02A2" w:rsidRDefault="009E02A2" w:rsidP="007F7DE9">
            <w:r>
              <w:t>GeoBC</w:t>
            </w:r>
          </w:p>
        </w:tc>
      </w:tr>
      <w:tr w:rsidR="009E02A2" w14:paraId="1D65A496" w14:textId="77777777" w:rsidTr="088C5EBC">
        <w:tc>
          <w:tcPr>
            <w:tcW w:w="2405" w:type="dxa"/>
            <w:vMerge/>
          </w:tcPr>
          <w:p w14:paraId="1672C438" w14:textId="77777777" w:rsidR="009E02A2" w:rsidRDefault="009E02A2" w:rsidP="007F7DE9"/>
        </w:tc>
        <w:tc>
          <w:tcPr>
            <w:tcW w:w="2835" w:type="dxa"/>
          </w:tcPr>
          <w:p w14:paraId="4BDE4932" w14:textId="77777777" w:rsidR="009E02A2" w:rsidRDefault="009E02A2" w:rsidP="007F7DE9">
            <w:r w:rsidRPr="004C3F9D">
              <w:t>John Antill</w:t>
            </w:r>
          </w:p>
        </w:tc>
        <w:tc>
          <w:tcPr>
            <w:tcW w:w="4110" w:type="dxa"/>
            <w:vMerge/>
          </w:tcPr>
          <w:p w14:paraId="29AAED7D" w14:textId="35DF56EE" w:rsidR="009E02A2" w:rsidRDefault="009E02A2" w:rsidP="007F7DE9"/>
        </w:tc>
      </w:tr>
      <w:tr w:rsidR="009E02A2" w14:paraId="1A66CA5A" w14:textId="77777777" w:rsidTr="088C5EBC">
        <w:tc>
          <w:tcPr>
            <w:tcW w:w="2405" w:type="dxa"/>
            <w:vMerge/>
          </w:tcPr>
          <w:p w14:paraId="5F67CF9A" w14:textId="77777777" w:rsidR="009E02A2" w:rsidRDefault="009E02A2" w:rsidP="007F7DE9"/>
        </w:tc>
        <w:tc>
          <w:tcPr>
            <w:tcW w:w="2835" w:type="dxa"/>
          </w:tcPr>
          <w:p w14:paraId="2C94413B" w14:textId="09194668" w:rsidR="009E02A2" w:rsidRDefault="009E02A2" w:rsidP="007F7DE9">
            <w:r w:rsidRPr="000B3C98">
              <w:t>Scott Williams</w:t>
            </w:r>
          </w:p>
        </w:tc>
        <w:tc>
          <w:tcPr>
            <w:tcW w:w="4110" w:type="dxa"/>
          </w:tcPr>
          <w:p w14:paraId="4E9738B1" w14:textId="77777777" w:rsidR="009E02A2" w:rsidRDefault="009E02A2" w:rsidP="007F7DE9">
            <w:r>
              <w:t>Building Safety and Standards Branch</w:t>
            </w:r>
          </w:p>
        </w:tc>
      </w:tr>
      <w:tr w:rsidR="009E02A2" w14:paraId="43738EC1" w14:textId="77777777" w:rsidTr="088C5EBC">
        <w:tc>
          <w:tcPr>
            <w:tcW w:w="2405" w:type="dxa"/>
            <w:vMerge/>
          </w:tcPr>
          <w:p w14:paraId="746D8F52" w14:textId="77777777" w:rsidR="009E02A2" w:rsidRDefault="009E02A2" w:rsidP="007F7DE9"/>
        </w:tc>
        <w:tc>
          <w:tcPr>
            <w:tcW w:w="2835" w:type="dxa"/>
          </w:tcPr>
          <w:p w14:paraId="2A203892" w14:textId="4B83E87D" w:rsidR="009E02A2" w:rsidRDefault="009E02A2" w:rsidP="007F7DE9">
            <w:r>
              <w:t xml:space="preserve">Nairn Albrecht </w:t>
            </w:r>
          </w:p>
        </w:tc>
        <w:tc>
          <w:tcPr>
            <w:tcW w:w="4110" w:type="dxa"/>
            <w:vMerge w:val="restart"/>
          </w:tcPr>
          <w:p w14:paraId="31271594" w14:textId="7CC07410" w:rsidR="009E02A2" w:rsidRDefault="009E02A2" w:rsidP="007F7DE9">
            <w:r>
              <w:t>Energy Mines and Low Carbon Innovation</w:t>
            </w:r>
          </w:p>
        </w:tc>
      </w:tr>
      <w:tr w:rsidR="009E02A2" w14:paraId="34B513F0" w14:textId="77777777" w:rsidTr="088C5EBC">
        <w:tc>
          <w:tcPr>
            <w:tcW w:w="2405" w:type="dxa"/>
            <w:vMerge/>
          </w:tcPr>
          <w:p w14:paraId="43386099" w14:textId="77777777" w:rsidR="009E02A2" w:rsidRDefault="009E02A2" w:rsidP="007F7DE9"/>
        </w:tc>
        <w:tc>
          <w:tcPr>
            <w:tcW w:w="2835" w:type="dxa"/>
          </w:tcPr>
          <w:p w14:paraId="64DEA94B" w14:textId="0063D36C" w:rsidR="009E02A2" w:rsidRDefault="088C5EBC" w:rsidP="007F7DE9">
            <w:r>
              <w:t>Katherine Muncaster</w:t>
            </w:r>
          </w:p>
        </w:tc>
        <w:tc>
          <w:tcPr>
            <w:tcW w:w="4110" w:type="dxa"/>
            <w:vMerge/>
          </w:tcPr>
          <w:p w14:paraId="4D1188AC" w14:textId="7E3190C1" w:rsidR="009E02A2" w:rsidRDefault="009E02A2" w:rsidP="007F7DE9"/>
        </w:tc>
      </w:tr>
      <w:tr w:rsidR="009E02A2" w14:paraId="7DBBE5BA" w14:textId="77777777" w:rsidTr="088C5EBC">
        <w:tc>
          <w:tcPr>
            <w:tcW w:w="2405" w:type="dxa"/>
            <w:vMerge w:val="restart"/>
            <w:shd w:val="clear" w:color="auto" w:fill="BDD6EE" w:themeFill="accent1" w:themeFillTint="66"/>
          </w:tcPr>
          <w:p w14:paraId="21CAB5C8" w14:textId="62C0F99D" w:rsidR="009E02A2" w:rsidRDefault="009E02A2" w:rsidP="007F7DE9">
            <w:r>
              <w:t>Federal Government</w:t>
            </w:r>
          </w:p>
        </w:tc>
        <w:tc>
          <w:tcPr>
            <w:tcW w:w="2835" w:type="dxa"/>
          </w:tcPr>
          <w:p w14:paraId="78AC7A17" w14:textId="5E9E7F83" w:rsidR="009E02A2" w:rsidRPr="00654BD3" w:rsidRDefault="009E02A2" w:rsidP="007F7DE9">
            <w:pPr>
              <w:rPr>
                <w:color w:val="FF0000"/>
              </w:rPr>
            </w:pPr>
            <w:r w:rsidRPr="008B0320">
              <w:t>Jessica Webster</w:t>
            </w:r>
          </w:p>
        </w:tc>
        <w:tc>
          <w:tcPr>
            <w:tcW w:w="4110" w:type="dxa"/>
            <w:vMerge w:val="restart"/>
          </w:tcPr>
          <w:p w14:paraId="30E98E0D" w14:textId="77777777" w:rsidR="009E02A2" w:rsidRDefault="009E02A2" w:rsidP="007F7DE9">
            <w:r>
              <w:t>NRCan - CanmetENERGY-Ottawa</w:t>
            </w:r>
          </w:p>
          <w:p w14:paraId="0BD4CCA7" w14:textId="0852DF6A" w:rsidR="009E02A2" w:rsidRDefault="009E02A2" w:rsidP="00012036"/>
        </w:tc>
      </w:tr>
      <w:tr w:rsidR="009E02A2" w14:paraId="090C41D4" w14:textId="77777777" w:rsidTr="088C5EBC">
        <w:tc>
          <w:tcPr>
            <w:tcW w:w="2405" w:type="dxa"/>
            <w:vMerge/>
          </w:tcPr>
          <w:p w14:paraId="6ABE76C8" w14:textId="77777777" w:rsidR="009E02A2" w:rsidRDefault="009E02A2" w:rsidP="00012036"/>
        </w:tc>
        <w:tc>
          <w:tcPr>
            <w:tcW w:w="2835" w:type="dxa"/>
          </w:tcPr>
          <w:p w14:paraId="27DFB5D1" w14:textId="7440F32D" w:rsidR="009E02A2" w:rsidRPr="008B0320" w:rsidRDefault="009E02A2" w:rsidP="00012036">
            <w:r>
              <w:t>Meli Stylianou</w:t>
            </w:r>
          </w:p>
        </w:tc>
        <w:tc>
          <w:tcPr>
            <w:tcW w:w="4110" w:type="dxa"/>
            <w:vMerge/>
          </w:tcPr>
          <w:p w14:paraId="4C4EE0A0" w14:textId="50F061EC" w:rsidR="009E02A2" w:rsidRDefault="009E02A2" w:rsidP="00012036"/>
        </w:tc>
      </w:tr>
      <w:tr w:rsidR="009E02A2" w14:paraId="5E7D845B" w14:textId="77777777" w:rsidTr="088C5EBC">
        <w:tc>
          <w:tcPr>
            <w:tcW w:w="2405" w:type="dxa"/>
            <w:vMerge/>
          </w:tcPr>
          <w:p w14:paraId="2507C37C" w14:textId="77777777" w:rsidR="009E02A2" w:rsidRDefault="009E02A2" w:rsidP="00012036"/>
        </w:tc>
        <w:tc>
          <w:tcPr>
            <w:tcW w:w="2835" w:type="dxa"/>
          </w:tcPr>
          <w:p w14:paraId="35E32AFD" w14:textId="14E9E0A7" w:rsidR="009E02A2" w:rsidRPr="008B0320" w:rsidRDefault="009E02A2" w:rsidP="00012036">
            <w:r>
              <w:t>Joe Wang</w:t>
            </w:r>
          </w:p>
        </w:tc>
        <w:tc>
          <w:tcPr>
            <w:tcW w:w="4110" w:type="dxa"/>
          </w:tcPr>
          <w:p w14:paraId="66F4F590" w14:textId="1AFCA5EE" w:rsidR="009E02A2" w:rsidRDefault="009E02A2" w:rsidP="00012036">
            <w:r>
              <w:t>NRCan - Office of Energy Efficiency – Demand and Policy Analysis Division</w:t>
            </w:r>
          </w:p>
        </w:tc>
      </w:tr>
      <w:tr w:rsidR="00012036" w14:paraId="6832D66F" w14:textId="77777777" w:rsidTr="088C5EBC">
        <w:tc>
          <w:tcPr>
            <w:tcW w:w="2405" w:type="dxa"/>
            <w:shd w:val="clear" w:color="auto" w:fill="BDD6EE" w:themeFill="accent1" w:themeFillTint="66"/>
          </w:tcPr>
          <w:p w14:paraId="2C690037" w14:textId="4211DAD0" w:rsidR="00012036" w:rsidRDefault="00012036" w:rsidP="00012036">
            <w:r>
              <w:t>Property Assessment</w:t>
            </w:r>
          </w:p>
        </w:tc>
        <w:tc>
          <w:tcPr>
            <w:tcW w:w="2835" w:type="dxa"/>
          </w:tcPr>
          <w:p w14:paraId="533A0A55" w14:textId="2717F421" w:rsidR="00012036" w:rsidRDefault="00012036" w:rsidP="00012036">
            <w:r>
              <w:t>Tamara Sears</w:t>
            </w:r>
          </w:p>
        </w:tc>
        <w:tc>
          <w:tcPr>
            <w:tcW w:w="4110" w:type="dxa"/>
          </w:tcPr>
          <w:p w14:paraId="74AB3C3D" w14:textId="77777777" w:rsidR="00012036" w:rsidRDefault="00012036" w:rsidP="00012036">
            <w:r>
              <w:t>BC Assessment</w:t>
            </w:r>
          </w:p>
        </w:tc>
      </w:tr>
      <w:tr w:rsidR="00012036" w14:paraId="30A93B9F" w14:textId="77777777" w:rsidTr="088C5EBC">
        <w:tc>
          <w:tcPr>
            <w:tcW w:w="2405" w:type="dxa"/>
            <w:shd w:val="clear" w:color="auto" w:fill="BDD6EE" w:themeFill="accent1" w:themeFillTint="66"/>
          </w:tcPr>
          <w:p w14:paraId="01595E48" w14:textId="77777777" w:rsidR="00012036" w:rsidRDefault="00012036" w:rsidP="00012036">
            <w:r>
              <w:t>Municipal government</w:t>
            </w:r>
          </w:p>
        </w:tc>
        <w:tc>
          <w:tcPr>
            <w:tcW w:w="2835" w:type="dxa"/>
          </w:tcPr>
          <w:p w14:paraId="5C82B098" w14:textId="77777777" w:rsidR="00012036" w:rsidRDefault="00012036" w:rsidP="00012036">
            <w:r>
              <w:t>Chris Ray</w:t>
            </w:r>
          </w:p>
        </w:tc>
        <w:tc>
          <w:tcPr>
            <w:tcW w:w="4110" w:type="dxa"/>
          </w:tcPr>
          <w:p w14:paraId="1CBD9927" w14:textId="77777777" w:rsidR="00012036" w:rsidRDefault="00012036" w:rsidP="00012036">
            <w:r>
              <w:t>City of Kelowna</w:t>
            </w:r>
          </w:p>
        </w:tc>
      </w:tr>
      <w:tr w:rsidR="009E02A2" w14:paraId="17D9353F" w14:textId="77777777" w:rsidTr="088C5EBC">
        <w:tc>
          <w:tcPr>
            <w:tcW w:w="2405" w:type="dxa"/>
            <w:vMerge w:val="restart"/>
            <w:shd w:val="clear" w:color="auto" w:fill="BDD6EE" w:themeFill="accent1" w:themeFillTint="66"/>
          </w:tcPr>
          <w:p w14:paraId="6760FD0E" w14:textId="77777777" w:rsidR="009E02A2" w:rsidRDefault="009E02A2" w:rsidP="00012036">
            <w:r>
              <w:t>Consultants</w:t>
            </w:r>
          </w:p>
        </w:tc>
        <w:tc>
          <w:tcPr>
            <w:tcW w:w="2835" w:type="dxa"/>
          </w:tcPr>
          <w:p w14:paraId="0ED8E811" w14:textId="77777777" w:rsidR="009E02A2" w:rsidRDefault="009E02A2" w:rsidP="00012036">
            <w:r>
              <w:t>Brett Korteling</w:t>
            </w:r>
          </w:p>
        </w:tc>
        <w:tc>
          <w:tcPr>
            <w:tcW w:w="4110" w:type="dxa"/>
          </w:tcPr>
          <w:p w14:paraId="324B8FD2" w14:textId="77777777" w:rsidR="009E02A2" w:rsidRDefault="009E02A2" w:rsidP="00012036">
            <w:r>
              <w:t>Sustainability Solutions Group</w:t>
            </w:r>
          </w:p>
        </w:tc>
      </w:tr>
      <w:tr w:rsidR="009E02A2" w14:paraId="63999932" w14:textId="77777777" w:rsidTr="088C5EBC">
        <w:tc>
          <w:tcPr>
            <w:tcW w:w="2405" w:type="dxa"/>
            <w:vMerge/>
          </w:tcPr>
          <w:p w14:paraId="5E0834D7" w14:textId="77777777" w:rsidR="009E02A2" w:rsidRDefault="009E02A2" w:rsidP="00012036"/>
        </w:tc>
        <w:tc>
          <w:tcPr>
            <w:tcW w:w="2835" w:type="dxa"/>
          </w:tcPr>
          <w:p w14:paraId="7BE0166C" w14:textId="46CC3D62" w:rsidR="009E02A2" w:rsidRDefault="009E02A2" w:rsidP="00012036">
            <w:r>
              <w:t>Yuill Herbert</w:t>
            </w:r>
          </w:p>
        </w:tc>
        <w:tc>
          <w:tcPr>
            <w:tcW w:w="4110" w:type="dxa"/>
          </w:tcPr>
          <w:p w14:paraId="5EC9178E" w14:textId="6EE4932F" w:rsidR="009E02A2" w:rsidRDefault="009E02A2" w:rsidP="00012036">
            <w:r>
              <w:t>Sustainability Solutions Group</w:t>
            </w:r>
          </w:p>
        </w:tc>
      </w:tr>
      <w:tr w:rsidR="009E02A2" w14:paraId="52F3C26A" w14:textId="77777777" w:rsidTr="088C5EBC">
        <w:tc>
          <w:tcPr>
            <w:tcW w:w="2405" w:type="dxa"/>
            <w:vMerge/>
          </w:tcPr>
          <w:p w14:paraId="02DC7015" w14:textId="77777777" w:rsidR="009E02A2" w:rsidRDefault="009E02A2" w:rsidP="00012036"/>
        </w:tc>
        <w:tc>
          <w:tcPr>
            <w:tcW w:w="2835" w:type="dxa"/>
          </w:tcPr>
          <w:p w14:paraId="5DC47FF6" w14:textId="77777777" w:rsidR="009E02A2" w:rsidRDefault="009E02A2" w:rsidP="00012036">
            <w:r>
              <w:t>Aaron Licker</w:t>
            </w:r>
          </w:p>
        </w:tc>
        <w:tc>
          <w:tcPr>
            <w:tcW w:w="4110" w:type="dxa"/>
          </w:tcPr>
          <w:p w14:paraId="566DF242" w14:textId="77777777" w:rsidR="009E02A2" w:rsidRDefault="009E02A2" w:rsidP="00012036">
            <w:r>
              <w:t xml:space="preserve">Licker Geospatial </w:t>
            </w:r>
          </w:p>
        </w:tc>
      </w:tr>
    </w:tbl>
    <w:p w14:paraId="0F032C7C" w14:textId="77777777" w:rsidR="009E02A2" w:rsidRDefault="009E02A2" w:rsidP="0056680C">
      <w:pPr>
        <w:pStyle w:val="Default"/>
        <w:rPr>
          <w:b/>
          <w:bCs/>
          <w:sz w:val="22"/>
          <w:szCs w:val="22"/>
        </w:rPr>
      </w:pPr>
    </w:p>
    <w:p w14:paraId="6C7640AF" w14:textId="0CC57AC2" w:rsidR="0056680C" w:rsidRDefault="0056680C" w:rsidP="0056680C">
      <w:pPr>
        <w:pStyle w:val="Default"/>
        <w:rPr>
          <w:b/>
          <w:bCs/>
          <w:sz w:val="22"/>
          <w:szCs w:val="22"/>
        </w:rPr>
      </w:pPr>
      <w:r>
        <w:rPr>
          <w:b/>
          <w:bCs/>
          <w:sz w:val="22"/>
          <w:szCs w:val="22"/>
        </w:rPr>
        <w:t xml:space="preserve">Participation and Contributions </w:t>
      </w:r>
    </w:p>
    <w:p w14:paraId="0F9C7429" w14:textId="77777777" w:rsidR="0056680C" w:rsidRDefault="0056680C" w:rsidP="0056680C">
      <w:pPr>
        <w:pStyle w:val="Default"/>
        <w:rPr>
          <w:sz w:val="22"/>
          <w:szCs w:val="22"/>
        </w:rPr>
      </w:pPr>
    </w:p>
    <w:p w14:paraId="002102AB" w14:textId="77777777" w:rsidR="0056680C" w:rsidRDefault="0056680C" w:rsidP="0056680C">
      <w:pPr>
        <w:pStyle w:val="Default"/>
        <w:rPr>
          <w:sz w:val="22"/>
          <w:szCs w:val="22"/>
        </w:rPr>
      </w:pPr>
      <w:r>
        <w:rPr>
          <w:sz w:val="22"/>
          <w:szCs w:val="22"/>
        </w:rPr>
        <w:t>Funding for th</w:t>
      </w:r>
      <w:r w:rsidR="00ED729B">
        <w:rPr>
          <w:sz w:val="22"/>
          <w:szCs w:val="22"/>
        </w:rPr>
        <w:t xml:space="preserve">e proposed </w:t>
      </w:r>
      <w:proofErr w:type="spellStart"/>
      <w:r w:rsidR="00ED729B">
        <w:rPr>
          <w:sz w:val="22"/>
          <w:szCs w:val="22"/>
        </w:rPr>
        <w:t>Canmet</w:t>
      </w:r>
      <w:proofErr w:type="spellEnd"/>
      <w:r w:rsidR="00ED729B">
        <w:rPr>
          <w:sz w:val="22"/>
          <w:szCs w:val="22"/>
        </w:rPr>
        <w:t xml:space="preserve"> R&amp;D activities</w:t>
      </w:r>
      <w:r>
        <w:rPr>
          <w:sz w:val="22"/>
          <w:szCs w:val="22"/>
        </w:rPr>
        <w:t xml:space="preserve"> has been secured. No cash is envisioned changing hands. Steering Committee members w</w:t>
      </w:r>
      <w:r w:rsidR="004C3F9D">
        <w:rPr>
          <w:sz w:val="22"/>
          <w:szCs w:val="22"/>
        </w:rPr>
        <w:t>ill be expected to spend about 10</w:t>
      </w:r>
      <w:r>
        <w:rPr>
          <w:sz w:val="22"/>
          <w:szCs w:val="22"/>
        </w:rPr>
        <w:t xml:space="preserve"> days </w:t>
      </w:r>
      <w:r w:rsidR="004C3F9D">
        <w:rPr>
          <w:sz w:val="22"/>
          <w:szCs w:val="22"/>
        </w:rPr>
        <w:t xml:space="preserve">over the course of the term of the Steering Committee, </w:t>
      </w:r>
      <w:r>
        <w:rPr>
          <w:sz w:val="22"/>
          <w:szCs w:val="22"/>
        </w:rPr>
        <w:t xml:space="preserve">reviewing documents and participating in meetings. </w:t>
      </w:r>
    </w:p>
    <w:p w14:paraId="0D700F53" w14:textId="77777777" w:rsidR="0056680C" w:rsidRDefault="0056680C" w:rsidP="0056680C">
      <w:pPr>
        <w:pStyle w:val="Default"/>
        <w:rPr>
          <w:sz w:val="22"/>
          <w:szCs w:val="22"/>
        </w:rPr>
      </w:pPr>
    </w:p>
    <w:p w14:paraId="7CDB868B" w14:textId="77777777" w:rsidR="009E02A2" w:rsidRDefault="009E02A2" w:rsidP="0056680C">
      <w:pPr>
        <w:pStyle w:val="Default"/>
        <w:rPr>
          <w:b/>
          <w:bCs/>
          <w:sz w:val="22"/>
          <w:szCs w:val="22"/>
        </w:rPr>
      </w:pPr>
    </w:p>
    <w:p w14:paraId="1F089548" w14:textId="3A4E31F0" w:rsidR="0056680C" w:rsidRDefault="009E02A2" w:rsidP="0056680C">
      <w:pPr>
        <w:pStyle w:val="Default"/>
        <w:rPr>
          <w:sz w:val="22"/>
          <w:szCs w:val="22"/>
        </w:rPr>
      </w:pPr>
      <w:r>
        <w:rPr>
          <w:b/>
          <w:bCs/>
          <w:sz w:val="22"/>
          <w:szCs w:val="22"/>
        </w:rPr>
        <w:t>Solution Design, Demonstration and Follow-on Work</w:t>
      </w:r>
    </w:p>
    <w:p w14:paraId="2753C0DB" w14:textId="4BE39983" w:rsidR="0056680C" w:rsidRDefault="009E02A2" w:rsidP="0056680C">
      <w:pPr>
        <w:pStyle w:val="Default"/>
        <w:rPr>
          <w:sz w:val="22"/>
          <w:szCs w:val="22"/>
        </w:rPr>
      </w:pPr>
      <w:r>
        <w:rPr>
          <w:sz w:val="22"/>
          <w:szCs w:val="22"/>
        </w:rPr>
        <w:t xml:space="preserve">The process will see the steering committee step through the components of the method relating to buildings and energy data, its integration and aggregation, including the scripts. These components will be </w:t>
      </w:r>
      <w:r w:rsidR="003418F9">
        <w:rPr>
          <w:sz w:val="22"/>
          <w:szCs w:val="22"/>
        </w:rPr>
        <w:t>revisited</w:t>
      </w:r>
      <w:r>
        <w:rPr>
          <w:sz w:val="22"/>
          <w:szCs w:val="22"/>
        </w:rPr>
        <w:t xml:space="preserve"> and potentially updated to accommodate new requirements. After the </w:t>
      </w:r>
      <w:r w:rsidR="004C3F9D">
        <w:rPr>
          <w:sz w:val="22"/>
          <w:szCs w:val="22"/>
        </w:rPr>
        <w:t>workflow, scripts and data products are determine</w:t>
      </w:r>
      <w:r>
        <w:rPr>
          <w:sz w:val="22"/>
          <w:szCs w:val="22"/>
        </w:rPr>
        <w:t>d</w:t>
      </w:r>
      <w:r w:rsidR="004C3F9D">
        <w:rPr>
          <w:sz w:val="22"/>
          <w:szCs w:val="22"/>
        </w:rPr>
        <w:t xml:space="preserve"> and feasibility and applicability </w:t>
      </w:r>
      <w:proofErr w:type="gramStart"/>
      <w:r w:rsidR="0056680C">
        <w:rPr>
          <w:sz w:val="22"/>
          <w:szCs w:val="22"/>
        </w:rPr>
        <w:t>is</w:t>
      </w:r>
      <w:proofErr w:type="gramEnd"/>
      <w:r w:rsidR="0056680C">
        <w:rPr>
          <w:sz w:val="22"/>
          <w:szCs w:val="22"/>
        </w:rPr>
        <w:t xml:space="preserve"> established, </w:t>
      </w:r>
      <w:r>
        <w:rPr>
          <w:sz w:val="22"/>
          <w:szCs w:val="22"/>
        </w:rPr>
        <w:t xml:space="preserve">FortisBC will have a go-no go decision point at which it will approve the implementation of the method and carrying out the demonstration or not. </w:t>
      </w:r>
      <w:r w:rsidR="00275BD9">
        <w:rPr>
          <w:sz w:val="22"/>
          <w:szCs w:val="22"/>
        </w:rPr>
        <w:t>Should the revision and demonstration of the method be deemed a success and all parties are in consensus, NRCan’s intent is to assign an appropriate Open Government license to the method and publish the method, scripts and results of the demonstration through appropriate channels such as GitHub and peer</w:t>
      </w:r>
      <w:r w:rsidR="003418F9">
        <w:rPr>
          <w:sz w:val="22"/>
          <w:szCs w:val="22"/>
        </w:rPr>
        <w:t>-</w:t>
      </w:r>
      <w:r w:rsidR="00275BD9">
        <w:rPr>
          <w:sz w:val="22"/>
          <w:szCs w:val="22"/>
        </w:rPr>
        <w:t xml:space="preserve">reviewed journal articles. </w:t>
      </w:r>
      <w:r w:rsidR="0056680C">
        <w:rPr>
          <w:sz w:val="22"/>
          <w:szCs w:val="22"/>
        </w:rPr>
        <w:t xml:space="preserve">Steering Committee </w:t>
      </w:r>
      <w:r w:rsidR="00275BD9">
        <w:rPr>
          <w:sz w:val="22"/>
          <w:szCs w:val="22"/>
        </w:rPr>
        <w:t xml:space="preserve">members </w:t>
      </w:r>
      <w:r w:rsidR="0056680C">
        <w:rPr>
          <w:sz w:val="22"/>
          <w:szCs w:val="22"/>
        </w:rPr>
        <w:t xml:space="preserve">would </w:t>
      </w:r>
      <w:r w:rsidR="003418F9">
        <w:rPr>
          <w:sz w:val="22"/>
          <w:szCs w:val="22"/>
        </w:rPr>
        <w:t xml:space="preserve">then </w:t>
      </w:r>
      <w:r w:rsidR="00275BD9">
        <w:rPr>
          <w:sz w:val="22"/>
          <w:szCs w:val="22"/>
        </w:rPr>
        <w:t xml:space="preserve">have the option to </w:t>
      </w:r>
      <w:r w:rsidR="003418F9">
        <w:rPr>
          <w:sz w:val="22"/>
          <w:szCs w:val="22"/>
        </w:rPr>
        <w:t>communicate the results of the initiative, and</w:t>
      </w:r>
      <w:r w:rsidR="0056680C">
        <w:rPr>
          <w:sz w:val="22"/>
          <w:szCs w:val="22"/>
        </w:rPr>
        <w:t xml:space="preserve"> further demonstrat</w:t>
      </w:r>
      <w:r w:rsidR="003418F9">
        <w:rPr>
          <w:sz w:val="22"/>
          <w:szCs w:val="22"/>
        </w:rPr>
        <w:t>e</w:t>
      </w:r>
      <w:r w:rsidR="0056680C">
        <w:rPr>
          <w:sz w:val="22"/>
          <w:szCs w:val="22"/>
        </w:rPr>
        <w:t xml:space="preserve"> and deploy the </w:t>
      </w:r>
      <w:r w:rsidR="003418F9">
        <w:rPr>
          <w:sz w:val="22"/>
          <w:szCs w:val="22"/>
        </w:rPr>
        <w:t xml:space="preserve">revised TaNDM </w:t>
      </w:r>
      <w:r w:rsidR="0056680C">
        <w:rPr>
          <w:sz w:val="22"/>
          <w:szCs w:val="22"/>
        </w:rPr>
        <w:t xml:space="preserve">method in other </w:t>
      </w:r>
      <w:r w:rsidR="003418F9">
        <w:rPr>
          <w:sz w:val="22"/>
          <w:szCs w:val="22"/>
        </w:rPr>
        <w:t>jurisdictions.</w:t>
      </w:r>
    </w:p>
    <w:p w14:paraId="531A6B79" w14:textId="77777777" w:rsidR="0056680C" w:rsidRDefault="0056680C" w:rsidP="0056680C">
      <w:pPr>
        <w:pStyle w:val="Default"/>
        <w:rPr>
          <w:b/>
          <w:bCs/>
          <w:sz w:val="22"/>
          <w:szCs w:val="22"/>
        </w:rPr>
      </w:pPr>
    </w:p>
    <w:p w14:paraId="54982B17" w14:textId="77777777" w:rsidR="00CB0465" w:rsidRDefault="00CB0465" w:rsidP="0056680C">
      <w:pPr>
        <w:pStyle w:val="Default"/>
        <w:rPr>
          <w:b/>
          <w:bCs/>
          <w:sz w:val="22"/>
          <w:szCs w:val="22"/>
        </w:rPr>
      </w:pPr>
    </w:p>
    <w:p w14:paraId="3799D999" w14:textId="322E2BF5" w:rsidR="0056680C" w:rsidRDefault="008B0320" w:rsidP="0056680C">
      <w:pPr>
        <w:pStyle w:val="Default"/>
        <w:rPr>
          <w:sz w:val="22"/>
          <w:szCs w:val="22"/>
        </w:rPr>
      </w:pPr>
      <w:r>
        <w:rPr>
          <w:b/>
          <w:bCs/>
          <w:sz w:val="22"/>
          <w:szCs w:val="22"/>
        </w:rPr>
        <w:t xml:space="preserve">Meetings </w:t>
      </w:r>
    </w:p>
    <w:p w14:paraId="616A8D57" w14:textId="0FC45121" w:rsidR="0056680C" w:rsidRDefault="0056680C" w:rsidP="0056680C">
      <w:pPr>
        <w:pStyle w:val="Default"/>
        <w:rPr>
          <w:sz w:val="22"/>
          <w:szCs w:val="22"/>
        </w:rPr>
      </w:pPr>
      <w:r>
        <w:rPr>
          <w:sz w:val="22"/>
          <w:szCs w:val="22"/>
        </w:rPr>
        <w:t>The Steering Committee will</w:t>
      </w:r>
      <w:r w:rsidR="00822840">
        <w:rPr>
          <w:sz w:val="22"/>
          <w:szCs w:val="22"/>
        </w:rPr>
        <w:t xml:space="preserve"> commence in </w:t>
      </w:r>
      <w:r w:rsidR="007F7DE9">
        <w:rPr>
          <w:sz w:val="22"/>
          <w:szCs w:val="22"/>
        </w:rPr>
        <w:t xml:space="preserve">March </w:t>
      </w:r>
      <w:r w:rsidR="00822840">
        <w:rPr>
          <w:sz w:val="22"/>
          <w:szCs w:val="22"/>
        </w:rPr>
        <w:t>2022</w:t>
      </w:r>
      <w:r>
        <w:rPr>
          <w:sz w:val="22"/>
          <w:szCs w:val="22"/>
        </w:rPr>
        <w:t xml:space="preserve"> </w:t>
      </w:r>
      <w:r w:rsidR="00822840">
        <w:rPr>
          <w:sz w:val="22"/>
          <w:szCs w:val="22"/>
        </w:rPr>
        <w:t xml:space="preserve">and </w:t>
      </w:r>
      <w:r w:rsidR="007F7DE9">
        <w:rPr>
          <w:sz w:val="22"/>
          <w:szCs w:val="22"/>
        </w:rPr>
        <w:t xml:space="preserve">run </w:t>
      </w:r>
      <w:r>
        <w:rPr>
          <w:sz w:val="22"/>
          <w:szCs w:val="22"/>
        </w:rPr>
        <w:t xml:space="preserve">until </w:t>
      </w:r>
      <w:r w:rsidR="00654BD3">
        <w:rPr>
          <w:sz w:val="22"/>
          <w:szCs w:val="22"/>
        </w:rPr>
        <w:t>March 2023</w:t>
      </w:r>
      <w:r>
        <w:rPr>
          <w:sz w:val="22"/>
          <w:szCs w:val="22"/>
        </w:rPr>
        <w:t xml:space="preserve">. Meetings </w:t>
      </w:r>
      <w:r w:rsidR="00012036">
        <w:rPr>
          <w:sz w:val="22"/>
          <w:szCs w:val="22"/>
        </w:rPr>
        <w:t>will be held remotely</w:t>
      </w:r>
      <w:r>
        <w:rPr>
          <w:sz w:val="22"/>
          <w:szCs w:val="22"/>
        </w:rPr>
        <w:t xml:space="preserve"> </w:t>
      </w:r>
      <w:r w:rsidR="008B0320">
        <w:rPr>
          <w:sz w:val="22"/>
          <w:szCs w:val="22"/>
        </w:rPr>
        <w:t>on the fourth Wednesday of the month</w:t>
      </w:r>
      <w:r w:rsidR="00012036">
        <w:rPr>
          <w:sz w:val="22"/>
          <w:szCs w:val="22"/>
        </w:rPr>
        <w:t xml:space="preserve"> for one hour from 11 to noon Pacific, 2 to 3 pm Eastern</w:t>
      </w:r>
      <w:r w:rsidR="008B0320">
        <w:rPr>
          <w:sz w:val="22"/>
          <w:szCs w:val="22"/>
        </w:rPr>
        <w:t xml:space="preserve">. </w:t>
      </w:r>
      <w:r w:rsidR="004C3F9D">
        <w:rPr>
          <w:sz w:val="22"/>
          <w:szCs w:val="22"/>
        </w:rPr>
        <w:t xml:space="preserve"> </w:t>
      </w:r>
    </w:p>
    <w:p w14:paraId="0DC0C4DF" w14:textId="374D5556" w:rsidR="00CB0465" w:rsidRDefault="00CB0465" w:rsidP="0056680C">
      <w:pPr>
        <w:pStyle w:val="Default"/>
        <w:rPr>
          <w:sz w:val="22"/>
          <w:szCs w:val="22"/>
        </w:rPr>
      </w:pPr>
    </w:p>
    <w:p w14:paraId="2CCF922B" w14:textId="3F859D08" w:rsidR="00CB0465" w:rsidRDefault="008B0320" w:rsidP="0056680C">
      <w:pPr>
        <w:pStyle w:val="Default"/>
        <w:rPr>
          <w:sz w:val="22"/>
          <w:szCs w:val="22"/>
        </w:rPr>
      </w:pPr>
      <w:r>
        <w:rPr>
          <w:sz w:val="22"/>
          <w:szCs w:val="22"/>
        </w:rPr>
        <w:t xml:space="preserve">The November 2022 meeting will focus on confirmation of the revised method should be anticipated to be longer in a workshop format. </w:t>
      </w:r>
      <w:r w:rsidR="00012036">
        <w:rPr>
          <w:sz w:val="22"/>
          <w:szCs w:val="22"/>
        </w:rPr>
        <w:t xml:space="preserve">It </w:t>
      </w:r>
      <w:r>
        <w:rPr>
          <w:sz w:val="22"/>
          <w:szCs w:val="22"/>
        </w:rPr>
        <w:t>may be convened remotely or in person.</w:t>
      </w:r>
      <w:r w:rsidR="00CB0465">
        <w:rPr>
          <w:sz w:val="22"/>
          <w:szCs w:val="22"/>
        </w:rPr>
        <w:t xml:space="preserve"> </w:t>
      </w:r>
    </w:p>
    <w:p w14:paraId="4FBD255C" w14:textId="77777777" w:rsidR="004C3F9D" w:rsidRDefault="004C3F9D" w:rsidP="0056680C">
      <w:pPr>
        <w:pStyle w:val="Default"/>
        <w:rPr>
          <w:sz w:val="22"/>
          <w:szCs w:val="22"/>
        </w:rPr>
      </w:pPr>
    </w:p>
    <w:p w14:paraId="264F23B3" w14:textId="77777777" w:rsidR="0056680C" w:rsidRDefault="0056680C" w:rsidP="0056680C">
      <w:pPr>
        <w:pStyle w:val="Default"/>
        <w:rPr>
          <w:sz w:val="22"/>
          <w:szCs w:val="22"/>
        </w:rPr>
      </w:pPr>
      <w:r>
        <w:rPr>
          <w:sz w:val="22"/>
          <w:szCs w:val="22"/>
        </w:rPr>
        <w:t xml:space="preserve">Additional ad-hoc meetings may be held at the discretion of the Working Group. Recommendations will be based on consensus. An agenda will be provided in advance of each meeting and a document outlining key actions and recommendations will be distributed following each meeting. </w:t>
      </w:r>
    </w:p>
    <w:p w14:paraId="4519455F" w14:textId="77777777" w:rsidR="004C3F9D" w:rsidRDefault="004C3F9D" w:rsidP="0056680C">
      <w:pPr>
        <w:pStyle w:val="Default"/>
        <w:rPr>
          <w:sz w:val="22"/>
          <w:szCs w:val="22"/>
        </w:rPr>
      </w:pPr>
    </w:p>
    <w:p w14:paraId="758721F4" w14:textId="77777777" w:rsidR="0056680C" w:rsidRDefault="0056680C" w:rsidP="0056680C">
      <w:pPr>
        <w:pStyle w:val="Default"/>
        <w:rPr>
          <w:sz w:val="22"/>
          <w:szCs w:val="22"/>
        </w:rPr>
      </w:pPr>
      <w:r>
        <w:rPr>
          <w:b/>
          <w:bCs/>
          <w:sz w:val="22"/>
          <w:szCs w:val="22"/>
        </w:rPr>
        <w:t xml:space="preserve">Contact </w:t>
      </w:r>
    </w:p>
    <w:p w14:paraId="5C2E82AD" w14:textId="012ED332" w:rsidR="0056680C" w:rsidRDefault="0056680C" w:rsidP="0056680C">
      <w:r>
        <w:t xml:space="preserve">Please contact </w:t>
      </w:r>
      <w:r w:rsidR="004C3F9D">
        <w:t>Jessica Webster</w:t>
      </w:r>
      <w:r>
        <w:t xml:space="preserve"> with any comments or questions</w:t>
      </w:r>
      <w:r w:rsidR="008B0320">
        <w:t>:</w:t>
      </w:r>
    </w:p>
    <w:p w14:paraId="7F581C8E" w14:textId="77777777" w:rsidR="004C3F9D" w:rsidRPr="004C3F9D" w:rsidRDefault="004C3F9D" w:rsidP="004C3F9D">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Jessica Webster</w:t>
      </w:r>
    </w:p>
    <w:p w14:paraId="724C817F" w14:textId="77777777" w:rsidR="004C3F9D" w:rsidRPr="004C3F9D" w:rsidRDefault="004C3F9D" w:rsidP="004C3F9D">
      <w:pPr>
        <w:autoSpaceDE w:val="0"/>
        <w:autoSpaceDN w:val="0"/>
        <w:adjustRightInd w:val="0"/>
        <w:spacing w:after="0" w:line="240" w:lineRule="auto"/>
        <w:rPr>
          <w:rFonts w:ascii="Arial" w:hAnsi="Arial" w:cs="Arial"/>
          <w:color w:val="000000"/>
          <w:sz w:val="15"/>
          <w:szCs w:val="15"/>
        </w:rPr>
      </w:pPr>
      <w:r>
        <w:rPr>
          <w:rFonts w:ascii="Arial" w:hAnsi="Arial" w:cs="Arial"/>
          <w:color w:val="000000"/>
          <w:sz w:val="15"/>
          <w:szCs w:val="15"/>
        </w:rPr>
        <w:t>Energy Planning Analyst</w:t>
      </w:r>
      <w:r w:rsidRPr="004C3F9D">
        <w:rPr>
          <w:rFonts w:ascii="Arial" w:hAnsi="Arial" w:cs="Arial"/>
          <w:color w:val="000000"/>
          <w:sz w:val="15"/>
          <w:szCs w:val="15"/>
        </w:rPr>
        <w:t xml:space="preserve">, Buildings and Renewables Group </w:t>
      </w:r>
    </w:p>
    <w:p w14:paraId="7C10E689" w14:textId="77777777" w:rsidR="004C3F9D" w:rsidRPr="004C3F9D" w:rsidRDefault="004C3F9D" w:rsidP="004C3F9D">
      <w:pPr>
        <w:autoSpaceDE w:val="0"/>
        <w:autoSpaceDN w:val="0"/>
        <w:adjustRightInd w:val="0"/>
        <w:spacing w:after="0" w:line="240" w:lineRule="auto"/>
        <w:rPr>
          <w:rFonts w:ascii="Arial" w:hAnsi="Arial" w:cs="Arial"/>
          <w:color w:val="000000"/>
          <w:sz w:val="15"/>
          <w:szCs w:val="15"/>
        </w:rPr>
      </w:pPr>
      <w:proofErr w:type="spellStart"/>
      <w:r w:rsidRPr="004C3F9D">
        <w:rPr>
          <w:rFonts w:ascii="Arial" w:hAnsi="Arial" w:cs="Arial"/>
          <w:color w:val="000000"/>
          <w:sz w:val="15"/>
          <w:szCs w:val="15"/>
        </w:rPr>
        <w:t>CanmetENERGY</w:t>
      </w:r>
      <w:proofErr w:type="spellEnd"/>
      <w:r w:rsidRPr="004C3F9D">
        <w:rPr>
          <w:rFonts w:ascii="Arial" w:hAnsi="Arial" w:cs="Arial"/>
          <w:color w:val="000000"/>
          <w:sz w:val="15"/>
          <w:szCs w:val="15"/>
        </w:rPr>
        <w:t xml:space="preserve">, Natural Resources Canada </w:t>
      </w:r>
    </w:p>
    <w:p w14:paraId="2F690A49" w14:textId="77777777" w:rsidR="004C3F9D" w:rsidRDefault="004C3F9D" w:rsidP="004C3F9D">
      <w:r>
        <w:rPr>
          <w:rFonts w:ascii="Arial" w:hAnsi="Arial" w:cs="Arial"/>
          <w:color w:val="000000"/>
          <w:sz w:val="15"/>
          <w:szCs w:val="15"/>
        </w:rPr>
        <w:t>jessica.webster@nrcan-rncan.gc.ca</w:t>
      </w:r>
      <w:r w:rsidRPr="004C3F9D">
        <w:rPr>
          <w:rFonts w:ascii="Arial" w:hAnsi="Arial" w:cs="Arial"/>
          <w:color w:val="000000"/>
          <w:sz w:val="15"/>
          <w:szCs w:val="15"/>
        </w:rPr>
        <w:t xml:space="preserve"> | </w:t>
      </w:r>
      <w:r w:rsidRPr="004C3F9D">
        <w:rPr>
          <w:rFonts w:ascii="Wingdings" w:hAnsi="Wingdings" w:cs="Wingdings"/>
          <w:color w:val="000000"/>
          <w:sz w:val="20"/>
          <w:szCs w:val="20"/>
        </w:rPr>
        <w:t></w:t>
      </w:r>
      <w:r>
        <w:rPr>
          <w:rFonts w:ascii="Wingdings" w:hAnsi="Wingdings" w:cs="Wingdings"/>
          <w:color w:val="000000"/>
          <w:sz w:val="20"/>
          <w:szCs w:val="20"/>
        </w:rPr>
        <w:t></w:t>
      </w:r>
      <w:r>
        <w:rPr>
          <w:rFonts w:ascii="Arial" w:hAnsi="Arial" w:cs="Arial"/>
          <w:color w:val="000000"/>
          <w:sz w:val="15"/>
          <w:szCs w:val="15"/>
        </w:rPr>
        <w:t>343-571-9889</w:t>
      </w:r>
    </w:p>
    <w:sectPr w:rsidR="004C3F9D">
      <w:headerReference w:type="even" r:id="rId16"/>
      <w:headerReference w:type="default" r:id="rId17"/>
      <w:footerReference w:type="default" r:id="rId18"/>
      <w:head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16D17" w14:textId="77777777" w:rsidR="00FF4FEC" w:rsidRDefault="00FF4FEC" w:rsidP="004C3F9D">
      <w:pPr>
        <w:spacing w:after="0" w:line="240" w:lineRule="auto"/>
      </w:pPr>
      <w:r>
        <w:separator/>
      </w:r>
    </w:p>
  </w:endnote>
  <w:endnote w:type="continuationSeparator" w:id="0">
    <w:p w14:paraId="2F585C83" w14:textId="77777777" w:rsidR="00FF4FEC" w:rsidRDefault="00FF4FEC" w:rsidP="004C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DC10B" w14:textId="46407E8B" w:rsidR="0075539D" w:rsidRDefault="6AB1699D" w:rsidP="0075539D">
    <w:pPr>
      <w:pStyle w:val="Default"/>
      <w:rPr>
        <w:sz w:val="23"/>
        <w:szCs w:val="23"/>
      </w:rPr>
    </w:pPr>
    <w:r w:rsidRPr="6AB1699D">
      <w:rPr>
        <w:b/>
        <w:bCs/>
        <w:sz w:val="23"/>
        <w:szCs w:val="23"/>
      </w:rPr>
      <w:t xml:space="preserve">TaNDM Steering Committee: Final Terms of Reference </w:t>
    </w:r>
    <w:r w:rsidR="0075539D">
      <w:tab/>
    </w:r>
    <w:r w:rsidR="0075539D">
      <w:tab/>
    </w:r>
    <w:r w:rsidR="0075539D">
      <w:tab/>
    </w:r>
    <w:r w:rsidR="0075539D">
      <w:tab/>
    </w:r>
    <w:r w:rsidRPr="6AB1699D">
      <w:rPr>
        <w:b/>
        <w:bCs/>
        <w:sz w:val="23"/>
        <w:szCs w:val="23"/>
      </w:rPr>
      <w:t xml:space="preserve"> July 27, 2022</w:t>
    </w:r>
  </w:p>
  <w:p w14:paraId="7333A84C" w14:textId="77777777" w:rsidR="004C3F9D" w:rsidRDefault="004C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D4362" w14:textId="77777777" w:rsidR="00FF4FEC" w:rsidRDefault="00FF4FEC" w:rsidP="004C3F9D">
      <w:pPr>
        <w:spacing w:after="0" w:line="240" w:lineRule="auto"/>
      </w:pPr>
      <w:r>
        <w:separator/>
      </w:r>
    </w:p>
  </w:footnote>
  <w:footnote w:type="continuationSeparator" w:id="0">
    <w:p w14:paraId="5C098648" w14:textId="77777777" w:rsidR="00FF4FEC" w:rsidRDefault="00FF4FEC" w:rsidP="004C3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C469" w14:textId="1594CA25" w:rsidR="00346309" w:rsidRDefault="00346309">
    <w:pPr>
      <w:pStyle w:val="Header"/>
    </w:pPr>
    <w:r>
      <w:rPr>
        <w:noProof/>
      </w:rPr>
      <mc:AlternateContent>
        <mc:Choice Requires="wps">
          <w:drawing>
            <wp:anchor distT="0" distB="0" distL="0" distR="0" simplePos="0" relativeHeight="251659776" behindDoc="0" locked="0" layoutInCell="1" allowOverlap="1" wp14:anchorId="081B98D4" wp14:editId="6898AF81">
              <wp:simplePos x="635" y="635"/>
              <wp:positionH relativeFrom="page">
                <wp:align>right</wp:align>
              </wp:positionH>
              <wp:positionV relativeFrom="page">
                <wp:align>top</wp:align>
              </wp:positionV>
              <wp:extent cx="2181225" cy="391160"/>
              <wp:effectExtent l="0" t="0" r="0" b="8890"/>
              <wp:wrapNone/>
              <wp:docPr id="1608442819"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55EE224A" w14:textId="2BA65FB4"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81B98D4" id="_x0000_t202" coordsize="21600,21600" o:spt="202" path="m,l,21600r21600,l21600,xe">
              <v:stroke joinstyle="miter"/>
              <v:path gradientshapeok="t" o:connecttype="rect"/>
            </v:shapetype>
            <v:shape id="Text Box 2" o:spid="_x0000_s1026" type="#_x0000_t202" alt="UNCLASSIFIED - NON CLASSIFIÉ" style="position:absolute;margin-left:120.55pt;margin-top:0;width:171.75pt;height:30.8pt;z-index:25165977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" filled="f" stroked="f">
              <v:fill o:detectmouseclick="t"/>
              <v:textbox style="mso-fit-shape-to-text:t" inset="0,15pt,20pt,0">
                <w:txbxContent>
                  <w:p w14:paraId="55EE224A" w14:textId="2BA65FB4"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57E93" w14:textId="292AEC42" w:rsidR="004C3F9D" w:rsidRDefault="00346309">
    <w:pPr>
      <w:pStyle w:val="Header"/>
    </w:pPr>
    <w:r>
      <w:rPr>
        <w:noProof/>
      </w:rPr>
      <mc:AlternateContent>
        <mc:Choice Requires="wps">
          <w:drawing>
            <wp:anchor distT="0" distB="0" distL="0" distR="0" simplePos="0" relativeHeight="251660800" behindDoc="0" locked="0" layoutInCell="1" allowOverlap="1" wp14:anchorId="6EB675B1" wp14:editId="62896B04">
              <wp:simplePos x="914400" y="447675"/>
              <wp:positionH relativeFrom="page">
                <wp:align>right</wp:align>
              </wp:positionH>
              <wp:positionV relativeFrom="page">
                <wp:align>top</wp:align>
              </wp:positionV>
              <wp:extent cx="2181225" cy="391160"/>
              <wp:effectExtent l="0" t="0" r="0" b="8890"/>
              <wp:wrapNone/>
              <wp:docPr id="1720568124"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0CC98967" w14:textId="2AA8FDED"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B675B1" id="_x0000_t202" coordsize="21600,21600" o:spt="202" path="m,l,21600r21600,l21600,xe">
              <v:stroke joinstyle="miter"/>
              <v:path gradientshapeok="t" o:connecttype="rect"/>
            </v:shapetype>
            <v:shape id="Text Box 3" o:spid="_x0000_s1027" type="#_x0000_t202" alt="UNCLASSIFIED - NON CLASSIFIÉ" style="position:absolute;margin-left:120.55pt;margin-top:0;width:171.75pt;height:30.8pt;z-index:25166080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" filled="f" stroked="f">
              <v:fill o:detectmouseclick="t"/>
              <v:textbox style="mso-fit-shape-to-text:t" inset="0,15pt,20pt,0">
                <w:txbxContent>
                  <w:p w14:paraId="0CC98967" w14:textId="2AA8FDED"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v:textbox>
              <w10:wrap anchorx="page" anchory="page"/>
            </v:shape>
          </w:pict>
        </mc:Fallback>
      </mc:AlternateContent>
    </w:r>
  </w:p>
  <w:sdt>
    <w:sdtPr>
      <w:id w:val="2133592995"/>
      <w:docPartObj>
        <w:docPartGallery w:val="Watermarks"/>
        <w:docPartUnique/>
      </w:docPartObj>
    </w:sdtPr>
    <w:sdtEndPr/>
    <w:sdtContent>
      <w:p w14:paraId="50C57E93" w14:textId="292AEC42" w:rsidR="004C3F9D" w:rsidRDefault="008821DD">
        <w:pPr>
          <w:pStyle w:val="Header"/>
        </w:pPr>
        <w:r>
          <w:rPr>
            <w:noProof/>
            <w:lang w:val="en-US"/>
          </w:rPr>
          <w:pict w14:anchorId="2DB74A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F9399" w14:textId="12046088" w:rsidR="00346309" w:rsidRDefault="00346309">
    <w:pPr>
      <w:pStyle w:val="Header"/>
    </w:pPr>
    <w:r>
      <w:rPr>
        <w:noProof/>
      </w:rPr>
      <mc:AlternateContent>
        <mc:Choice Requires="wps">
          <w:drawing>
            <wp:anchor distT="0" distB="0" distL="0" distR="0" simplePos="0" relativeHeight="251658752" behindDoc="0" locked="0" layoutInCell="1" allowOverlap="1" wp14:anchorId="4CF7EED0" wp14:editId="69869DD8">
              <wp:simplePos x="635" y="635"/>
              <wp:positionH relativeFrom="page">
                <wp:align>right</wp:align>
              </wp:positionH>
              <wp:positionV relativeFrom="page">
                <wp:align>top</wp:align>
              </wp:positionV>
              <wp:extent cx="2181225" cy="391160"/>
              <wp:effectExtent l="0" t="0" r="0" b="8890"/>
              <wp:wrapNone/>
              <wp:docPr id="692931710"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71763396" w14:textId="5EA60451"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F7EED0" id="_x0000_t202" coordsize="21600,21600" o:spt="202" path="m,l,21600r21600,l21600,xe">
              <v:stroke joinstyle="miter"/>
              <v:path gradientshapeok="t" o:connecttype="rect"/>
            </v:shapetype>
            <v:shape id="Text Box 1" o:spid="_x0000_s1028" type="#_x0000_t202" alt="UNCLASSIFIED - NON CLASSIFIÉ" style="position:absolute;margin-left:120.55pt;margin-top:0;width:171.75pt;height:30.8pt;z-index:25165875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" filled="f" stroked="f">
              <v:fill o:detectmouseclick="t"/>
              <v:textbox style="mso-fit-shape-to-text:t" inset="0,15pt,20pt,0">
                <w:txbxContent>
                  <w:p w14:paraId="71763396" w14:textId="5EA60451" w:rsidR="00346309" w:rsidRPr="00346309" w:rsidRDefault="00346309" w:rsidP="00346309">
                    <w:pPr>
                      <w:spacing w:after="0"/>
                      <w:rPr>
                        <w:rFonts w:ascii="Calibri" w:eastAsia="Calibri" w:hAnsi="Calibri" w:cs="Calibri"/>
                        <w:noProof/>
                        <w:color w:val="000000"/>
                        <w:sz w:val="24"/>
                        <w:szCs w:val="24"/>
                      </w:rPr>
                    </w:pPr>
                    <w:r w:rsidRPr="00346309">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7E34"/>
    <w:multiLevelType w:val="hybridMultilevel"/>
    <w:tmpl w:val="D4F2C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8710A"/>
    <w:multiLevelType w:val="hybridMultilevel"/>
    <w:tmpl w:val="95C66D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7F1C3A"/>
    <w:multiLevelType w:val="hybridMultilevel"/>
    <w:tmpl w:val="09569E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3887D59"/>
    <w:multiLevelType w:val="hybridMultilevel"/>
    <w:tmpl w:val="1D8491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91192742">
    <w:abstractNumId w:val="2"/>
  </w:num>
  <w:num w:numId="2" w16cid:durableId="1962564404">
    <w:abstractNumId w:val="3"/>
  </w:num>
  <w:num w:numId="3" w16cid:durableId="1009335998">
    <w:abstractNumId w:val="1"/>
  </w:num>
  <w:num w:numId="4" w16cid:durableId="55528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18C"/>
    <w:rsid w:val="00012036"/>
    <w:rsid w:val="00066863"/>
    <w:rsid w:val="000B3C98"/>
    <w:rsid w:val="001122E8"/>
    <w:rsid w:val="001501DB"/>
    <w:rsid w:val="00272F82"/>
    <w:rsid w:val="00275BD9"/>
    <w:rsid w:val="003418F9"/>
    <w:rsid w:val="00346309"/>
    <w:rsid w:val="00355CC5"/>
    <w:rsid w:val="00377A4C"/>
    <w:rsid w:val="004C3F9D"/>
    <w:rsid w:val="0056680C"/>
    <w:rsid w:val="00654BD3"/>
    <w:rsid w:val="00670475"/>
    <w:rsid w:val="006E7D62"/>
    <w:rsid w:val="0075539D"/>
    <w:rsid w:val="00783220"/>
    <w:rsid w:val="0079113F"/>
    <w:rsid w:val="007A454B"/>
    <w:rsid w:val="007F7DE9"/>
    <w:rsid w:val="00822840"/>
    <w:rsid w:val="008B0320"/>
    <w:rsid w:val="008F0557"/>
    <w:rsid w:val="009E02A2"/>
    <w:rsid w:val="00BB64C7"/>
    <w:rsid w:val="00CA6C22"/>
    <w:rsid w:val="00CB0465"/>
    <w:rsid w:val="00DC2ACA"/>
    <w:rsid w:val="00DE318C"/>
    <w:rsid w:val="00E35D53"/>
    <w:rsid w:val="00E92A88"/>
    <w:rsid w:val="00EB3AEB"/>
    <w:rsid w:val="00ED729B"/>
    <w:rsid w:val="00F45166"/>
    <w:rsid w:val="00FF4FEC"/>
    <w:rsid w:val="06D4CF8A"/>
    <w:rsid w:val="088C5EBC"/>
    <w:rsid w:val="0D9D9549"/>
    <w:rsid w:val="126C1F94"/>
    <w:rsid w:val="12C8E4A9"/>
    <w:rsid w:val="1774BAE7"/>
    <w:rsid w:val="264277C7"/>
    <w:rsid w:val="2AA41E71"/>
    <w:rsid w:val="2BE4695D"/>
    <w:rsid w:val="2C1DF502"/>
    <w:rsid w:val="399829D9"/>
    <w:rsid w:val="3B0C95E7"/>
    <w:rsid w:val="3CCFCA9B"/>
    <w:rsid w:val="44410649"/>
    <w:rsid w:val="453BBF17"/>
    <w:rsid w:val="45708027"/>
    <w:rsid w:val="46BA74E0"/>
    <w:rsid w:val="4A43F14A"/>
    <w:rsid w:val="4DBF5A0B"/>
    <w:rsid w:val="57676B41"/>
    <w:rsid w:val="58176635"/>
    <w:rsid w:val="6AB1699D"/>
    <w:rsid w:val="769573A1"/>
    <w:rsid w:val="7E0D524B"/>
    <w:rsid w:val="7E1C8B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55BC1"/>
  <w15:chartTrackingRefBased/>
  <w15:docId w15:val="{85185EC0-D7BC-468E-B359-A1B4D24F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18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C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9D"/>
  </w:style>
  <w:style w:type="paragraph" w:styleId="Footer">
    <w:name w:val="footer"/>
    <w:basedOn w:val="Normal"/>
    <w:link w:val="FooterChar"/>
    <w:uiPriority w:val="99"/>
    <w:unhideWhenUsed/>
    <w:rsid w:val="004C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9D"/>
  </w:style>
  <w:style w:type="character" w:styleId="CommentReference">
    <w:name w:val="annotation reference"/>
    <w:basedOn w:val="DefaultParagraphFont"/>
    <w:uiPriority w:val="99"/>
    <w:semiHidden/>
    <w:unhideWhenUsed/>
    <w:rsid w:val="004C3F9D"/>
    <w:rPr>
      <w:sz w:val="16"/>
      <w:szCs w:val="16"/>
    </w:rPr>
  </w:style>
  <w:style w:type="paragraph" w:styleId="CommentText">
    <w:name w:val="annotation text"/>
    <w:basedOn w:val="Normal"/>
    <w:link w:val="CommentTextChar"/>
    <w:uiPriority w:val="99"/>
    <w:semiHidden/>
    <w:unhideWhenUsed/>
    <w:rsid w:val="004C3F9D"/>
    <w:pPr>
      <w:spacing w:line="240" w:lineRule="auto"/>
    </w:pPr>
    <w:rPr>
      <w:sz w:val="20"/>
      <w:szCs w:val="20"/>
    </w:rPr>
  </w:style>
  <w:style w:type="character" w:customStyle="1" w:styleId="CommentTextChar">
    <w:name w:val="Comment Text Char"/>
    <w:basedOn w:val="DefaultParagraphFont"/>
    <w:link w:val="CommentText"/>
    <w:uiPriority w:val="99"/>
    <w:semiHidden/>
    <w:rsid w:val="004C3F9D"/>
    <w:rPr>
      <w:sz w:val="20"/>
      <w:szCs w:val="20"/>
    </w:rPr>
  </w:style>
  <w:style w:type="paragraph" w:styleId="CommentSubject">
    <w:name w:val="annotation subject"/>
    <w:basedOn w:val="CommentText"/>
    <w:next w:val="CommentText"/>
    <w:link w:val="CommentSubjectChar"/>
    <w:uiPriority w:val="99"/>
    <w:semiHidden/>
    <w:unhideWhenUsed/>
    <w:rsid w:val="004C3F9D"/>
    <w:rPr>
      <w:b/>
      <w:bCs/>
    </w:rPr>
  </w:style>
  <w:style w:type="character" w:customStyle="1" w:styleId="CommentSubjectChar">
    <w:name w:val="Comment Subject Char"/>
    <w:basedOn w:val="CommentTextChar"/>
    <w:link w:val="CommentSubject"/>
    <w:uiPriority w:val="99"/>
    <w:semiHidden/>
    <w:rsid w:val="004C3F9D"/>
    <w:rPr>
      <w:b/>
      <w:bCs/>
      <w:sz w:val="20"/>
      <w:szCs w:val="20"/>
    </w:rPr>
  </w:style>
  <w:style w:type="paragraph" w:styleId="BalloonText">
    <w:name w:val="Balloon Text"/>
    <w:basedOn w:val="Normal"/>
    <w:link w:val="BalloonTextChar"/>
    <w:uiPriority w:val="99"/>
    <w:semiHidden/>
    <w:unhideWhenUsed/>
    <w:rsid w:val="004C3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9D"/>
    <w:rPr>
      <w:rFonts w:ascii="Segoe UI" w:hAnsi="Segoe UI" w:cs="Segoe UI"/>
      <w:sz w:val="18"/>
      <w:szCs w:val="18"/>
    </w:rPr>
  </w:style>
  <w:style w:type="table" w:styleId="TableGrid">
    <w:name w:val="Table Grid"/>
    <w:basedOn w:val="TableNormal"/>
    <w:uiPriority w:val="39"/>
    <w:rsid w:val="004C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2ACA"/>
    <w:rPr>
      <w:color w:val="0563C1" w:themeColor="hyperlink"/>
      <w:u w:val="single"/>
    </w:rPr>
  </w:style>
  <w:style w:type="character" w:styleId="FollowedHyperlink">
    <w:name w:val="FollowedHyperlink"/>
    <w:basedOn w:val="DefaultParagraphFont"/>
    <w:uiPriority w:val="99"/>
    <w:semiHidden/>
    <w:unhideWhenUsed/>
    <w:rsid w:val="008F0557"/>
    <w:rPr>
      <w:color w:val="954F72" w:themeColor="followedHyperlink"/>
      <w:u w:val="single"/>
    </w:rPr>
  </w:style>
  <w:style w:type="character" w:customStyle="1" w:styleId="UnresolvedMention1">
    <w:name w:val="Unresolved Mention1"/>
    <w:basedOn w:val="DefaultParagraphFont"/>
    <w:uiPriority w:val="99"/>
    <w:semiHidden/>
    <w:unhideWhenUsed/>
    <w:rsid w:val="008F0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etterbuildingsbc.c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leanbc.gov.bc.ca/"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gov.bc.ca/gov/content/environment/climate-change/data/ceei" TargetMode="External"/><Relationship Id="rId5" Type="http://schemas.openxmlformats.org/officeDocument/2006/relationships/styles" Target="styles.xml"/><Relationship Id="rId15" Type="http://schemas.openxmlformats.org/officeDocument/2006/relationships/hyperlink" Target="https://www.fortisbc.com/about-us/climate-leadership/partnering-for-climate-action" TargetMode="External"/><Relationship Id="rId10" Type="http://schemas.openxmlformats.org/officeDocument/2006/relationships/hyperlink" Target="https://uncovereditorialdesign.files.wordpress.com/2012/06/tandm_2pager_final.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ortisbc.com/news-events/media-centre-details/2019/09/23/fortisbc-sets-30by30-target-for-a-lower-carbon-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B064E16B586F499839F96A16EB27A2" ma:contentTypeVersion="12" ma:contentTypeDescription="Create a new document." ma:contentTypeScope="" ma:versionID="2243cd8dc3eff535b657011ce1b82885">
  <xsd:schema xmlns:xsd="http://www.w3.org/2001/XMLSchema" xmlns:xs="http://www.w3.org/2001/XMLSchema" xmlns:p="http://schemas.microsoft.com/office/2006/metadata/properties" xmlns:ns2="1de2cbb7-8726-447f-923c-b048c2cbeec9" xmlns:ns3="d7f18bf0-295b-462a-ab7b-33e0f7f5f992" targetNamespace="http://schemas.microsoft.com/office/2006/metadata/properties" ma:root="true" ma:fieldsID="75bc70d6d5c351c1f6fd82b74cbd5017" ns2:_="" ns3:_="">
    <xsd:import namespace="1de2cbb7-8726-447f-923c-b048c2cbeec9"/>
    <xsd:import namespace="d7f18bf0-295b-462a-ab7b-33e0f7f5f9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2cbb7-8726-447f-923c-b048c2cbe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f18bf0-295b-462a-ab7b-33e0f7f5f9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B324D-46D5-430A-9867-1AE99C684EFA}">
  <ds:schemaRefs>
    <ds:schemaRef ds:uri="http://schemas.microsoft.com/office/2006/documentManagement/types"/>
    <ds:schemaRef ds:uri="http://schemas.openxmlformats.org/package/2006/metadata/core-properties"/>
    <ds:schemaRef ds:uri="http://purl.org/dc/dcmitype/"/>
    <ds:schemaRef ds:uri="http://purl.org/dc/elements/1.1/"/>
    <ds:schemaRef ds:uri="1de2cbb7-8726-447f-923c-b048c2cbeec9"/>
    <ds:schemaRef ds:uri="http://schemas.microsoft.com/office/2006/metadata/properties"/>
    <ds:schemaRef ds:uri="d7f18bf0-295b-462a-ab7b-33e0f7f5f992"/>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F07D655D-68FE-4D71-A0BA-BB3D0C16C6AE}">
  <ds:schemaRefs>
    <ds:schemaRef ds:uri="http://schemas.microsoft.com/sharepoint/v3/contenttype/forms"/>
  </ds:schemaRefs>
</ds:datastoreItem>
</file>

<file path=customXml/itemProps3.xml><?xml version="1.0" encoding="utf-8"?>
<ds:datastoreItem xmlns:ds="http://schemas.openxmlformats.org/officeDocument/2006/customXml" ds:itemID="{BE9BB8ED-A9D7-4BAF-8B3A-AB9285617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2cbb7-8726-447f-923c-b048c2cbeec9"/>
    <ds:schemaRef ds:uri="d7f18bf0-295b-462a-ab7b-33e0f7f5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1170</Words>
  <Characters>6675</Characters>
  <Application>Microsoft Office Word</Application>
  <DocSecurity>0</DocSecurity>
  <Lines>55</Lines>
  <Paragraphs>15</Paragraphs>
  <ScaleCrop>false</ScaleCrop>
  <Company>NRCan  /  RNCan</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Jessica</dc:creator>
  <cp:keywords/>
  <dc:description/>
  <cp:lastModifiedBy>Webster, Jessica</cp:lastModifiedBy>
  <cp:revision>2</cp:revision>
  <dcterms:created xsi:type="dcterms:W3CDTF">2024-11-20T16:12:00Z</dcterms:created>
  <dcterms:modified xsi:type="dcterms:W3CDTF">2024-11-20T16:12:00Z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0x01010035B064E16B586F499839F96A16EB27A2</vt:lpwstr>
  </property>
  <property fmtid="{D5CDD505-2E9C-101B-9397-08002B2CF9AE}" pid="3" name="ClassificationContentMarkingHeaderShapeIds">
    <vt:lpwstr>294d4c7e,5fdee3c3,668dc93c</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ies>
</file>