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EBD4ED" w14:textId="77777777" w:rsidR="00C7623F" w:rsidRDefault="00F34D73" w:rsidP="00F34D73">
      <w:pPr>
        <w:jc w:val="right"/>
      </w:pPr>
      <w:r>
        <w:rPr>
          <w:noProof/>
          <w:lang w:val="en-GB" w:eastAsia="en-GB"/>
        </w:rPr>
        <w:drawing>
          <wp:inline distT="0" distB="0" distL="0" distR="0" wp14:anchorId="77A42F3F" wp14:editId="70B57DF1">
            <wp:extent cx="1419225" cy="459105"/>
            <wp:effectExtent l="0" t="0" r="9525" b="0"/>
            <wp:docPr id="1" name="Bild 1" descr="C:\Users\KFN\Desktop\KaiMarketing\KFN+_Logo_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KFN\Desktop\KaiMarketing\KFN+_Logo_80%.jpg"/>
                    <pic:cNvPicPr>
                      <a:picLocks noChangeAspect="1"/>
                    </pic:cNvPicPr>
                  </pic:nvPicPr>
                  <pic:blipFill>
                    <a:blip r:embed="rId9" cstate="print"/>
                    <a:srcRect/>
                    <a:stretch>
                      <a:fillRect/>
                    </a:stretch>
                  </pic:blipFill>
                  <pic:spPr bwMode="auto">
                    <a:xfrm>
                      <a:off x="0" y="0"/>
                      <a:ext cx="1419225" cy="459105"/>
                    </a:xfrm>
                    <a:prstGeom prst="rect">
                      <a:avLst/>
                    </a:prstGeom>
                    <a:noFill/>
                    <a:ln w="9525">
                      <a:noFill/>
                      <a:miter lim="800000"/>
                      <a:headEnd/>
                      <a:tailEnd/>
                    </a:ln>
                  </pic:spPr>
                </pic:pic>
              </a:graphicData>
            </a:graphic>
          </wp:inline>
        </w:drawing>
      </w:r>
    </w:p>
    <w:p w14:paraId="50547BDC" w14:textId="77777777" w:rsidR="00F34D73" w:rsidRDefault="00F34D73"/>
    <w:p w14:paraId="0627704C" w14:textId="77777777" w:rsidR="00956B46" w:rsidRDefault="00956B46"/>
    <w:p w14:paraId="54209930" w14:textId="4BEAB4D0" w:rsidR="001F13A1" w:rsidRPr="0012120C" w:rsidRDefault="003E3E15">
      <w:r w:rsidRPr="0012120C">
        <w:t xml:space="preserve">Kai-Friedrich </w:t>
      </w:r>
      <w:r w:rsidR="005E4356" w:rsidRPr="0012120C">
        <w:t>Niermann*</w:t>
      </w:r>
      <w:r w:rsidR="00CA79EC" w:rsidRPr="0012120C">
        <w:t xml:space="preserve">, Daniel Kruse*, Dr. Bernhard Beitzke*, Dr. Dr. Gerhard </w:t>
      </w:r>
      <w:proofErr w:type="spellStart"/>
      <w:r w:rsidR="00CA79EC" w:rsidRPr="0012120C">
        <w:t>Nahler</w:t>
      </w:r>
      <w:proofErr w:type="spellEnd"/>
      <w:r w:rsidR="00CA79EC" w:rsidRPr="0012120C">
        <w:t>*</w:t>
      </w:r>
    </w:p>
    <w:p w14:paraId="30917556" w14:textId="63B79D84" w:rsidR="00AC1FB1" w:rsidRPr="005E0923" w:rsidRDefault="003E3E15" w:rsidP="00956B46">
      <w:pPr>
        <w:rPr>
          <w:b/>
          <w:bCs/>
          <w:sz w:val="28"/>
          <w:szCs w:val="28"/>
          <w:lang w:val="en-GB"/>
        </w:rPr>
      </w:pPr>
      <w:r w:rsidRPr="005E0923">
        <w:rPr>
          <w:b/>
          <w:bCs/>
          <w:sz w:val="28"/>
          <w:szCs w:val="28"/>
          <w:lang w:val="en-GB"/>
        </w:rPr>
        <w:t>CBD as food</w:t>
      </w:r>
      <w:r w:rsidR="00956B46" w:rsidRPr="005E0923">
        <w:rPr>
          <w:b/>
          <w:bCs/>
          <w:sz w:val="28"/>
          <w:szCs w:val="28"/>
          <w:lang w:val="en-GB"/>
        </w:rPr>
        <w:t xml:space="preserve">, </w:t>
      </w:r>
      <w:r w:rsidRPr="005E0923">
        <w:rPr>
          <w:b/>
          <w:bCs/>
          <w:sz w:val="28"/>
          <w:szCs w:val="28"/>
          <w:lang w:val="en-GB"/>
        </w:rPr>
        <w:t xml:space="preserve">medicine </w:t>
      </w:r>
      <w:r w:rsidR="00956B46" w:rsidRPr="005E0923">
        <w:rPr>
          <w:b/>
          <w:bCs/>
          <w:sz w:val="28"/>
          <w:szCs w:val="28"/>
          <w:lang w:val="en-GB"/>
        </w:rPr>
        <w:t xml:space="preserve">or cosmetic </w:t>
      </w:r>
      <w:r w:rsidR="006942D8" w:rsidRPr="005E0923">
        <w:rPr>
          <w:b/>
          <w:bCs/>
          <w:sz w:val="28"/>
          <w:szCs w:val="28"/>
          <w:lang w:val="en-GB"/>
        </w:rPr>
        <w:t xml:space="preserve">- </w:t>
      </w:r>
      <w:r w:rsidR="00CA79EC" w:rsidRPr="005E0923">
        <w:rPr>
          <w:b/>
          <w:bCs/>
          <w:sz w:val="28"/>
          <w:szCs w:val="28"/>
          <w:lang w:val="en-GB"/>
        </w:rPr>
        <w:t>a legal and scientific assessment</w:t>
      </w:r>
    </w:p>
    <w:p w14:paraId="44B15FDE" w14:textId="77777777" w:rsidR="00956B46" w:rsidRPr="005E0923" w:rsidRDefault="00956B46" w:rsidP="00956B46">
      <w:pPr>
        <w:rPr>
          <w:b/>
          <w:bCs/>
          <w:sz w:val="28"/>
          <w:szCs w:val="28"/>
          <w:lang w:val="en-GB"/>
        </w:rPr>
      </w:pPr>
    </w:p>
    <w:p w14:paraId="574F3983" w14:textId="77777777" w:rsidR="001F13A1" w:rsidRPr="005E0923" w:rsidRDefault="003E3E15" w:rsidP="00037B6F">
      <w:pPr>
        <w:pStyle w:val="Listenabsatz"/>
        <w:numPr>
          <w:ilvl w:val="0"/>
          <w:numId w:val="1"/>
        </w:numPr>
        <w:jc w:val="both"/>
        <w:rPr>
          <w:b/>
          <w:lang w:val="en-GB"/>
        </w:rPr>
      </w:pPr>
      <w:r w:rsidRPr="005E0923">
        <w:rPr>
          <w:b/>
          <w:lang w:val="en-GB"/>
        </w:rPr>
        <w:t>Introduction</w:t>
      </w:r>
    </w:p>
    <w:p w14:paraId="155E30B2" w14:textId="33F132C5" w:rsidR="001F13A1" w:rsidRPr="005E0923" w:rsidRDefault="005E0923" w:rsidP="00037B6F">
      <w:pPr>
        <w:jc w:val="both"/>
        <w:rPr>
          <w:bCs/>
          <w:lang w:val="en-GB"/>
        </w:rPr>
      </w:pPr>
      <w:r w:rsidRPr="005E0923">
        <w:rPr>
          <w:bCs/>
          <w:lang w:val="en-GB"/>
        </w:rPr>
        <w:t>In</w:t>
      </w:r>
      <w:r w:rsidR="003E3E15" w:rsidRPr="005E0923">
        <w:rPr>
          <w:bCs/>
          <w:lang w:val="en-GB"/>
        </w:rPr>
        <w:t xml:space="preserve"> Germany, a decision by an administrative court became known </w:t>
      </w:r>
      <w:r w:rsidR="00037B6F" w:rsidRPr="005E0923">
        <w:rPr>
          <w:bCs/>
          <w:lang w:val="en-GB"/>
        </w:rPr>
        <w:t>last</w:t>
      </w:r>
      <w:r w:rsidR="003E3E15" w:rsidRPr="005E0923">
        <w:rPr>
          <w:bCs/>
          <w:lang w:val="en-GB"/>
        </w:rPr>
        <w:t xml:space="preserve"> year that </w:t>
      </w:r>
      <w:r w:rsidR="00200EB6" w:rsidRPr="005E0923">
        <w:rPr>
          <w:bCs/>
          <w:lang w:val="en-GB"/>
        </w:rPr>
        <w:t>may have implic</w:t>
      </w:r>
      <w:r w:rsidR="00200EB6" w:rsidRPr="005E0923">
        <w:rPr>
          <w:bCs/>
          <w:lang w:val="en-GB"/>
        </w:rPr>
        <w:t>a</w:t>
      </w:r>
      <w:r w:rsidR="00200EB6" w:rsidRPr="005E0923">
        <w:rPr>
          <w:bCs/>
          <w:lang w:val="en-GB"/>
        </w:rPr>
        <w:t>tions for the classification of CBD products throughout Europe if regulators in other EU member states rely on this reasoning.</w:t>
      </w:r>
      <w:r w:rsidR="00200EB6" w:rsidRPr="005E0923">
        <w:rPr>
          <w:rStyle w:val="Funotenzeichen"/>
          <w:bCs/>
          <w:lang w:val="en-GB"/>
        </w:rPr>
        <w:footnoteReference w:id="1"/>
      </w:r>
    </w:p>
    <w:p w14:paraId="597ECD37" w14:textId="526A62DA" w:rsidR="001F13A1" w:rsidRPr="005E0923" w:rsidRDefault="0012120C" w:rsidP="00037B6F">
      <w:pPr>
        <w:jc w:val="both"/>
        <w:rPr>
          <w:bCs/>
          <w:lang w:val="en-GB"/>
        </w:rPr>
      </w:pPr>
      <w:bookmarkStart w:id="0" w:name="MerkPosIDE"/>
      <w:bookmarkEnd w:id="0"/>
      <w:r>
        <w:rPr>
          <w:bCs/>
          <w:lang w:val="en-GB"/>
        </w:rPr>
        <w:t>This was preceded by a decision of</w:t>
      </w:r>
      <w:r w:rsidR="003E3E15" w:rsidRPr="005E0923">
        <w:rPr>
          <w:bCs/>
          <w:lang w:val="en-GB"/>
        </w:rPr>
        <w:t xml:space="preserve"> the German Federal Office for Drugs and Medical Devices (BfArM), </w:t>
      </w:r>
      <w:r w:rsidR="00963147" w:rsidRPr="005E0923">
        <w:rPr>
          <w:bCs/>
          <w:lang w:val="en-GB"/>
        </w:rPr>
        <w:t xml:space="preserve">the federal drug monitoring authority, </w:t>
      </w:r>
      <w:r w:rsidR="003E3E15" w:rsidRPr="005E0923">
        <w:rPr>
          <w:bCs/>
          <w:lang w:val="en-GB"/>
        </w:rPr>
        <w:t xml:space="preserve">stating that </w:t>
      </w:r>
      <w:r w:rsidR="003D002A" w:rsidRPr="005E0923">
        <w:rPr>
          <w:bCs/>
          <w:lang w:val="en-GB"/>
        </w:rPr>
        <w:t xml:space="preserve">hemp preparations </w:t>
      </w:r>
      <w:r w:rsidR="003E3E15" w:rsidRPr="005E0923">
        <w:rPr>
          <w:bCs/>
          <w:lang w:val="en-GB"/>
        </w:rPr>
        <w:t>containing CBD were to be</w:t>
      </w:r>
      <w:r w:rsidR="003D002A" w:rsidRPr="005E0923">
        <w:rPr>
          <w:bCs/>
          <w:lang w:val="en-GB"/>
        </w:rPr>
        <w:t xml:space="preserve"> classified as medicinal products regardless of the dosage. </w:t>
      </w:r>
      <w:r w:rsidR="003E3E15" w:rsidRPr="005E0923">
        <w:rPr>
          <w:bCs/>
          <w:lang w:val="en-GB"/>
        </w:rPr>
        <w:t>This would mean that all CBD oils would have to be classifi</w:t>
      </w:r>
      <w:r w:rsidR="003E3E15" w:rsidRPr="005E0923">
        <w:rPr>
          <w:rFonts w:asciiTheme="minorHAnsi" w:hAnsiTheme="minorHAnsi" w:cstheme="minorHAnsi"/>
          <w:bCs/>
          <w:lang w:val="en-GB"/>
        </w:rPr>
        <w:t>ed as medicinal products subject to a</w:t>
      </w:r>
      <w:r w:rsidR="007A5A07">
        <w:rPr>
          <w:rFonts w:asciiTheme="minorHAnsi" w:hAnsiTheme="minorHAnsi" w:cstheme="minorHAnsi"/>
          <w:bCs/>
          <w:lang w:val="en-GB"/>
        </w:rPr>
        <w:t>uthorisation</w:t>
      </w:r>
      <w:r w:rsidR="00037B6F" w:rsidRPr="005E0923">
        <w:rPr>
          <w:rFonts w:asciiTheme="minorHAnsi" w:hAnsiTheme="minorHAnsi" w:cstheme="minorHAnsi"/>
          <w:bCs/>
          <w:lang w:val="en-GB"/>
        </w:rPr>
        <w:t xml:space="preserve"> according to law</w:t>
      </w:r>
      <w:r w:rsidR="006030CD">
        <w:rPr>
          <w:rFonts w:asciiTheme="minorHAnsi" w:hAnsiTheme="minorHAnsi" w:cstheme="minorHAnsi"/>
          <w:bCs/>
          <w:lang w:val="en-GB"/>
        </w:rPr>
        <w:t>s on m</w:t>
      </w:r>
      <w:r w:rsidR="006030CD">
        <w:rPr>
          <w:rFonts w:asciiTheme="minorHAnsi" w:hAnsiTheme="minorHAnsi" w:cstheme="minorHAnsi"/>
          <w:bCs/>
          <w:lang w:val="en-GB"/>
        </w:rPr>
        <w:t>e</w:t>
      </w:r>
      <w:r w:rsidR="006030CD">
        <w:rPr>
          <w:rFonts w:asciiTheme="minorHAnsi" w:hAnsiTheme="minorHAnsi" w:cstheme="minorHAnsi"/>
          <w:bCs/>
          <w:lang w:val="en-GB"/>
        </w:rPr>
        <w:t>dicinal products</w:t>
      </w:r>
      <w:r w:rsidR="005E4356" w:rsidRPr="005E0923">
        <w:rPr>
          <w:rFonts w:asciiTheme="minorHAnsi" w:hAnsiTheme="minorHAnsi" w:cstheme="minorHAnsi"/>
          <w:bCs/>
          <w:lang w:val="en-GB"/>
        </w:rPr>
        <w:t xml:space="preserve">, even irrespective of any subsequent approval as </w:t>
      </w:r>
      <w:r w:rsidR="005E4356" w:rsidRPr="00DE5E29">
        <w:rPr>
          <w:rFonts w:asciiTheme="minorHAnsi" w:hAnsiTheme="minorHAnsi" w:cstheme="minorHAnsi"/>
          <w:bCs/>
          <w:lang w:val="en-GB"/>
        </w:rPr>
        <w:t>a novel food by the European Commission</w:t>
      </w:r>
      <w:r w:rsidR="003E3E15" w:rsidRPr="00DE5E29">
        <w:rPr>
          <w:rFonts w:asciiTheme="minorHAnsi" w:hAnsiTheme="minorHAnsi" w:cstheme="minorHAnsi"/>
          <w:bCs/>
          <w:lang w:val="en-GB"/>
        </w:rPr>
        <w:t>.</w:t>
      </w:r>
      <w:r w:rsidR="00CA79EC" w:rsidRPr="00DE5E29">
        <w:rPr>
          <w:rFonts w:asciiTheme="minorHAnsi" w:hAnsiTheme="minorHAnsi" w:cstheme="minorHAnsi"/>
          <w:lang w:val="en-GB"/>
        </w:rPr>
        <w:t xml:space="preserve"> Below</w:t>
      </w:r>
      <w:r w:rsidR="00CA79EC" w:rsidRPr="005E0923">
        <w:rPr>
          <w:rFonts w:asciiTheme="minorHAnsi" w:hAnsiTheme="minorHAnsi" w:cstheme="minorHAnsi"/>
          <w:lang w:val="en-GB"/>
        </w:rPr>
        <w:t xml:space="preserve">, the argumentation of the BfArM and the Cologne Administrative Court is first summarized. This is followed by a critical discussion, </w:t>
      </w:r>
      <w:r w:rsidR="001B2D75">
        <w:rPr>
          <w:rFonts w:asciiTheme="minorHAnsi" w:hAnsiTheme="minorHAnsi" w:cstheme="minorHAnsi"/>
          <w:lang w:val="en-GB"/>
        </w:rPr>
        <w:t>explaining</w:t>
      </w:r>
      <w:r w:rsidR="00CA79EC" w:rsidRPr="005E0923">
        <w:rPr>
          <w:rFonts w:asciiTheme="minorHAnsi" w:hAnsiTheme="minorHAnsi" w:cstheme="minorHAnsi"/>
          <w:lang w:val="en-GB"/>
        </w:rPr>
        <w:t xml:space="preserve"> the reasons why</w:t>
      </w:r>
      <w:r w:rsidR="001B2D75">
        <w:rPr>
          <w:rFonts w:asciiTheme="minorHAnsi" w:hAnsiTheme="minorHAnsi" w:cstheme="minorHAnsi"/>
          <w:lang w:val="en-GB"/>
        </w:rPr>
        <w:t>,</w:t>
      </w:r>
      <w:r w:rsidR="00CA79EC" w:rsidRPr="005E0923">
        <w:rPr>
          <w:rFonts w:asciiTheme="minorHAnsi" w:hAnsiTheme="minorHAnsi" w:cstheme="minorHAnsi"/>
          <w:lang w:val="en-GB"/>
        </w:rPr>
        <w:t xml:space="preserve"> </w:t>
      </w:r>
      <w:r w:rsidR="001B2D75" w:rsidRPr="005E0923">
        <w:rPr>
          <w:rFonts w:asciiTheme="minorHAnsi" w:hAnsiTheme="minorHAnsi" w:cstheme="minorHAnsi"/>
          <w:lang w:val="en-GB"/>
        </w:rPr>
        <w:t>in our opinion</w:t>
      </w:r>
      <w:r w:rsidR="001B2D75">
        <w:rPr>
          <w:rFonts w:asciiTheme="minorHAnsi" w:hAnsiTheme="minorHAnsi" w:cstheme="minorHAnsi"/>
          <w:lang w:val="en-GB"/>
        </w:rPr>
        <w:t>,</w:t>
      </w:r>
      <w:r w:rsidR="001B2D75" w:rsidRPr="005E0923">
        <w:rPr>
          <w:rFonts w:asciiTheme="minorHAnsi" w:hAnsiTheme="minorHAnsi" w:cstheme="minorHAnsi"/>
          <w:lang w:val="en-GB"/>
        </w:rPr>
        <w:t xml:space="preserve"> </w:t>
      </w:r>
      <w:r w:rsidR="00CA79EC" w:rsidRPr="005E0923">
        <w:rPr>
          <w:rFonts w:asciiTheme="minorHAnsi" w:hAnsiTheme="minorHAnsi" w:cstheme="minorHAnsi"/>
          <w:lang w:val="en-GB"/>
        </w:rPr>
        <w:t xml:space="preserve">this </w:t>
      </w:r>
      <w:r w:rsidR="001B2D75">
        <w:rPr>
          <w:rFonts w:asciiTheme="minorHAnsi" w:hAnsiTheme="minorHAnsi" w:cstheme="minorHAnsi"/>
          <w:lang w:val="en-GB"/>
        </w:rPr>
        <w:t xml:space="preserve">line of </w:t>
      </w:r>
      <w:r w:rsidR="00CA79EC" w:rsidRPr="005E0923">
        <w:rPr>
          <w:rFonts w:asciiTheme="minorHAnsi" w:hAnsiTheme="minorHAnsi" w:cstheme="minorHAnsi"/>
          <w:lang w:val="en-GB"/>
        </w:rPr>
        <w:t>argument is untenable.</w:t>
      </w:r>
    </w:p>
    <w:p w14:paraId="7093ABCB" w14:textId="18C626CF" w:rsidR="001F13A1" w:rsidRPr="005E0923" w:rsidRDefault="003E3E15" w:rsidP="00037B6F">
      <w:pPr>
        <w:pStyle w:val="Listenabsatz"/>
        <w:numPr>
          <w:ilvl w:val="0"/>
          <w:numId w:val="1"/>
        </w:numPr>
        <w:jc w:val="both"/>
        <w:rPr>
          <w:b/>
          <w:lang w:val="en-GB"/>
        </w:rPr>
      </w:pPr>
      <w:r w:rsidRPr="005E0923">
        <w:rPr>
          <w:b/>
          <w:lang w:val="en-GB"/>
        </w:rPr>
        <w:t>The argument</w:t>
      </w:r>
      <w:r w:rsidR="002A41EF">
        <w:rPr>
          <w:b/>
          <w:lang w:val="en-GB"/>
        </w:rPr>
        <w:t>s</w:t>
      </w:r>
      <w:r w:rsidRPr="005E0923">
        <w:rPr>
          <w:b/>
          <w:lang w:val="en-GB"/>
        </w:rPr>
        <w:t xml:space="preserve"> of BfArM and the Administrative Court of Cologne</w:t>
      </w:r>
    </w:p>
    <w:p w14:paraId="6C326B67" w14:textId="72F6081E" w:rsidR="001F13A1" w:rsidRPr="005E0923" w:rsidRDefault="003E3E15" w:rsidP="00037B6F">
      <w:pPr>
        <w:jc w:val="both"/>
        <w:rPr>
          <w:bCs/>
          <w:lang w:val="en-GB"/>
        </w:rPr>
      </w:pPr>
      <w:r w:rsidRPr="005E0923">
        <w:rPr>
          <w:bCs/>
          <w:lang w:val="en-GB"/>
        </w:rPr>
        <w:t>BfArM</w:t>
      </w:r>
      <w:r w:rsidRPr="005E0923">
        <w:rPr>
          <w:rStyle w:val="Funotenzeichen"/>
          <w:bCs/>
          <w:lang w:val="en-GB"/>
        </w:rPr>
        <w:footnoteReference w:id="2"/>
      </w:r>
      <w:r w:rsidRPr="005E0923">
        <w:rPr>
          <w:bCs/>
          <w:lang w:val="en-GB"/>
        </w:rPr>
        <w:t xml:space="preserve"> had to decide on </w:t>
      </w:r>
      <w:r w:rsidR="00200EB6" w:rsidRPr="005E0923">
        <w:rPr>
          <w:bCs/>
          <w:lang w:val="en-GB"/>
        </w:rPr>
        <w:t>hemp extracts</w:t>
      </w:r>
      <w:r w:rsidR="000417AF">
        <w:rPr>
          <w:bCs/>
          <w:lang w:val="en-GB"/>
        </w:rPr>
        <w:t xml:space="preserve"> containing</w:t>
      </w:r>
      <w:r w:rsidR="00200EB6" w:rsidRPr="005E0923">
        <w:rPr>
          <w:bCs/>
          <w:lang w:val="en-GB"/>
        </w:rPr>
        <w:t xml:space="preserve"> 4% and 10% </w:t>
      </w:r>
      <w:r w:rsidR="00425D1A" w:rsidRPr="005E0923">
        <w:rPr>
          <w:bCs/>
          <w:lang w:val="en-GB"/>
        </w:rPr>
        <w:t>CBD</w:t>
      </w:r>
      <w:r w:rsidR="00425D1A">
        <w:rPr>
          <w:bCs/>
          <w:lang w:val="en-GB"/>
        </w:rPr>
        <w:t>,</w:t>
      </w:r>
      <w:r w:rsidR="00425D1A" w:rsidRPr="005E0923">
        <w:rPr>
          <w:bCs/>
          <w:lang w:val="en-GB"/>
        </w:rPr>
        <w:t xml:space="preserve"> respectively</w:t>
      </w:r>
      <w:r w:rsidR="00200EB6" w:rsidRPr="005E0923">
        <w:rPr>
          <w:bCs/>
          <w:lang w:val="en-GB"/>
        </w:rPr>
        <w:t>.</w:t>
      </w:r>
      <w:r w:rsidRPr="005E0923">
        <w:rPr>
          <w:bCs/>
          <w:lang w:val="en-GB"/>
        </w:rPr>
        <w:t xml:space="preserve"> The argu</w:t>
      </w:r>
      <w:r w:rsidR="00636E91" w:rsidRPr="005E0923">
        <w:rPr>
          <w:bCs/>
          <w:lang w:val="en-GB"/>
        </w:rPr>
        <w:t>ments</w:t>
      </w:r>
      <w:r w:rsidRPr="005E0923">
        <w:rPr>
          <w:bCs/>
          <w:lang w:val="en-GB"/>
        </w:rPr>
        <w:t xml:space="preserve"> </w:t>
      </w:r>
      <w:r w:rsidR="00636E91" w:rsidRPr="005E0923">
        <w:rPr>
          <w:bCs/>
          <w:lang w:val="en-GB"/>
        </w:rPr>
        <w:t>m</w:t>
      </w:r>
      <w:r w:rsidRPr="005E0923">
        <w:rPr>
          <w:bCs/>
          <w:lang w:val="en-GB"/>
        </w:rPr>
        <w:t>a</w:t>
      </w:r>
      <w:r w:rsidR="00636E91" w:rsidRPr="005E0923">
        <w:rPr>
          <w:bCs/>
          <w:lang w:val="en-GB"/>
        </w:rPr>
        <w:t>y</w:t>
      </w:r>
      <w:r w:rsidRPr="005E0923">
        <w:rPr>
          <w:bCs/>
          <w:lang w:val="en-GB"/>
        </w:rPr>
        <w:t xml:space="preserve"> be s</w:t>
      </w:r>
      <w:r w:rsidR="00636E91" w:rsidRPr="005E0923">
        <w:rPr>
          <w:bCs/>
          <w:lang w:val="en-GB"/>
        </w:rPr>
        <w:t>ummaris</w:t>
      </w:r>
      <w:r w:rsidRPr="005E0923">
        <w:rPr>
          <w:bCs/>
          <w:lang w:val="en-GB"/>
        </w:rPr>
        <w:t>ed as follows:</w:t>
      </w:r>
    </w:p>
    <w:p w14:paraId="654F348B" w14:textId="30992997" w:rsidR="001F13A1" w:rsidRPr="005E0923" w:rsidRDefault="005E0923" w:rsidP="00037B6F">
      <w:pPr>
        <w:pStyle w:val="Listenabsatz"/>
        <w:numPr>
          <w:ilvl w:val="0"/>
          <w:numId w:val="6"/>
        </w:numPr>
        <w:jc w:val="both"/>
        <w:rPr>
          <w:bCs/>
          <w:lang w:val="en-GB"/>
        </w:rPr>
      </w:pPr>
      <w:r w:rsidRPr="005E0923">
        <w:rPr>
          <w:bCs/>
          <w:lang w:val="en-GB"/>
        </w:rPr>
        <w:t>an</w:t>
      </w:r>
      <w:r w:rsidR="0074528E" w:rsidRPr="005E0923">
        <w:rPr>
          <w:bCs/>
          <w:lang w:val="en-GB"/>
        </w:rPr>
        <w:t xml:space="preserve"> influence on physiological functions is to be assumed even at a daily dosage of 18 mg (as recommended by the manufacturer as a daily dose) according to the current state of scientific knowledge,</w:t>
      </w:r>
    </w:p>
    <w:p w14:paraId="2A9FA884" w14:textId="0009EE6A" w:rsidR="001F13A1" w:rsidRPr="005E0923" w:rsidRDefault="00E308E8" w:rsidP="00037B6F">
      <w:pPr>
        <w:pStyle w:val="Listenabsatz"/>
        <w:numPr>
          <w:ilvl w:val="0"/>
          <w:numId w:val="6"/>
        </w:numPr>
        <w:jc w:val="both"/>
        <w:rPr>
          <w:bCs/>
          <w:lang w:val="en-GB"/>
        </w:rPr>
      </w:pPr>
      <w:r w:rsidRPr="005E0923">
        <w:rPr>
          <w:bCs/>
          <w:lang w:val="en-GB"/>
        </w:rPr>
        <w:t xml:space="preserve">a product capable of fulfilling therapeutic purposes is in any case a medicinal product (citing the case law of </w:t>
      </w:r>
      <w:r w:rsidRPr="001B720C">
        <w:rPr>
          <w:bCs/>
          <w:lang w:val="en-GB"/>
        </w:rPr>
        <w:t xml:space="preserve">the </w:t>
      </w:r>
      <w:r w:rsidR="00D569C9" w:rsidRPr="00650FCD">
        <w:rPr>
          <w:bCs/>
          <w:lang w:val="en-GB"/>
        </w:rPr>
        <w:t xml:space="preserve">German </w:t>
      </w:r>
      <w:r w:rsidRPr="001B720C">
        <w:rPr>
          <w:bCs/>
          <w:lang w:val="en-GB"/>
        </w:rPr>
        <w:t>Federal Administrative Court and the European</w:t>
      </w:r>
      <w:r w:rsidRPr="005E0923">
        <w:rPr>
          <w:bCs/>
          <w:lang w:val="en-GB"/>
        </w:rPr>
        <w:t xml:space="preserve"> Court of Justice)</w:t>
      </w:r>
      <w:r w:rsidRPr="005E0923">
        <w:rPr>
          <w:rStyle w:val="Funotenzeichen"/>
          <w:bCs/>
          <w:lang w:val="en-GB"/>
        </w:rPr>
        <w:footnoteReference w:id="3"/>
      </w:r>
      <w:r w:rsidRPr="005E0923">
        <w:rPr>
          <w:bCs/>
          <w:lang w:val="en-GB"/>
        </w:rPr>
        <w:t xml:space="preserve"> , </w:t>
      </w:r>
    </w:p>
    <w:p w14:paraId="4A1098A2" w14:textId="09C899F0" w:rsidR="001F13A1" w:rsidRPr="005E0923" w:rsidRDefault="00E308E8" w:rsidP="00037B6F">
      <w:pPr>
        <w:pStyle w:val="Listenabsatz"/>
        <w:numPr>
          <w:ilvl w:val="0"/>
          <w:numId w:val="6"/>
        </w:numPr>
        <w:jc w:val="both"/>
        <w:rPr>
          <w:bCs/>
          <w:lang w:val="en-GB"/>
        </w:rPr>
      </w:pPr>
      <w:r w:rsidRPr="005E0923">
        <w:rPr>
          <w:bCs/>
          <w:lang w:val="en-GB"/>
        </w:rPr>
        <w:t xml:space="preserve">since the approval of a CBD drug in </w:t>
      </w:r>
      <w:r w:rsidRPr="00DE5E29">
        <w:rPr>
          <w:bCs/>
          <w:lang w:val="en-GB"/>
        </w:rPr>
        <w:t xml:space="preserve">the </w:t>
      </w:r>
      <w:r w:rsidRPr="001B720C">
        <w:rPr>
          <w:bCs/>
          <w:lang w:val="en-GB"/>
        </w:rPr>
        <w:t>USA (Epid</w:t>
      </w:r>
      <w:r w:rsidR="00DE5E29" w:rsidRPr="001B720C">
        <w:rPr>
          <w:bCs/>
          <w:lang w:val="en-GB"/>
        </w:rPr>
        <w:t>y</w:t>
      </w:r>
      <w:r w:rsidRPr="00DE5E29">
        <w:rPr>
          <w:bCs/>
          <w:lang w:val="en-GB"/>
        </w:rPr>
        <w:t>olex) has proven</w:t>
      </w:r>
      <w:r w:rsidRPr="005E0923">
        <w:rPr>
          <w:bCs/>
          <w:lang w:val="en-GB"/>
        </w:rPr>
        <w:t xml:space="preserve"> its therapeutic efficacy, </w:t>
      </w:r>
      <w:r w:rsidR="00D30869" w:rsidRPr="005E0923">
        <w:rPr>
          <w:bCs/>
          <w:lang w:val="en-GB"/>
        </w:rPr>
        <w:t xml:space="preserve">a pharmacological effect can </w:t>
      </w:r>
      <w:r w:rsidRPr="005E0923">
        <w:rPr>
          <w:bCs/>
          <w:lang w:val="en-GB"/>
        </w:rPr>
        <w:t>be assumed for CBD oils,</w:t>
      </w:r>
    </w:p>
    <w:p w14:paraId="79BC6008" w14:textId="77777777" w:rsidR="001F13A1" w:rsidRPr="005E0923" w:rsidRDefault="003E3E15" w:rsidP="00037B6F">
      <w:pPr>
        <w:pStyle w:val="Listenabsatz"/>
        <w:numPr>
          <w:ilvl w:val="0"/>
          <w:numId w:val="6"/>
        </w:numPr>
        <w:jc w:val="both"/>
        <w:rPr>
          <w:bCs/>
          <w:lang w:val="en-GB"/>
        </w:rPr>
      </w:pPr>
      <w:r w:rsidRPr="005E0923">
        <w:rPr>
          <w:bCs/>
          <w:lang w:val="en-GB"/>
        </w:rPr>
        <w:lastRenderedPageBreak/>
        <w:t>the pharmacological effect on the body does not begin abruptly with the dose required for therapeutic efficacy in a particular field of application, but already below this limit and i</w:t>
      </w:r>
      <w:r w:rsidRPr="005E0923">
        <w:rPr>
          <w:bCs/>
          <w:lang w:val="en-GB"/>
        </w:rPr>
        <w:t>n</w:t>
      </w:r>
      <w:r w:rsidRPr="005E0923">
        <w:rPr>
          <w:bCs/>
          <w:lang w:val="en-GB"/>
        </w:rPr>
        <w:t>creases with increasing dosage</w:t>
      </w:r>
      <w:r w:rsidRPr="005E0923">
        <w:rPr>
          <w:rStyle w:val="Funotenzeichen"/>
          <w:bCs/>
          <w:lang w:val="en-GB"/>
        </w:rPr>
        <w:footnoteReference w:id="4"/>
      </w:r>
      <w:r w:rsidRPr="005E0923">
        <w:rPr>
          <w:bCs/>
          <w:lang w:val="en-GB"/>
        </w:rPr>
        <w:t xml:space="preserve"> ,</w:t>
      </w:r>
    </w:p>
    <w:p w14:paraId="4ABD034C" w14:textId="77777777" w:rsidR="001F13A1" w:rsidRPr="005E0923" w:rsidRDefault="003E3E15" w:rsidP="00037B6F">
      <w:pPr>
        <w:pStyle w:val="Listenabsatz"/>
        <w:numPr>
          <w:ilvl w:val="0"/>
          <w:numId w:val="6"/>
        </w:numPr>
        <w:jc w:val="both"/>
        <w:rPr>
          <w:bCs/>
          <w:lang w:val="en-GB"/>
        </w:rPr>
      </w:pPr>
      <w:r w:rsidRPr="005E0923">
        <w:rPr>
          <w:bCs/>
          <w:lang w:val="en-GB"/>
        </w:rPr>
        <w:t>Cannabidiol is not naturally present in food and therefore cannot be ingested with normal food intake.</w:t>
      </w:r>
    </w:p>
    <w:p w14:paraId="50346621" w14:textId="755E513E" w:rsidR="001F13A1" w:rsidRPr="005E0923" w:rsidRDefault="00516CBC" w:rsidP="00037B6F">
      <w:pPr>
        <w:jc w:val="both"/>
        <w:rPr>
          <w:bCs/>
          <w:lang w:val="en-GB"/>
        </w:rPr>
      </w:pPr>
      <w:r w:rsidRPr="005E0923">
        <w:rPr>
          <w:bCs/>
          <w:lang w:val="en-GB"/>
        </w:rPr>
        <w:t xml:space="preserve">The court </w:t>
      </w:r>
      <w:r w:rsidR="003C6C8B">
        <w:rPr>
          <w:bCs/>
          <w:lang w:val="en-GB"/>
        </w:rPr>
        <w:t xml:space="preserve">of Cologne </w:t>
      </w:r>
      <w:r w:rsidRPr="005E0923">
        <w:rPr>
          <w:bCs/>
          <w:lang w:val="en-GB"/>
        </w:rPr>
        <w:t xml:space="preserve">first attempts </w:t>
      </w:r>
      <w:r w:rsidR="0049238C" w:rsidRPr="005E0923">
        <w:rPr>
          <w:bCs/>
          <w:lang w:val="en-GB"/>
        </w:rPr>
        <w:t xml:space="preserve">a definition of pharmacological action, referring to </w:t>
      </w:r>
      <w:r w:rsidR="00EF437B" w:rsidRPr="005E0923">
        <w:rPr>
          <w:bCs/>
          <w:lang w:val="en-GB"/>
        </w:rPr>
        <w:t xml:space="preserve">the </w:t>
      </w:r>
      <w:r w:rsidR="0049238C" w:rsidRPr="005E0923">
        <w:rPr>
          <w:bCs/>
          <w:lang w:val="en-GB"/>
        </w:rPr>
        <w:t>so-called "</w:t>
      </w:r>
      <w:bookmarkStart w:id="1" w:name="_Hlk107327996"/>
      <w:r w:rsidR="0049238C" w:rsidRPr="005E0923">
        <w:rPr>
          <w:bCs/>
          <w:lang w:val="en-GB"/>
        </w:rPr>
        <w:t>Borderline-</w:t>
      </w:r>
      <w:r w:rsidR="0049238C" w:rsidRPr="00425D1A">
        <w:rPr>
          <w:bCs/>
          <w:lang w:val="en-GB"/>
        </w:rPr>
        <w:t xml:space="preserve">Guideline, </w:t>
      </w:r>
      <w:bookmarkEnd w:id="1"/>
      <w:r w:rsidR="00D802F1" w:rsidRPr="00E43D77">
        <w:rPr>
          <w:bCs/>
          <w:lang w:val="en-GB"/>
        </w:rPr>
        <w:t>MEDDEV 2.1/3, rev.3</w:t>
      </w:r>
      <w:r w:rsidR="00D802F1" w:rsidRPr="00425D1A">
        <w:rPr>
          <w:bCs/>
          <w:lang w:val="en-GB"/>
        </w:rPr>
        <w:t>"</w:t>
      </w:r>
      <w:r w:rsidR="00D802F1" w:rsidRPr="00425D1A">
        <w:rPr>
          <w:rStyle w:val="Funotenzeichen"/>
          <w:bCs/>
          <w:lang w:val="en-GB"/>
        </w:rPr>
        <w:footnoteReference w:id="5"/>
      </w:r>
      <w:r w:rsidR="0049238C" w:rsidRPr="00425D1A">
        <w:rPr>
          <w:bCs/>
          <w:lang w:val="en-GB"/>
        </w:rPr>
        <w:t>.</w:t>
      </w:r>
      <w:r w:rsidR="00EF437B" w:rsidRPr="00425D1A">
        <w:rPr>
          <w:bCs/>
          <w:lang w:val="en-GB"/>
        </w:rPr>
        <w:t xml:space="preserve"> </w:t>
      </w:r>
      <w:r w:rsidR="0049238C" w:rsidRPr="00425D1A">
        <w:rPr>
          <w:bCs/>
          <w:lang w:val="en-GB"/>
        </w:rPr>
        <w:t>This legally non</w:t>
      </w:r>
      <w:r w:rsidR="0049238C" w:rsidRPr="005E0923">
        <w:rPr>
          <w:bCs/>
          <w:lang w:val="en-GB"/>
        </w:rPr>
        <w:t xml:space="preserve">-binding guideline of </w:t>
      </w:r>
      <w:r w:rsidR="005E4356" w:rsidRPr="005E0923">
        <w:rPr>
          <w:bCs/>
          <w:lang w:val="en-GB"/>
        </w:rPr>
        <w:t>the EU Commi</w:t>
      </w:r>
      <w:r w:rsidR="005E4356" w:rsidRPr="005E0923">
        <w:rPr>
          <w:bCs/>
          <w:lang w:val="en-GB"/>
        </w:rPr>
        <w:t>s</w:t>
      </w:r>
      <w:r w:rsidR="005E4356" w:rsidRPr="005E0923">
        <w:rPr>
          <w:bCs/>
          <w:lang w:val="en-GB"/>
        </w:rPr>
        <w:t xml:space="preserve">sion </w:t>
      </w:r>
      <w:r w:rsidR="0049238C" w:rsidRPr="005E0923">
        <w:rPr>
          <w:bCs/>
          <w:lang w:val="en-GB"/>
        </w:rPr>
        <w:t xml:space="preserve">understands a pharmacological mode of action to be an interaction between the molecules of the substance in question </w:t>
      </w:r>
      <w:r w:rsidR="0055107C">
        <w:rPr>
          <w:bCs/>
          <w:lang w:val="en-GB"/>
        </w:rPr>
        <w:t xml:space="preserve">(called ligand) </w:t>
      </w:r>
      <w:r w:rsidR="0049238C" w:rsidRPr="005E0923">
        <w:rPr>
          <w:bCs/>
          <w:lang w:val="en-GB"/>
        </w:rPr>
        <w:t xml:space="preserve">and a cell component usually referred to as a receptor, which can be figuratively described </w:t>
      </w:r>
      <w:r w:rsidR="00350419">
        <w:rPr>
          <w:bCs/>
          <w:lang w:val="en-GB"/>
        </w:rPr>
        <w:t>by</w:t>
      </w:r>
      <w:r w:rsidR="0049238C" w:rsidRPr="005E0923">
        <w:rPr>
          <w:bCs/>
          <w:lang w:val="en-GB"/>
        </w:rPr>
        <w:t xml:space="preserve"> the "lock</w:t>
      </w:r>
      <w:r w:rsidR="00BB66C5">
        <w:rPr>
          <w:bCs/>
          <w:lang w:val="en-GB"/>
        </w:rPr>
        <w:t>-</w:t>
      </w:r>
      <w:r w:rsidR="0049238C" w:rsidRPr="005E0923">
        <w:rPr>
          <w:bCs/>
          <w:lang w:val="en-GB"/>
        </w:rPr>
        <w:t>and</w:t>
      </w:r>
      <w:r w:rsidR="00BB66C5">
        <w:rPr>
          <w:bCs/>
          <w:lang w:val="en-GB"/>
        </w:rPr>
        <w:t>-</w:t>
      </w:r>
      <w:r w:rsidR="0049238C" w:rsidRPr="005E0923">
        <w:rPr>
          <w:bCs/>
          <w:lang w:val="en-GB"/>
        </w:rPr>
        <w:t xml:space="preserve">key </w:t>
      </w:r>
      <w:r w:rsidR="00350419">
        <w:rPr>
          <w:bCs/>
          <w:lang w:val="en-GB"/>
        </w:rPr>
        <w:t>model</w:t>
      </w:r>
      <w:r w:rsidR="0049238C" w:rsidRPr="005E0923">
        <w:rPr>
          <w:bCs/>
          <w:lang w:val="en-GB"/>
        </w:rPr>
        <w:t>". The interaction either leads to a direct effect in the body, or the response to another ligand is blocked. However, a definition of pharmacological effect could not be derived from the ECJ's case law.</w:t>
      </w:r>
      <w:r w:rsidR="0049238C" w:rsidRPr="005E0923">
        <w:rPr>
          <w:rStyle w:val="Funotenzeichen"/>
          <w:bCs/>
          <w:lang w:val="en-GB"/>
        </w:rPr>
        <w:footnoteReference w:id="6"/>
      </w:r>
    </w:p>
    <w:p w14:paraId="053EF2EF" w14:textId="581EDDC7" w:rsidR="001F13A1" w:rsidRPr="005E0923" w:rsidRDefault="003E3E15" w:rsidP="00037B6F">
      <w:pPr>
        <w:pStyle w:val="Listenabsatz"/>
        <w:numPr>
          <w:ilvl w:val="0"/>
          <w:numId w:val="6"/>
        </w:numPr>
        <w:jc w:val="both"/>
        <w:rPr>
          <w:bCs/>
          <w:i/>
          <w:iCs/>
          <w:lang w:val="en-GB"/>
        </w:rPr>
      </w:pPr>
      <w:r w:rsidRPr="005E0923">
        <w:rPr>
          <w:bCs/>
          <w:i/>
          <w:iCs/>
          <w:lang w:val="en-GB"/>
        </w:rPr>
        <w:t xml:space="preserve">approved drug with the same active </w:t>
      </w:r>
      <w:r w:rsidR="003F682E">
        <w:rPr>
          <w:bCs/>
          <w:i/>
          <w:iCs/>
          <w:lang w:val="en-GB"/>
        </w:rPr>
        <w:t xml:space="preserve">pharmaceutical </w:t>
      </w:r>
      <w:r w:rsidRPr="005E0923">
        <w:rPr>
          <w:bCs/>
          <w:i/>
          <w:iCs/>
          <w:lang w:val="en-GB"/>
        </w:rPr>
        <w:t>ingredient</w:t>
      </w:r>
    </w:p>
    <w:p w14:paraId="5AFA605D" w14:textId="16EDAD14" w:rsidR="001F13A1" w:rsidRPr="005E0923" w:rsidRDefault="0049238C" w:rsidP="00037B6F">
      <w:pPr>
        <w:jc w:val="both"/>
        <w:rPr>
          <w:bCs/>
          <w:lang w:val="en-GB"/>
        </w:rPr>
      </w:pPr>
      <w:r w:rsidRPr="005E0923">
        <w:rPr>
          <w:bCs/>
          <w:lang w:val="en-GB"/>
        </w:rPr>
        <w:t>The existence of a newly a</w:t>
      </w:r>
      <w:r w:rsidR="001D61AE">
        <w:rPr>
          <w:bCs/>
          <w:lang w:val="en-GB"/>
        </w:rPr>
        <w:t>uthorised</w:t>
      </w:r>
      <w:r w:rsidRPr="005E0923">
        <w:rPr>
          <w:bCs/>
          <w:lang w:val="en-GB"/>
        </w:rPr>
        <w:t xml:space="preserve"> drug product with the same active </w:t>
      </w:r>
      <w:r w:rsidR="003F682E">
        <w:rPr>
          <w:bCs/>
          <w:lang w:val="en-GB"/>
        </w:rPr>
        <w:t xml:space="preserve">pharmaceutical </w:t>
      </w:r>
      <w:r w:rsidRPr="005E0923">
        <w:rPr>
          <w:bCs/>
          <w:lang w:val="en-GB"/>
        </w:rPr>
        <w:t>ingredient, the efficacy of which has been tested in an a</w:t>
      </w:r>
      <w:r w:rsidR="001D61AE">
        <w:rPr>
          <w:bCs/>
          <w:lang w:val="en-GB"/>
        </w:rPr>
        <w:t>uthorisation</w:t>
      </w:r>
      <w:r w:rsidRPr="005E0923">
        <w:rPr>
          <w:bCs/>
          <w:lang w:val="en-GB"/>
        </w:rPr>
        <w:t xml:space="preserve"> procedure</w:t>
      </w:r>
      <w:r w:rsidR="00EE4D69" w:rsidRPr="005E0923">
        <w:rPr>
          <w:bCs/>
          <w:lang w:val="en-GB"/>
        </w:rPr>
        <w:t xml:space="preserve">, </w:t>
      </w:r>
      <w:r w:rsidRPr="005E0923">
        <w:rPr>
          <w:bCs/>
          <w:lang w:val="en-GB"/>
        </w:rPr>
        <w:t xml:space="preserve">at least </w:t>
      </w:r>
      <w:r w:rsidR="00623D52" w:rsidRPr="005E0923">
        <w:rPr>
          <w:bCs/>
          <w:lang w:val="en-GB"/>
        </w:rPr>
        <w:t xml:space="preserve">justifies </w:t>
      </w:r>
      <w:r w:rsidRPr="005E0923">
        <w:rPr>
          <w:bCs/>
          <w:lang w:val="en-GB"/>
        </w:rPr>
        <w:t xml:space="preserve">the assumption that </w:t>
      </w:r>
      <w:r w:rsidR="00EE4D69" w:rsidRPr="005E0923">
        <w:rPr>
          <w:bCs/>
          <w:lang w:val="en-GB"/>
        </w:rPr>
        <w:t>the same substance in another product also ha</w:t>
      </w:r>
      <w:r w:rsidR="001D61AE">
        <w:rPr>
          <w:bCs/>
          <w:lang w:val="en-GB"/>
        </w:rPr>
        <w:t>d</w:t>
      </w:r>
      <w:r w:rsidR="00EE4D69" w:rsidRPr="005E0923">
        <w:rPr>
          <w:bCs/>
          <w:lang w:val="en-GB"/>
        </w:rPr>
        <w:t xml:space="preserve"> a </w:t>
      </w:r>
      <w:r w:rsidRPr="005E0923">
        <w:rPr>
          <w:bCs/>
          <w:lang w:val="en-GB"/>
        </w:rPr>
        <w:t>pharmacological</w:t>
      </w:r>
      <w:r w:rsidR="00EE4D69" w:rsidRPr="005E0923">
        <w:rPr>
          <w:bCs/>
          <w:lang w:val="en-GB"/>
        </w:rPr>
        <w:t xml:space="preserve"> effect and that this effect also </w:t>
      </w:r>
      <w:r w:rsidR="001D61AE">
        <w:rPr>
          <w:bCs/>
          <w:lang w:val="en-GB"/>
        </w:rPr>
        <w:t>was significant</w:t>
      </w:r>
      <w:r w:rsidR="00EE4D69" w:rsidRPr="005E0923">
        <w:rPr>
          <w:bCs/>
          <w:lang w:val="en-GB"/>
        </w:rPr>
        <w:t>.</w:t>
      </w:r>
    </w:p>
    <w:p w14:paraId="524FA9B3" w14:textId="275ADE67" w:rsidR="001F13A1" w:rsidRPr="005E0923" w:rsidRDefault="003E3E15" w:rsidP="00037B6F">
      <w:pPr>
        <w:jc w:val="both"/>
        <w:rPr>
          <w:bCs/>
          <w:lang w:val="en-GB"/>
        </w:rPr>
      </w:pPr>
      <w:r w:rsidRPr="005E0923">
        <w:rPr>
          <w:bCs/>
          <w:lang w:val="en-GB"/>
        </w:rPr>
        <w:t xml:space="preserve">By way of a </w:t>
      </w:r>
      <w:r w:rsidR="00037B6F" w:rsidRPr="00E21AE8">
        <w:rPr>
          <w:bCs/>
          <w:i/>
          <w:lang w:val="en-GB"/>
        </w:rPr>
        <w:t>per</w:t>
      </w:r>
      <w:r w:rsidR="00AF666F" w:rsidRPr="00E21AE8">
        <w:rPr>
          <w:bCs/>
          <w:i/>
          <w:lang w:val="en-GB"/>
        </w:rPr>
        <w:t xml:space="preserve"> </w:t>
      </w:r>
      <w:r w:rsidR="00037B6F" w:rsidRPr="00E21AE8">
        <w:rPr>
          <w:bCs/>
          <w:i/>
          <w:lang w:val="en-GB"/>
        </w:rPr>
        <w:t>se</w:t>
      </w:r>
      <w:r w:rsidRPr="005E0923">
        <w:rPr>
          <w:bCs/>
          <w:lang w:val="en-GB"/>
        </w:rPr>
        <w:t xml:space="preserve"> conclusion</w:t>
      </w:r>
      <w:r w:rsidR="005E0923">
        <w:rPr>
          <w:bCs/>
          <w:lang w:val="en-GB"/>
        </w:rPr>
        <w:t xml:space="preserve"> (“conclusion from priority</w:t>
      </w:r>
      <w:r w:rsidR="00BF03FE" w:rsidRPr="005E0923">
        <w:rPr>
          <w:bCs/>
          <w:lang w:val="en-GB"/>
        </w:rPr>
        <w:t>”)</w:t>
      </w:r>
      <w:r w:rsidRPr="005E0923">
        <w:rPr>
          <w:bCs/>
          <w:lang w:val="en-GB"/>
        </w:rPr>
        <w:t>, a therapeutic efficacy of a substance that has been proven in the drug a</w:t>
      </w:r>
      <w:r w:rsidR="003914FF">
        <w:rPr>
          <w:bCs/>
          <w:lang w:val="en-GB"/>
        </w:rPr>
        <w:t>uthorisation</w:t>
      </w:r>
      <w:r w:rsidRPr="005E0923">
        <w:rPr>
          <w:bCs/>
          <w:lang w:val="en-GB"/>
        </w:rPr>
        <w:t xml:space="preserve"> procedure entitles the assumption of a (</w:t>
      </w:r>
      <w:r w:rsidR="003914FF">
        <w:rPr>
          <w:bCs/>
          <w:lang w:val="en-GB"/>
        </w:rPr>
        <w:t>significant</w:t>
      </w:r>
      <w:r w:rsidRPr="005E0923">
        <w:rPr>
          <w:bCs/>
          <w:lang w:val="en-GB"/>
        </w:rPr>
        <w:t>) pha</w:t>
      </w:r>
      <w:r w:rsidRPr="005E0923">
        <w:rPr>
          <w:bCs/>
          <w:lang w:val="en-GB"/>
        </w:rPr>
        <w:t>r</w:t>
      </w:r>
      <w:r w:rsidRPr="005E0923">
        <w:rPr>
          <w:bCs/>
          <w:lang w:val="en-GB"/>
        </w:rPr>
        <w:t xml:space="preserve">macological effect. A product that is capable of fulfilling therapeutic purposes is </w:t>
      </w:r>
      <w:r w:rsidR="00E03C52" w:rsidRPr="005E0923">
        <w:rPr>
          <w:bCs/>
          <w:lang w:val="en-GB"/>
        </w:rPr>
        <w:t xml:space="preserve">in </w:t>
      </w:r>
      <w:r w:rsidRPr="005E0923">
        <w:rPr>
          <w:bCs/>
          <w:lang w:val="en-GB"/>
        </w:rPr>
        <w:t>any case a medic</w:t>
      </w:r>
      <w:r w:rsidRPr="005E0923">
        <w:rPr>
          <w:bCs/>
          <w:lang w:val="en-GB"/>
        </w:rPr>
        <w:t>i</w:t>
      </w:r>
      <w:r w:rsidRPr="005E0923">
        <w:rPr>
          <w:bCs/>
          <w:lang w:val="en-GB"/>
        </w:rPr>
        <w:t>nal product. This has long been recognized in the case law of the European Court of Justice.</w:t>
      </w:r>
      <w:r w:rsidR="00CD0A01" w:rsidRPr="005E0923">
        <w:rPr>
          <w:rStyle w:val="Funotenzeichen"/>
          <w:bCs/>
          <w:lang w:val="en-GB"/>
        </w:rPr>
        <w:footnoteReference w:id="7"/>
      </w:r>
    </w:p>
    <w:p w14:paraId="552E10AB" w14:textId="39CF97B3" w:rsidR="001F13A1" w:rsidRPr="005E0923" w:rsidRDefault="00AF0CD8" w:rsidP="00037B6F">
      <w:pPr>
        <w:jc w:val="both"/>
        <w:rPr>
          <w:bCs/>
          <w:lang w:val="en-GB"/>
        </w:rPr>
      </w:pPr>
      <w:r>
        <w:rPr>
          <w:bCs/>
          <w:lang w:val="en-GB"/>
        </w:rPr>
        <w:t>However, on e</w:t>
      </w:r>
      <w:r w:rsidR="00882C16">
        <w:rPr>
          <w:bCs/>
          <w:lang w:val="en-GB"/>
        </w:rPr>
        <w:t>xaminati</w:t>
      </w:r>
      <w:r>
        <w:rPr>
          <w:bCs/>
          <w:lang w:val="en-GB"/>
        </w:rPr>
        <w:t>o</w:t>
      </w:r>
      <w:r w:rsidR="00882C16">
        <w:rPr>
          <w:bCs/>
          <w:lang w:val="en-GB"/>
        </w:rPr>
        <w:t>n</w:t>
      </w:r>
      <w:r>
        <w:rPr>
          <w:bCs/>
          <w:lang w:val="en-GB"/>
        </w:rPr>
        <w:t xml:space="preserve"> of</w:t>
      </w:r>
      <w:r w:rsidR="003E3E15" w:rsidRPr="005E0923">
        <w:rPr>
          <w:bCs/>
          <w:lang w:val="en-GB"/>
        </w:rPr>
        <w:t xml:space="preserve"> the passages the </w:t>
      </w:r>
      <w:r w:rsidR="00E03C52" w:rsidRPr="005E0923">
        <w:rPr>
          <w:bCs/>
          <w:lang w:val="en-GB"/>
        </w:rPr>
        <w:t xml:space="preserve">court refers </w:t>
      </w:r>
      <w:r w:rsidR="00882C16" w:rsidRPr="005E0923">
        <w:rPr>
          <w:bCs/>
          <w:lang w:val="en-GB"/>
        </w:rPr>
        <w:t xml:space="preserve">to </w:t>
      </w:r>
      <w:r w:rsidR="00E03C52" w:rsidRPr="005E0923">
        <w:rPr>
          <w:bCs/>
          <w:lang w:val="en-GB"/>
        </w:rPr>
        <w:t xml:space="preserve">in the </w:t>
      </w:r>
      <w:r w:rsidR="003E3E15" w:rsidRPr="005E0923">
        <w:rPr>
          <w:bCs/>
          <w:lang w:val="en-GB"/>
        </w:rPr>
        <w:t xml:space="preserve">cited </w:t>
      </w:r>
      <w:r>
        <w:rPr>
          <w:bCs/>
          <w:lang w:val="en-GB"/>
        </w:rPr>
        <w:t xml:space="preserve">ECJ </w:t>
      </w:r>
      <w:r w:rsidR="003E3E15" w:rsidRPr="005E0923">
        <w:rPr>
          <w:bCs/>
          <w:lang w:val="en-GB"/>
        </w:rPr>
        <w:t>decisions, one may well doubt th</w:t>
      </w:r>
      <w:r w:rsidR="00872437">
        <w:rPr>
          <w:bCs/>
          <w:lang w:val="en-GB"/>
        </w:rPr>
        <w:t>e</w:t>
      </w:r>
      <w:r w:rsidR="003E3E15" w:rsidRPr="005E0923">
        <w:rPr>
          <w:bCs/>
          <w:lang w:val="en-GB"/>
        </w:rPr>
        <w:t>i</w:t>
      </w:r>
      <w:r w:rsidR="00872437">
        <w:rPr>
          <w:bCs/>
          <w:lang w:val="en-GB"/>
        </w:rPr>
        <w:t>r</w:t>
      </w:r>
      <w:r w:rsidR="003E3E15" w:rsidRPr="005E0923">
        <w:rPr>
          <w:bCs/>
          <w:lang w:val="en-GB"/>
        </w:rPr>
        <w:t xml:space="preserve"> clear interpretation. In Case C-150/00</w:t>
      </w:r>
      <w:r w:rsidR="00094BDF">
        <w:rPr>
          <w:bCs/>
          <w:lang w:val="en-GB"/>
        </w:rPr>
        <w:t xml:space="preserve"> there</w:t>
      </w:r>
      <w:r w:rsidR="003E3E15" w:rsidRPr="005E0923">
        <w:rPr>
          <w:bCs/>
          <w:lang w:val="en-GB"/>
        </w:rPr>
        <w:t xml:space="preserve"> </w:t>
      </w:r>
      <w:r w:rsidR="00094BDF" w:rsidRPr="005E0923">
        <w:rPr>
          <w:bCs/>
          <w:lang w:val="en-GB"/>
        </w:rPr>
        <w:t xml:space="preserve">had to be assessed </w:t>
      </w:r>
      <w:r w:rsidR="003E3E15" w:rsidRPr="005E0923">
        <w:rPr>
          <w:bCs/>
          <w:lang w:val="en-GB"/>
        </w:rPr>
        <w:t xml:space="preserve">the medicinal properties of a preparation containing vitamins and </w:t>
      </w:r>
      <w:proofErr w:type="gramStart"/>
      <w:r w:rsidR="003E3E15" w:rsidRPr="005E0923">
        <w:rPr>
          <w:bCs/>
          <w:lang w:val="en-GB"/>
        </w:rPr>
        <w:t>minerals.</w:t>
      </w:r>
      <w:proofErr w:type="gramEnd"/>
      <w:r w:rsidR="003E3E15" w:rsidRPr="005E0923">
        <w:rPr>
          <w:bCs/>
          <w:lang w:val="en-GB"/>
        </w:rPr>
        <w:t xml:space="preserve"> </w:t>
      </w:r>
      <w:r w:rsidR="00E03C52" w:rsidRPr="005E0923">
        <w:rPr>
          <w:bCs/>
          <w:lang w:val="en-GB"/>
        </w:rPr>
        <w:t xml:space="preserve">The ECJ clarified </w:t>
      </w:r>
      <w:r w:rsidR="009634E3">
        <w:rPr>
          <w:bCs/>
          <w:lang w:val="en-GB"/>
        </w:rPr>
        <w:t xml:space="preserve">that </w:t>
      </w:r>
      <w:r w:rsidR="005E0923" w:rsidRPr="005E0923">
        <w:rPr>
          <w:bCs/>
          <w:lang w:val="en-GB"/>
        </w:rPr>
        <w:t>those substances</w:t>
      </w:r>
      <w:r w:rsidR="003E3E15" w:rsidRPr="005E0923">
        <w:rPr>
          <w:bCs/>
          <w:lang w:val="en-GB"/>
        </w:rPr>
        <w:t>, which are absolutely necessary in very small quantities for daily nutrition and the proper functioning of the organism, cannot generally be regarded as medicines. On the other hand, it is undisputed that vit</w:t>
      </w:r>
      <w:r w:rsidR="003E3E15" w:rsidRPr="005E0923">
        <w:rPr>
          <w:bCs/>
          <w:lang w:val="en-GB"/>
        </w:rPr>
        <w:t>a</w:t>
      </w:r>
      <w:r w:rsidR="003E3E15" w:rsidRPr="005E0923">
        <w:rPr>
          <w:bCs/>
          <w:lang w:val="en-GB"/>
        </w:rPr>
        <w:t xml:space="preserve">min or </w:t>
      </w:r>
      <w:r w:rsidR="00E03C52" w:rsidRPr="005E0923">
        <w:rPr>
          <w:bCs/>
          <w:lang w:val="en-GB"/>
        </w:rPr>
        <w:t>mineral</w:t>
      </w:r>
      <w:r w:rsidR="003E3E15" w:rsidRPr="005E0923">
        <w:rPr>
          <w:bCs/>
          <w:lang w:val="en-GB"/>
        </w:rPr>
        <w:t xml:space="preserve"> substances are sometimes used in strong doses for therapeutic purposes in the case of certain diseases, the causes of which are not vitamin or mineral deficiencies. In these cases, the</w:t>
      </w:r>
      <w:r w:rsidR="009634E3">
        <w:rPr>
          <w:bCs/>
          <w:lang w:val="en-GB"/>
        </w:rPr>
        <w:t xml:space="preserve"> latter</w:t>
      </w:r>
      <w:r w:rsidR="003E3E15" w:rsidRPr="005E0923">
        <w:rPr>
          <w:bCs/>
          <w:lang w:val="en-GB"/>
        </w:rPr>
        <w:t xml:space="preserve"> preparations indisputably constitute medicines.</w:t>
      </w:r>
    </w:p>
    <w:p w14:paraId="63424563" w14:textId="5EE46675" w:rsidR="001F13A1" w:rsidRPr="005E0923" w:rsidRDefault="003E3E15" w:rsidP="00037B6F">
      <w:pPr>
        <w:jc w:val="both"/>
        <w:rPr>
          <w:bCs/>
          <w:lang w:val="en-GB"/>
        </w:rPr>
      </w:pPr>
      <w:r w:rsidRPr="005E0923">
        <w:rPr>
          <w:bCs/>
          <w:lang w:val="en-GB"/>
        </w:rPr>
        <w:lastRenderedPageBreak/>
        <w:t xml:space="preserve">Thus, the </w:t>
      </w:r>
      <w:r w:rsidR="00BA00C0" w:rsidRPr="005E0923">
        <w:rPr>
          <w:bCs/>
          <w:lang w:val="en-GB"/>
        </w:rPr>
        <w:t xml:space="preserve">chain of references that </w:t>
      </w:r>
      <w:r w:rsidRPr="005E0923">
        <w:rPr>
          <w:bCs/>
          <w:lang w:val="en-GB"/>
        </w:rPr>
        <w:t xml:space="preserve">the </w:t>
      </w:r>
      <w:r w:rsidR="00D32D69" w:rsidRPr="005E0923">
        <w:rPr>
          <w:bCs/>
          <w:lang w:val="en-GB"/>
        </w:rPr>
        <w:t xml:space="preserve">German court </w:t>
      </w:r>
      <w:r w:rsidR="00BA00C0" w:rsidRPr="005E0923">
        <w:rPr>
          <w:bCs/>
          <w:lang w:val="en-GB"/>
        </w:rPr>
        <w:t xml:space="preserve">draws </w:t>
      </w:r>
      <w:r w:rsidRPr="005E0923">
        <w:rPr>
          <w:bCs/>
          <w:lang w:val="en-GB"/>
        </w:rPr>
        <w:t xml:space="preserve">via the higher administrative courts </w:t>
      </w:r>
      <w:r w:rsidR="00BA00C0" w:rsidRPr="005E0923">
        <w:rPr>
          <w:bCs/>
          <w:lang w:val="en-GB"/>
        </w:rPr>
        <w:t xml:space="preserve">to the </w:t>
      </w:r>
      <w:r w:rsidR="00D569C9">
        <w:rPr>
          <w:bCs/>
          <w:lang w:val="en-GB"/>
        </w:rPr>
        <w:t xml:space="preserve">German </w:t>
      </w:r>
      <w:r w:rsidR="00BA00C0" w:rsidRPr="005E0923">
        <w:rPr>
          <w:bCs/>
          <w:lang w:val="en-GB"/>
        </w:rPr>
        <w:t>Federal Administrative Court</w:t>
      </w:r>
      <w:r w:rsidRPr="005E0923">
        <w:rPr>
          <w:bCs/>
          <w:lang w:val="en-GB"/>
        </w:rPr>
        <w:t xml:space="preserve">, </w:t>
      </w:r>
      <w:r w:rsidR="00BA00C0" w:rsidRPr="005E0923">
        <w:rPr>
          <w:bCs/>
          <w:lang w:val="en-GB"/>
        </w:rPr>
        <w:t>and to the European Court of Justice</w:t>
      </w:r>
      <w:r w:rsidR="00316C1E">
        <w:rPr>
          <w:bCs/>
          <w:lang w:val="en-GB"/>
        </w:rPr>
        <w:t>,</w:t>
      </w:r>
      <w:r w:rsidR="00BA00C0" w:rsidRPr="005E0923">
        <w:rPr>
          <w:bCs/>
          <w:lang w:val="en-GB"/>
        </w:rPr>
        <w:t xml:space="preserve"> actually </w:t>
      </w:r>
      <w:r w:rsidRPr="005E0923">
        <w:rPr>
          <w:bCs/>
          <w:lang w:val="en-GB"/>
        </w:rPr>
        <w:t xml:space="preserve">results in </w:t>
      </w:r>
      <w:r w:rsidR="00BA00C0" w:rsidRPr="005E0923">
        <w:rPr>
          <w:bCs/>
          <w:lang w:val="en-GB"/>
        </w:rPr>
        <w:t>exactly the opposite</w:t>
      </w:r>
      <w:r w:rsidR="006E4EDF">
        <w:rPr>
          <w:bCs/>
          <w:lang w:val="en-GB"/>
        </w:rPr>
        <w:t xml:space="preserve"> conclusion</w:t>
      </w:r>
      <w:r w:rsidR="00BA00C0" w:rsidRPr="005E0923">
        <w:rPr>
          <w:bCs/>
          <w:lang w:val="en-GB"/>
        </w:rPr>
        <w:t xml:space="preserve">. Even if the therapeutic efficacy </w:t>
      </w:r>
      <w:r w:rsidR="00ED7CD6">
        <w:rPr>
          <w:bCs/>
          <w:lang w:val="en-GB"/>
        </w:rPr>
        <w:t xml:space="preserve">within a certain dose range </w:t>
      </w:r>
      <w:r w:rsidR="00BA00C0" w:rsidRPr="005E0923">
        <w:rPr>
          <w:bCs/>
          <w:lang w:val="en-GB"/>
        </w:rPr>
        <w:t xml:space="preserve">is recognized, an </w:t>
      </w:r>
      <w:r w:rsidR="00405CD7" w:rsidRPr="005E0923">
        <w:rPr>
          <w:bCs/>
          <w:lang w:val="en-GB"/>
        </w:rPr>
        <w:t>"</w:t>
      </w:r>
      <w:proofErr w:type="spellStart"/>
      <w:r w:rsidR="00BA00C0" w:rsidRPr="005E0923">
        <w:rPr>
          <w:bCs/>
          <w:lang w:val="en-GB"/>
        </w:rPr>
        <w:t>underdosed</w:t>
      </w:r>
      <w:proofErr w:type="spellEnd"/>
      <w:r w:rsidR="00405CD7" w:rsidRPr="005E0923">
        <w:rPr>
          <w:bCs/>
          <w:lang w:val="en-GB"/>
        </w:rPr>
        <w:t xml:space="preserve">" </w:t>
      </w:r>
      <w:r w:rsidR="00BA00C0" w:rsidRPr="005E0923">
        <w:rPr>
          <w:bCs/>
          <w:lang w:val="en-GB"/>
        </w:rPr>
        <w:t xml:space="preserve">intake </w:t>
      </w:r>
      <w:r w:rsidR="00D33562" w:rsidRPr="005E0923">
        <w:rPr>
          <w:bCs/>
          <w:lang w:val="en-GB"/>
        </w:rPr>
        <w:t xml:space="preserve">(as the </w:t>
      </w:r>
      <w:r w:rsidR="00D32D69" w:rsidRPr="005E0923">
        <w:rPr>
          <w:bCs/>
          <w:lang w:val="en-GB"/>
        </w:rPr>
        <w:t xml:space="preserve">court </w:t>
      </w:r>
      <w:r w:rsidR="00D33562" w:rsidRPr="005E0923">
        <w:rPr>
          <w:bCs/>
          <w:lang w:val="en-GB"/>
        </w:rPr>
        <w:t xml:space="preserve">calls it) does </w:t>
      </w:r>
      <w:r w:rsidR="00BA00C0" w:rsidRPr="005E0923">
        <w:rPr>
          <w:bCs/>
          <w:lang w:val="en-GB"/>
        </w:rPr>
        <w:t xml:space="preserve">not make </w:t>
      </w:r>
      <w:r w:rsidR="00ED7CD6" w:rsidRPr="005E0923">
        <w:rPr>
          <w:bCs/>
          <w:lang w:val="en-GB"/>
        </w:rPr>
        <w:t xml:space="preserve">a drug </w:t>
      </w:r>
      <w:r w:rsidR="00ED7CD6">
        <w:rPr>
          <w:bCs/>
          <w:lang w:val="en-GB"/>
        </w:rPr>
        <w:t>of that</w:t>
      </w:r>
      <w:r w:rsidR="00BA00C0" w:rsidRPr="005E0923">
        <w:rPr>
          <w:bCs/>
          <w:lang w:val="en-GB"/>
        </w:rPr>
        <w:t xml:space="preserve"> preparation.</w:t>
      </w:r>
    </w:p>
    <w:p w14:paraId="006CDBEF" w14:textId="77777777" w:rsidR="001F13A1" w:rsidRPr="005E0923" w:rsidRDefault="003E3E15" w:rsidP="00037B6F">
      <w:pPr>
        <w:pStyle w:val="Listenabsatz"/>
        <w:numPr>
          <w:ilvl w:val="0"/>
          <w:numId w:val="6"/>
        </w:numPr>
        <w:jc w:val="both"/>
        <w:rPr>
          <w:bCs/>
          <w:i/>
          <w:iCs/>
          <w:lang w:val="en-GB"/>
        </w:rPr>
      </w:pPr>
      <w:r w:rsidRPr="005E0923">
        <w:rPr>
          <w:bCs/>
          <w:i/>
          <w:iCs/>
          <w:lang w:val="en-GB"/>
        </w:rPr>
        <w:t>CBD not a food</w:t>
      </w:r>
    </w:p>
    <w:p w14:paraId="6B3E01B1" w14:textId="6942F7A4" w:rsidR="001F13A1" w:rsidRPr="005E0923" w:rsidRDefault="009222ED" w:rsidP="00037B6F">
      <w:pPr>
        <w:jc w:val="both"/>
        <w:rPr>
          <w:bCs/>
          <w:lang w:val="en-GB"/>
        </w:rPr>
      </w:pPr>
      <w:r>
        <w:rPr>
          <w:bCs/>
          <w:lang w:val="en-GB"/>
        </w:rPr>
        <w:t xml:space="preserve">The </w:t>
      </w:r>
      <w:r w:rsidR="00563170">
        <w:rPr>
          <w:bCs/>
          <w:lang w:val="en-GB"/>
        </w:rPr>
        <w:t>Administrative C</w:t>
      </w:r>
      <w:r>
        <w:rPr>
          <w:bCs/>
          <w:lang w:val="en-GB"/>
        </w:rPr>
        <w:t xml:space="preserve">ourt of Cologne further arguments as follows: </w:t>
      </w:r>
      <w:r w:rsidR="002B78CA" w:rsidRPr="005E0923">
        <w:rPr>
          <w:bCs/>
          <w:lang w:val="en-GB"/>
        </w:rPr>
        <w:t xml:space="preserve"> the use of CBD for nutrition was not known and could not be proven by the plaintiff. The plaintiff </w:t>
      </w:r>
      <w:r w:rsidR="00ED18B8" w:rsidRPr="005E0923">
        <w:rPr>
          <w:bCs/>
          <w:lang w:val="en-GB"/>
        </w:rPr>
        <w:t xml:space="preserve">had </w:t>
      </w:r>
      <w:r w:rsidR="002B78CA" w:rsidRPr="005E0923">
        <w:rPr>
          <w:bCs/>
          <w:lang w:val="en-GB"/>
        </w:rPr>
        <w:t xml:space="preserve">either </w:t>
      </w:r>
      <w:r w:rsidR="008A6901" w:rsidRPr="005E0923">
        <w:rPr>
          <w:bCs/>
          <w:lang w:val="en-GB"/>
        </w:rPr>
        <w:t xml:space="preserve">referred to </w:t>
      </w:r>
      <w:r w:rsidR="00425D1A" w:rsidRPr="005E0923">
        <w:rPr>
          <w:bCs/>
          <w:lang w:val="en-GB"/>
        </w:rPr>
        <w:t>foodstuffs not</w:t>
      </w:r>
      <w:r w:rsidR="002B78CA" w:rsidRPr="005E0923">
        <w:rPr>
          <w:bCs/>
          <w:lang w:val="en-GB"/>
        </w:rPr>
        <w:t xml:space="preserve"> contain</w:t>
      </w:r>
      <w:r>
        <w:rPr>
          <w:bCs/>
          <w:lang w:val="en-GB"/>
        </w:rPr>
        <w:t>ing</w:t>
      </w:r>
      <w:r w:rsidR="002B78CA" w:rsidRPr="005E0923">
        <w:rPr>
          <w:bCs/>
          <w:lang w:val="en-GB"/>
        </w:rPr>
        <w:t xml:space="preserve"> CBD or, insofar as </w:t>
      </w:r>
      <w:r w:rsidR="00ED18B8" w:rsidRPr="005E0923">
        <w:rPr>
          <w:bCs/>
          <w:lang w:val="en-GB"/>
        </w:rPr>
        <w:t xml:space="preserve">teas </w:t>
      </w:r>
      <w:r w:rsidR="002B78CA" w:rsidRPr="005E0923">
        <w:rPr>
          <w:bCs/>
          <w:lang w:val="en-GB"/>
        </w:rPr>
        <w:t xml:space="preserve">made from cannabis flowers or other parts of the cannabis plant are </w:t>
      </w:r>
      <w:r w:rsidR="00ED18B8" w:rsidRPr="005E0923">
        <w:rPr>
          <w:bCs/>
          <w:lang w:val="en-GB"/>
        </w:rPr>
        <w:t>in</w:t>
      </w:r>
      <w:r w:rsidR="002B78CA" w:rsidRPr="005E0923">
        <w:rPr>
          <w:bCs/>
          <w:lang w:val="en-GB"/>
        </w:rPr>
        <w:t xml:space="preserve"> question, are subject to </w:t>
      </w:r>
      <w:r>
        <w:rPr>
          <w:bCs/>
          <w:lang w:val="en-GB"/>
        </w:rPr>
        <w:t xml:space="preserve">the </w:t>
      </w:r>
      <w:r w:rsidR="002B78CA" w:rsidRPr="005E0923">
        <w:rPr>
          <w:bCs/>
          <w:lang w:val="en-GB"/>
        </w:rPr>
        <w:t>narcotics law due to their THC content. According to the available evidence, it is also impossible to supply a comparable amount of CBD via a normal diet. Thus, in co</w:t>
      </w:r>
      <w:r w:rsidR="002B78CA" w:rsidRPr="005E0923">
        <w:rPr>
          <w:bCs/>
          <w:lang w:val="en-GB"/>
        </w:rPr>
        <w:t>n</w:t>
      </w:r>
      <w:r w:rsidR="002B78CA" w:rsidRPr="005E0923">
        <w:rPr>
          <w:bCs/>
          <w:lang w:val="en-GB"/>
        </w:rPr>
        <w:t>trast to true "dual-use products"</w:t>
      </w:r>
      <w:r w:rsidR="00D24C50" w:rsidRPr="005E0923">
        <w:rPr>
          <w:bCs/>
          <w:lang w:val="en-GB"/>
        </w:rPr>
        <w:t xml:space="preserve">, </w:t>
      </w:r>
      <w:r w:rsidR="002B78CA" w:rsidRPr="005E0923">
        <w:rPr>
          <w:bCs/>
          <w:lang w:val="en-GB"/>
        </w:rPr>
        <w:t>a decisive element f</w:t>
      </w:r>
      <w:r>
        <w:rPr>
          <w:bCs/>
          <w:lang w:val="en-GB"/>
        </w:rPr>
        <w:t>or</w:t>
      </w:r>
      <w:r w:rsidR="002B78CA" w:rsidRPr="005E0923">
        <w:rPr>
          <w:bCs/>
          <w:lang w:val="en-GB"/>
        </w:rPr>
        <w:t xml:space="preserve"> demarcation between medicinal </w:t>
      </w:r>
      <w:r>
        <w:rPr>
          <w:bCs/>
          <w:lang w:val="en-GB"/>
        </w:rPr>
        <w:t>product</w:t>
      </w:r>
      <w:r w:rsidR="002B78CA" w:rsidRPr="005E0923">
        <w:rPr>
          <w:bCs/>
          <w:lang w:val="en-GB"/>
        </w:rPr>
        <w:t>s and foodstuffs is eliminated. CBD is a medicinal substance without a food-related purpose.</w:t>
      </w:r>
    </w:p>
    <w:p w14:paraId="44D3C10A" w14:textId="77777777" w:rsidR="001F13A1" w:rsidRPr="005E0923" w:rsidRDefault="003E3E15" w:rsidP="00037B6F">
      <w:pPr>
        <w:pStyle w:val="Listenabsatz"/>
        <w:numPr>
          <w:ilvl w:val="0"/>
          <w:numId w:val="6"/>
        </w:numPr>
        <w:jc w:val="both"/>
        <w:rPr>
          <w:bCs/>
          <w:i/>
          <w:iCs/>
          <w:lang w:val="en-GB"/>
        </w:rPr>
      </w:pPr>
      <w:r w:rsidRPr="005E0923">
        <w:rPr>
          <w:bCs/>
          <w:i/>
          <w:iCs/>
          <w:lang w:val="en-GB"/>
        </w:rPr>
        <w:t xml:space="preserve">no limit for </w:t>
      </w:r>
      <w:r w:rsidR="00ED18B8" w:rsidRPr="005E0923">
        <w:rPr>
          <w:bCs/>
          <w:i/>
          <w:iCs/>
          <w:lang w:val="en-GB"/>
        </w:rPr>
        <w:t xml:space="preserve">the </w:t>
      </w:r>
      <w:r w:rsidRPr="005E0923">
        <w:rPr>
          <w:bCs/>
          <w:i/>
          <w:iCs/>
          <w:lang w:val="en-GB"/>
        </w:rPr>
        <w:t>onset of the pharmacological effect</w:t>
      </w:r>
    </w:p>
    <w:p w14:paraId="0AA164A4" w14:textId="2B4D213A" w:rsidR="001F13A1" w:rsidRPr="005E0923" w:rsidRDefault="00121FFA" w:rsidP="00037B6F">
      <w:pPr>
        <w:jc w:val="both"/>
        <w:rPr>
          <w:rFonts w:asciiTheme="minorHAnsi" w:hAnsiTheme="minorHAnsi" w:cstheme="minorHAnsi"/>
          <w:color w:val="000000"/>
          <w:lang w:val="en-GB"/>
        </w:rPr>
      </w:pPr>
      <w:r w:rsidRPr="005E0923">
        <w:rPr>
          <w:rFonts w:asciiTheme="minorHAnsi" w:hAnsiTheme="minorHAnsi" w:cstheme="minorHAnsi"/>
          <w:color w:val="000000"/>
          <w:lang w:val="en-GB"/>
        </w:rPr>
        <w:t>In the current decision, the Cologne Administrative Court is also of the opinion that there can be no fixed threshold for the onset of a pharmacological effect. With reference to its own previous dec</w:t>
      </w:r>
      <w:r w:rsidRPr="005E0923">
        <w:rPr>
          <w:rFonts w:asciiTheme="minorHAnsi" w:hAnsiTheme="minorHAnsi" w:cstheme="minorHAnsi"/>
          <w:color w:val="000000"/>
          <w:lang w:val="en-GB"/>
        </w:rPr>
        <w:t>i</w:t>
      </w:r>
      <w:r w:rsidRPr="005E0923">
        <w:rPr>
          <w:rFonts w:asciiTheme="minorHAnsi" w:hAnsiTheme="minorHAnsi" w:cstheme="minorHAnsi"/>
          <w:color w:val="000000"/>
          <w:lang w:val="en-GB"/>
        </w:rPr>
        <w:t>sion</w:t>
      </w:r>
      <w:r w:rsidR="00C90844" w:rsidRPr="005E0923">
        <w:rPr>
          <w:rStyle w:val="Funotenzeichen"/>
          <w:rFonts w:asciiTheme="minorHAnsi" w:hAnsiTheme="minorHAnsi" w:cstheme="minorHAnsi"/>
          <w:color w:val="000000"/>
          <w:lang w:val="en-GB"/>
        </w:rPr>
        <w:footnoteReference w:id="8"/>
      </w:r>
      <w:r w:rsidR="00FE5AFC" w:rsidRPr="005E0923">
        <w:rPr>
          <w:rFonts w:asciiTheme="minorHAnsi" w:hAnsiTheme="minorHAnsi" w:cstheme="minorHAnsi"/>
          <w:color w:val="000000"/>
          <w:lang w:val="en-GB"/>
        </w:rPr>
        <w:t xml:space="preserve">, the Administrative Court </w:t>
      </w:r>
      <w:r w:rsidR="00AB51B1" w:rsidRPr="005E0923">
        <w:rPr>
          <w:rFonts w:asciiTheme="minorHAnsi" w:hAnsiTheme="minorHAnsi" w:cstheme="minorHAnsi"/>
          <w:color w:val="000000"/>
          <w:lang w:val="en-GB"/>
        </w:rPr>
        <w:t>states</w:t>
      </w:r>
      <w:r w:rsidR="00FE5AFC" w:rsidRPr="005E0923">
        <w:rPr>
          <w:rFonts w:asciiTheme="minorHAnsi" w:hAnsiTheme="minorHAnsi" w:cstheme="minorHAnsi"/>
          <w:color w:val="000000"/>
          <w:lang w:val="en-GB"/>
        </w:rPr>
        <w:t xml:space="preserve">: in the </w:t>
      </w:r>
      <w:r w:rsidRPr="005E0923">
        <w:rPr>
          <w:rFonts w:asciiTheme="minorHAnsi" w:hAnsiTheme="minorHAnsi" w:cstheme="minorHAnsi"/>
          <w:color w:val="000000"/>
          <w:lang w:val="en-GB"/>
        </w:rPr>
        <w:t xml:space="preserve">case in which </w:t>
      </w:r>
      <w:r w:rsidR="00C90844" w:rsidRPr="005E0923">
        <w:rPr>
          <w:rFonts w:asciiTheme="minorHAnsi" w:hAnsiTheme="minorHAnsi" w:cstheme="minorHAnsi"/>
          <w:color w:val="000000"/>
          <w:lang w:val="en-GB"/>
        </w:rPr>
        <w:t>a substance with proven drug-typical fun</w:t>
      </w:r>
      <w:r w:rsidR="00C90844" w:rsidRPr="005E0923">
        <w:rPr>
          <w:rFonts w:asciiTheme="minorHAnsi" w:hAnsiTheme="minorHAnsi" w:cstheme="minorHAnsi"/>
          <w:color w:val="000000"/>
          <w:lang w:val="en-GB"/>
        </w:rPr>
        <w:t>c</w:t>
      </w:r>
      <w:r w:rsidR="00C90844" w:rsidRPr="005E0923">
        <w:rPr>
          <w:rFonts w:asciiTheme="minorHAnsi" w:hAnsiTheme="minorHAnsi" w:cstheme="minorHAnsi"/>
          <w:color w:val="000000"/>
          <w:lang w:val="en-GB"/>
        </w:rPr>
        <w:t xml:space="preserve">tions </w:t>
      </w:r>
      <w:r w:rsidRPr="005E0923">
        <w:rPr>
          <w:rFonts w:asciiTheme="minorHAnsi" w:hAnsiTheme="minorHAnsi" w:cstheme="minorHAnsi"/>
          <w:color w:val="000000"/>
          <w:lang w:val="en-GB"/>
        </w:rPr>
        <w:t xml:space="preserve">is </w:t>
      </w:r>
      <w:r w:rsidR="00FE5AFC" w:rsidRPr="005E0923">
        <w:rPr>
          <w:rFonts w:asciiTheme="minorHAnsi" w:hAnsiTheme="minorHAnsi" w:cstheme="minorHAnsi"/>
          <w:color w:val="000000"/>
          <w:lang w:val="en-GB"/>
        </w:rPr>
        <w:t>dosed</w:t>
      </w:r>
      <w:r w:rsidR="00C90844" w:rsidRPr="005E0923">
        <w:rPr>
          <w:rFonts w:asciiTheme="minorHAnsi" w:hAnsiTheme="minorHAnsi" w:cstheme="minorHAnsi"/>
          <w:color w:val="000000"/>
          <w:lang w:val="en-GB"/>
        </w:rPr>
        <w:t xml:space="preserve"> just below the therapeutic efficacy threshold, there is a presumption that this product also has a pharmacological effect in any case. This is because this </w:t>
      </w:r>
      <w:r w:rsidRPr="005E0923">
        <w:rPr>
          <w:rFonts w:asciiTheme="minorHAnsi" w:hAnsiTheme="minorHAnsi" w:cstheme="minorHAnsi"/>
          <w:color w:val="000000"/>
          <w:lang w:val="en-GB"/>
        </w:rPr>
        <w:t xml:space="preserve">effect does </w:t>
      </w:r>
      <w:r w:rsidR="00C90844" w:rsidRPr="005E0923">
        <w:rPr>
          <w:rFonts w:asciiTheme="minorHAnsi" w:hAnsiTheme="minorHAnsi" w:cstheme="minorHAnsi"/>
          <w:color w:val="000000"/>
          <w:lang w:val="en-GB"/>
        </w:rPr>
        <w:t xml:space="preserve">not start abruptly only at the onset of therapeutic </w:t>
      </w:r>
      <w:r w:rsidR="001C5446" w:rsidRPr="005E0923">
        <w:rPr>
          <w:rFonts w:asciiTheme="minorHAnsi" w:hAnsiTheme="minorHAnsi" w:cstheme="minorHAnsi"/>
          <w:color w:val="000000"/>
          <w:lang w:val="en-GB"/>
        </w:rPr>
        <w:t>efficacy but</w:t>
      </w:r>
      <w:r w:rsidR="00C90844" w:rsidRPr="005E0923">
        <w:rPr>
          <w:rFonts w:asciiTheme="minorHAnsi" w:hAnsiTheme="minorHAnsi" w:cstheme="minorHAnsi"/>
          <w:color w:val="000000"/>
          <w:lang w:val="en-GB"/>
        </w:rPr>
        <w:t xml:space="preserve"> is already present below this threshold. As a rule, the effect of a drug increases with increasing dose, whereby the threshold for therapeutic success is only e</w:t>
      </w:r>
      <w:r w:rsidR="00C90844" w:rsidRPr="005E0923">
        <w:rPr>
          <w:rFonts w:asciiTheme="minorHAnsi" w:hAnsiTheme="minorHAnsi" w:cstheme="minorHAnsi"/>
          <w:color w:val="000000"/>
          <w:lang w:val="en-GB"/>
        </w:rPr>
        <w:t>x</w:t>
      </w:r>
      <w:r w:rsidR="00C90844" w:rsidRPr="005E0923">
        <w:rPr>
          <w:rFonts w:asciiTheme="minorHAnsi" w:hAnsiTheme="minorHAnsi" w:cstheme="minorHAnsi"/>
          <w:color w:val="000000"/>
          <w:lang w:val="en-GB"/>
        </w:rPr>
        <w:t>ceeded at a certain point</w:t>
      </w:r>
      <w:r w:rsidRPr="005E0923">
        <w:rPr>
          <w:rFonts w:asciiTheme="minorHAnsi" w:hAnsiTheme="minorHAnsi" w:cstheme="minorHAnsi"/>
          <w:color w:val="000000"/>
          <w:lang w:val="en-GB"/>
        </w:rPr>
        <w:t xml:space="preserve">. </w:t>
      </w:r>
    </w:p>
    <w:p w14:paraId="6C9EB068" w14:textId="77777777" w:rsidR="001F13A1" w:rsidRPr="005E0923" w:rsidRDefault="003E3E15" w:rsidP="00037B6F">
      <w:pPr>
        <w:pStyle w:val="Listenabsatz"/>
        <w:numPr>
          <w:ilvl w:val="0"/>
          <w:numId w:val="6"/>
        </w:numPr>
        <w:jc w:val="both"/>
        <w:rPr>
          <w:bCs/>
          <w:i/>
          <w:iCs/>
          <w:lang w:val="en-GB"/>
        </w:rPr>
      </w:pPr>
      <w:r w:rsidRPr="005E0923">
        <w:rPr>
          <w:bCs/>
          <w:i/>
          <w:iCs/>
          <w:lang w:val="en-GB"/>
        </w:rPr>
        <w:t>Evidence of pharmacological action</w:t>
      </w:r>
    </w:p>
    <w:p w14:paraId="1EE274E7" w14:textId="6AE33634" w:rsidR="001F13A1" w:rsidRPr="005E0923" w:rsidRDefault="00A1612D" w:rsidP="00037B6F">
      <w:pPr>
        <w:jc w:val="both"/>
        <w:rPr>
          <w:bCs/>
          <w:lang w:val="en-GB"/>
        </w:rPr>
      </w:pPr>
      <w:r>
        <w:rPr>
          <w:bCs/>
          <w:lang w:val="en-GB"/>
        </w:rPr>
        <w:t>Further, the Court seeks recourse to</w:t>
      </w:r>
      <w:r w:rsidR="003E3E15" w:rsidRPr="005E0923">
        <w:rPr>
          <w:bCs/>
          <w:lang w:val="en-GB"/>
        </w:rPr>
        <w:t xml:space="preserve"> BfArM </w:t>
      </w:r>
      <w:r>
        <w:rPr>
          <w:bCs/>
          <w:lang w:val="en-GB"/>
        </w:rPr>
        <w:t xml:space="preserve">that </w:t>
      </w:r>
      <w:r w:rsidR="003E3E15" w:rsidRPr="005E0923">
        <w:rPr>
          <w:bCs/>
          <w:lang w:val="en-GB"/>
        </w:rPr>
        <w:t xml:space="preserve">had also </w:t>
      </w:r>
      <w:r>
        <w:rPr>
          <w:bCs/>
          <w:lang w:val="en-GB"/>
        </w:rPr>
        <w:t>endeavoured to</w:t>
      </w:r>
      <w:r w:rsidR="00F517F7">
        <w:rPr>
          <w:bCs/>
          <w:lang w:val="en-GB"/>
        </w:rPr>
        <w:t xml:space="preserve"> </w:t>
      </w:r>
      <w:r>
        <w:rPr>
          <w:bCs/>
          <w:lang w:val="en-GB"/>
        </w:rPr>
        <w:t xml:space="preserve">assign </w:t>
      </w:r>
      <w:r w:rsidR="003E3E15" w:rsidRPr="005E0923">
        <w:rPr>
          <w:bCs/>
          <w:lang w:val="en-GB"/>
        </w:rPr>
        <w:t xml:space="preserve">the </w:t>
      </w:r>
      <w:r>
        <w:rPr>
          <w:bCs/>
          <w:lang w:val="en-GB"/>
        </w:rPr>
        <w:t>properties</w:t>
      </w:r>
      <w:r w:rsidR="003E3E15" w:rsidRPr="005E0923">
        <w:rPr>
          <w:bCs/>
          <w:lang w:val="en-GB"/>
        </w:rPr>
        <w:t xml:space="preserve"> of a medicinal product</w:t>
      </w:r>
      <w:r>
        <w:rPr>
          <w:bCs/>
          <w:lang w:val="en-GB"/>
        </w:rPr>
        <w:t xml:space="preserve"> to the CBD oils in question</w:t>
      </w:r>
      <w:r w:rsidR="003E3E15" w:rsidRPr="005E0923">
        <w:rPr>
          <w:bCs/>
          <w:lang w:val="en-GB"/>
        </w:rPr>
        <w:t xml:space="preserve">, in particular by referring to the </w:t>
      </w:r>
      <w:r w:rsidR="00425D1A" w:rsidRPr="005E0923">
        <w:rPr>
          <w:bCs/>
          <w:lang w:val="en-GB"/>
        </w:rPr>
        <w:t>a</w:t>
      </w:r>
      <w:r w:rsidR="00425D1A">
        <w:rPr>
          <w:bCs/>
          <w:lang w:val="en-GB"/>
        </w:rPr>
        <w:t>uthoris</w:t>
      </w:r>
      <w:r w:rsidR="00425D1A" w:rsidRPr="005E0923">
        <w:rPr>
          <w:bCs/>
          <w:lang w:val="en-GB"/>
        </w:rPr>
        <w:t xml:space="preserve">ed </w:t>
      </w:r>
      <w:r w:rsidR="00425D1A">
        <w:rPr>
          <w:bCs/>
          <w:lang w:val="en-GB"/>
        </w:rPr>
        <w:t>medicinal</w:t>
      </w:r>
      <w:r>
        <w:rPr>
          <w:bCs/>
          <w:lang w:val="en-GB"/>
        </w:rPr>
        <w:t xml:space="preserve"> </w:t>
      </w:r>
      <w:r w:rsidRPr="00DE5E29">
        <w:rPr>
          <w:bCs/>
          <w:lang w:val="en-GB"/>
        </w:rPr>
        <w:t>product Epidyolex</w:t>
      </w:r>
      <w:r w:rsidRPr="00DE5E29">
        <w:rPr>
          <w:rFonts w:cs="Calibri"/>
          <w:bCs/>
          <w:lang w:val="en-GB"/>
        </w:rPr>
        <w:t>®</w:t>
      </w:r>
      <w:r w:rsidR="003E3E15" w:rsidRPr="00DE5E29">
        <w:rPr>
          <w:bCs/>
          <w:lang w:val="en-GB"/>
        </w:rPr>
        <w:t>, the dosage</w:t>
      </w:r>
      <w:r w:rsidR="003E3E15" w:rsidRPr="005E0923">
        <w:rPr>
          <w:bCs/>
          <w:lang w:val="en-GB"/>
        </w:rPr>
        <w:t xml:space="preserve"> and the specific use of the substance. </w:t>
      </w:r>
      <w:r w:rsidR="00EF2EE1">
        <w:rPr>
          <w:bCs/>
          <w:lang w:val="en-GB"/>
        </w:rPr>
        <w:t>By their reasoning i</w:t>
      </w:r>
      <w:r w:rsidR="003E3E15" w:rsidRPr="005E0923">
        <w:rPr>
          <w:bCs/>
          <w:lang w:val="en-GB"/>
        </w:rPr>
        <w:t xml:space="preserve">t was not necessary to </w:t>
      </w:r>
      <w:r w:rsidR="005E0923" w:rsidRPr="005E0923">
        <w:rPr>
          <w:bCs/>
          <w:lang w:val="en-GB"/>
        </w:rPr>
        <w:t>analyse</w:t>
      </w:r>
      <w:r w:rsidR="003E3E15" w:rsidRPr="005E0923">
        <w:rPr>
          <w:bCs/>
          <w:lang w:val="en-GB"/>
        </w:rPr>
        <w:t xml:space="preserve"> the specific mechanism of action, since this could not be done for plant-based active substances in particular</w:t>
      </w:r>
      <w:r w:rsidR="00C76AFA">
        <w:rPr>
          <w:bCs/>
          <w:lang w:val="en-GB"/>
        </w:rPr>
        <w:t>,</w:t>
      </w:r>
      <w:r w:rsidR="003E3E15" w:rsidRPr="005E0923">
        <w:rPr>
          <w:bCs/>
          <w:lang w:val="en-GB"/>
        </w:rPr>
        <w:t xml:space="preserve"> and in any </w:t>
      </w:r>
      <w:r w:rsidR="00425D1A" w:rsidRPr="005E0923">
        <w:rPr>
          <w:bCs/>
          <w:lang w:val="en-GB"/>
        </w:rPr>
        <w:t>case,</w:t>
      </w:r>
      <w:r w:rsidR="003E3E15" w:rsidRPr="005E0923">
        <w:rPr>
          <w:bCs/>
          <w:lang w:val="en-GB"/>
        </w:rPr>
        <w:t xml:space="preserve"> </w:t>
      </w:r>
      <w:r w:rsidR="00CB2A73">
        <w:rPr>
          <w:bCs/>
          <w:lang w:val="en-GB"/>
        </w:rPr>
        <w:t xml:space="preserve">it was </w:t>
      </w:r>
      <w:r w:rsidR="003E3E15" w:rsidRPr="005E0923">
        <w:rPr>
          <w:bCs/>
          <w:lang w:val="en-GB"/>
        </w:rPr>
        <w:t xml:space="preserve">unnecessary </w:t>
      </w:r>
      <w:r w:rsidR="00EF2EE1">
        <w:rPr>
          <w:bCs/>
          <w:lang w:val="en-GB"/>
        </w:rPr>
        <w:t>as</w:t>
      </w:r>
      <w:r w:rsidR="003E3E15" w:rsidRPr="005E0923">
        <w:rPr>
          <w:bCs/>
          <w:lang w:val="en-GB"/>
        </w:rPr>
        <w:t xml:space="preserve"> the efficacy of </w:t>
      </w:r>
      <w:r w:rsidR="00EF2EE1">
        <w:rPr>
          <w:bCs/>
          <w:lang w:val="en-GB"/>
        </w:rPr>
        <w:t>the</w:t>
      </w:r>
      <w:r w:rsidR="003E3E15" w:rsidRPr="005E0923">
        <w:rPr>
          <w:bCs/>
          <w:lang w:val="en-GB"/>
        </w:rPr>
        <w:t xml:space="preserve"> substance in </w:t>
      </w:r>
      <w:r w:rsidR="001C5446" w:rsidRPr="005E0923">
        <w:rPr>
          <w:bCs/>
          <w:lang w:val="en-GB"/>
        </w:rPr>
        <w:t>medicinal</w:t>
      </w:r>
      <w:r w:rsidR="003E3E15" w:rsidRPr="005E0923">
        <w:rPr>
          <w:bCs/>
          <w:lang w:val="en-GB"/>
        </w:rPr>
        <w:t xml:space="preserve"> use </w:t>
      </w:r>
      <w:r w:rsidR="00FE5AFC" w:rsidRPr="005E0923">
        <w:rPr>
          <w:bCs/>
          <w:lang w:val="en-GB"/>
        </w:rPr>
        <w:t>was</w:t>
      </w:r>
      <w:r w:rsidR="003E3E15" w:rsidRPr="005E0923">
        <w:rPr>
          <w:bCs/>
          <w:lang w:val="en-GB"/>
        </w:rPr>
        <w:t xml:space="preserve"> proven.</w:t>
      </w:r>
      <w:r w:rsidR="00DC5FEC" w:rsidRPr="005E0923">
        <w:rPr>
          <w:bCs/>
          <w:lang w:val="en-GB"/>
        </w:rPr>
        <w:t xml:space="preserve"> With regard to the question of </w:t>
      </w:r>
      <w:r w:rsidR="005E0923" w:rsidRPr="005E0923">
        <w:rPr>
          <w:bCs/>
          <w:lang w:val="en-GB"/>
        </w:rPr>
        <w:t>whether effects</w:t>
      </w:r>
      <w:r w:rsidR="00DC5FEC" w:rsidRPr="005E0923">
        <w:rPr>
          <w:bCs/>
          <w:lang w:val="en-GB"/>
        </w:rPr>
        <w:t xml:space="preserve"> of a product on physiolo</w:t>
      </w:r>
      <w:r w:rsidR="00DC5FEC" w:rsidRPr="005E0923">
        <w:rPr>
          <w:bCs/>
          <w:lang w:val="en-GB"/>
        </w:rPr>
        <w:t>g</w:t>
      </w:r>
      <w:r w:rsidR="00DC5FEC" w:rsidRPr="005E0923">
        <w:rPr>
          <w:bCs/>
          <w:lang w:val="en-GB"/>
        </w:rPr>
        <w:t>ical functions, in comparison with foodstuffs, can be scientifically established, this obligation to pr</w:t>
      </w:r>
      <w:r w:rsidR="00DC5FEC" w:rsidRPr="005E0923">
        <w:rPr>
          <w:bCs/>
          <w:lang w:val="en-GB"/>
        </w:rPr>
        <w:t>o</w:t>
      </w:r>
      <w:r w:rsidR="00DC5FEC" w:rsidRPr="005E0923">
        <w:rPr>
          <w:bCs/>
          <w:lang w:val="en-GB"/>
        </w:rPr>
        <w:t xml:space="preserve">vide </w:t>
      </w:r>
      <w:r w:rsidR="001C5446" w:rsidRPr="005E0923">
        <w:rPr>
          <w:bCs/>
          <w:lang w:val="en-GB"/>
        </w:rPr>
        <w:t>clarification</w:t>
      </w:r>
      <w:r w:rsidR="00DC5FEC" w:rsidRPr="005E0923">
        <w:rPr>
          <w:bCs/>
          <w:lang w:val="en-GB"/>
        </w:rPr>
        <w:t xml:space="preserve"> is limited by the peculiarities of the scientific knowledge process. The administrative court </w:t>
      </w:r>
      <w:r w:rsidR="00EF437B" w:rsidRPr="005E0923">
        <w:rPr>
          <w:bCs/>
          <w:lang w:val="en-GB"/>
        </w:rPr>
        <w:t xml:space="preserve">examines </w:t>
      </w:r>
      <w:r w:rsidR="00DC5FEC" w:rsidRPr="005E0923">
        <w:rPr>
          <w:bCs/>
          <w:lang w:val="en-GB"/>
        </w:rPr>
        <w:t xml:space="preserve">whether the </w:t>
      </w:r>
      <w:r w:rsidR="00B05D79">
        <w:rPr>
          <w:bCs/>
          <w:lang w:val="en-GB"/>
        </w:rPr>
        <w:t>evidence</w:t>
      </w:r>
      <w:r w:rsidR="00DC5FEC" w:rsidRPr="005E0923">
        <w:rPr>
          <w:bCs/>
          <w:lang w:val="en-GB"/>
        </w:rPr>
        <w:t xml:space="preserve"> of a pharmacological effect has been successful</w:t>
      </w:r>
      <w:r w:rsidR="00B05D79">
        <w:rPr>
          <w:bCs/>
          <w:lang w:val="en-GB"/>
        </w:rPr>
        <w:t xml:space="preserve">ly </w:t>
      </w:r>
      <w:r w:rsidR="00425D1A">
        <w:rPr>
          <w:bCs/>
          <w:lang w:val="en-GB"/>
        </w:rPr>
        <w:t>demonstra</w:t>
      </w:r>
      <w:r w:rsidR="00425D1A">
        <w:rPr>
          <w:bCs/>
          <w:lang w:val="en-GB"/>
        </w:rPr>
        <w:t>t</w:t>
      </w:r>
      <w:r w:rsidR="00425D1A">
        <w:rPr>
          <w:bCs/>
          <w:lang w:val="en-GB"/>
        </w:rPr>
        <w:t>ed</w:t>
      </w:r>
      <w:r w:rsidR="00425D1A" w:rsidRPr="005E0923">
        <w:rPr>
          <w:bCs/>
          <w:lang w:val="en-GB"/>
        </w:rPr>
        <w:t xml:space="preserve"> </w:t>
      </w:r>
      <w:r w:rsidR="00F06383" w:rsidRPr="005E0923">
        <w:rPr>
          <w:bCs/>
          <w:lang w:val="en-GB"/>
        </w:rPr>
        <w:t xml:space="preserve">by the authority </w:t>
      </w:r>
      <w:r w:rsidR="00425D1A" w:rsidRPr="005E0923">
        <w:rPr>
          <w:bCs/>
          <w:lang w:val="en-GB"/>
        </w:rPr>
        <w:t>but</w:t>
      </w:r>
      <w:r w:rsidR="00DC5FEC" w:rsidRPr="005E0923">
        <w:rPr>
          <w:bCs/>
          <w:lang w:val="en-GB"/>
        </w:rPr>
        <w:t xml:space="preserve"> does not have to </w:t>
      </w:r>
      <w:r w:rsidR="00B05D79">
        <w:rPr>
          <w:bCs/>
          <w:lang w:val="en-GB"/>
        </w:rPr>
        <w:t>procure</w:t>
      </w:r>
      <w:r w:rsidR="00DC5FEC" w:rsidRPr="005E0923">
        <w:rPr>
          <w:bCs/>
          <w:lang w:val="en-GB"/>
        </w:rPr>
        <w:t xml:space="preserve"> it </w:t>
      </w:r>
      <w:r w:rsidR="00C76AFA">
        <w:rPr>
          <w:bCs/>
          <w:lang w:val="en-GB"/>
        </w:rPr>
        <w:t xml:space="preserve">by </w:t>
      </w:r>
      <w:r w:rsidR="00F06383">
        <w:rPr>
          <w:bCs/>
          <w:lang w:val="en-GB"/>
        </w:rPr>
        <w:t>its</w:t>
      </w:r>
      <w:r w:rsidR="00C76AFA">
        <w:rPr>
          <w:bCs/>
          <w:lang w:val="en-GB"/>
        </w:rPr>
        <w:t xml:space="preserve"> own</w:t>
      </w:r>
      <w:r w:rsidR="00DC5FEC" w:rsidRPr="005E0923">
        <w:rPr>
          <w:bCs/>
          <w:lang w:val="en-GB"/>
        </w:rPr>
        <w:t>.</w:t>
      </w:r>
    </w:p>
    <w:p w14:paraId="70AB83C7" w14:textId="77777777" w:rsidR="001F13A1" w:rsidRPr="005E0923" w:rsidRDefault="003E3E15" w:rsidP="00037B6F">
      <w:pPr>
        <w:pStyle w:val="Listenabsatz"/>
        <w:numPr>
          <w:ilvl w:val="0"/>
          <w:numId w:val="1"/>
        </w:numPr>
        <w:jc w:val="both"/>
        <w:rPr>
          <w:b/>
          <w:lang w:val="en-GB"/>
        </w:rPr>
      </w:pPr>
      <w:r w:rsidRPr="005E0923">
        <w:rPr>
          <w:b/>
          <w:lang w:val="en-GB"/>
        </w:rPr>
        <w:t xml:space="preserve">Critical </w:t>
      </w:r>
      <w:r w:rsidR="00ED18B8" w:rsidRPr="005E0923">
        <w:rPr>
          <w:b/>
          <w:lang w:val="en-GB"/>
        </w:rPr>
        <w:t xml:space="preserve">discussion </w:t>
      </w:r>
    </w:p>
    <w:p w14:paraId="7EEB5C87" w14:textId="77777777" w:rsidR="00110DD1" w:rsidRPr="005E0923" w:rsidRDefault="00110DD1" w:rsidP="00037B6F">
      <w:pPr>
        <w:pStyle w:val="Listenabsatz"/>
        <w:ind w:left="1080"/>
        <w:jc w:val="both"/>
        <w:rPr>
          <w:b/>
          <w:lang w:val="en-GB"/>
        </w:rPr>
      </w:pPr>
    </w:p>
    <w:p w14:paraId="2059EBD1" w14:textId="77777777" w:rsidR="00D802F1" w:rsidRPr="005E0923" w:rsidRDefault="00D802F1" w:rsidP="00D802F1">
      <w:pPr>
        <w:pStyle w:val="Listenabsatz"/>
        <w:numPr>
          <w:ilvl w:val="0"/>
          <w:numId w:val="4"/>
        </w:numPr>
        <w:ind w:left="709" w:hanging="720"/>
        <w:rPr>
          <w:bCs/>
          <w:i/>
          <w:iCs/>
          <w:lang w:val="en-GB"/>
        </w:rPr>
      </w:pPr>
      <w:r w:rsidRPr="005E0923">
        <w:rPr>
          <w:bCs/>
          <w:i/>
          <w:iCs/>
          <w:lang w:val="en-GB"/>
        </w:rPr>
        <w:t>Standing case law of the ECJ</w:t>
      </w:r>
    </w:p>
    <w:p w14:paraId="34B87FD4" w14:textId="47589B34" w:rsidR="00D802F1" w:rsidRPr="005E0923" w:rsidRDefault="00F70DEE" w:rsidP="00D802F1">
      <w:pPr>
        <w:rPr>
          <w:bCs/>
          <w:lang w:val="en-GB"/>
        </w:rPr>
      </w:pPr>
      <w:r>
        <w:rPr>
          <w:bCs/>
          <w:lang w:val="en-GB"/>
        </w:rPr>
        <w:t>Examining</w:t>
      </w:r>
      <w:r w:rsidR="00D802F1" w:rsidRPr="005E0923">
        <w:rPr>
          <w:bCs/>
          <w:lang w:val="en-GB"/>
        </w:rPr>
        <w:t xml:space="preserve"> the </w:t>
      </w:r>
      <w:r w:rsidR="00425D1A" w:rsidRPr="005E0923">
        <w:rPr>
          <w:bCs/>
          <w:lang w:val="en-GB"/>
        </w:rPr>
        <w:t>references,</w:t>
      </w:r>
      <w:r w:rsidR="00D802F1" w:rsidRPr="005E0923">
        <w:rPr>
          <w:bCs/>
          <w:lang w:val="en-GB"/>
        </w:rPr>
        <w:t xml:space="preserve"> the court refers </w:t>
      </w:r>
      <w:r w:rsidRPr="005E0923">
        <w:rPr>
          <w:bCs/>
          <w:lang w:val="en-GB"/>
        </w:rPr>
        <w:t xml:space="preserve">to </w:t>
      </w:r>
      <w:r w:rsidR="00D802F1" w:rsidRPr="005E0923">
        <w:rPr>
          <w:bCs/>
          <w:lang w:val="en-GB"/>
        </w:rPr>
        <w:t xml:space="preserve">in the cited decisions of the European Court of </w:t>
      </w:r>
      <w:proofErr w:type="gramStart"/>
      <w:r w:rsidR="00D802F1" w:rsidRPr="005E0923">
        <w:rPr>
          <w:bCs/>
          <w:lang w:val="en-GB"/>
        </w:rPr>
        <w:t>Justice,</w:t>
      </w:r>
      <w:proofErr w:type="gramEnd"/>
      <w:r w:rsidR="00D802F1" w:rsidRPr="005E0923">
        <w:rPr>
          <w:bCs/>
          <w:lang w:val="en-GB"/>
        </w:rPr>
        <w:t xml:space="preserve"> one may well doubt the assumption of a significant pharmacological effect due to the existence of an </w:t>
      </w:r>
      <w:r w:rsidR="00D802F1" w:rsidRPr="005E0923">
        <w:rPr>
          <w:bCs/>
          <w:lang w:val="en-GB"/>
        </w:rPr>
        <w:lastRenderedPageBreak/>
        <w:t>a</w:t>
      </w:r>
      <w:r>
        <w:rPr>
          <w:bCs/>
          <w:lang w:val="en-GB"/>
        </w:rPr>
        <w:t>uthoris</w:t>
      </w:r>
      <w:r w:rsidR="00D802F1" w:rsidRPr="005E0923">
        <w:rPr>
          <w:bCs/>
          <w:lang w:val="en-GB"/>
        </w:rPr>
        <w:t>ed medicinal product containing the same active ingredient. In Case C-150/00</w:t>
      </w:r>
      <w:r w:rsidR="00D802F1" w:rsidRPr="005E0923">
        <w:rPr>
          <w:rStyle w:val="Funotenzeichen"/>
          <w:bCs/>
          <w:lang w:val="en-GB"/>
        </w:rPr>
        <w:footnoteReference w:id="9"/>
      </w:r>
      <w:r w:rsidR="00D802F1" w:rsidRPr="005E0923">
        <w:rPr>
          <w:bCs/>
          <w:lang w:val="en-GB"/>
        </w:rPr>
        <w:t xml:space="preserve"> , the medic</w:t>
      </w:r>
      <w:r w:rsidR="00D802F1" w:rsidRPr="005E0923">
        <w:rPr>
          <w:bCs/>
          <w:lang w:val="en-GB"/>
        </w:rPr>
        <w:t>i</w:t>
      </w:r>
      <w:r w:rsidR="00D802F1" w:rsidRPr="005E0923">
        <w:rPr>
          <w:bCs/>
          <w:lang w:val="en-GB"/>
        </w:rPr>
        <w:t xml:space="preserve">nal nature of a preparation containing vitamins and minerals had to be assessed. The ECJ clarified </w:t>
      </w:r>
      <w:proofErr w:type="gramStart"/>
      <w:r w:rsidR="007C498A">
        <w:rPr>
          <w:bCs/>
          <w:lang w:val="en-GB"/>
        </w:rPr>
        <w:t xml:space="preserve">that </w:t>
      </w:r>
      <w:r w:rsidR="005E0923" w:rsidRPr="005E0923">
        <w:rPr>
          <w:bCs/>
          <w:lang w:val="en-GB"/>
        </w:rPr>
        <w:t>substances</w:t>
      </w:r>
      <w:proofErr w:type="gramEnd"/>
      <w:r w:rsidR="00D802F1" w:rsidRPr="005E0923">
        <w:rPr>
          <w:bCs/>
          <w:lang w:val="en-GB"/>
        </w:rPr>
        <w:t xml:space="preserve"> which are absolutely necessary in very small quantities for daily nutrition and the proper functioning of the organism, cannot generally be regarded as medicines. On the other hand, it is undisputed that vitamin or mineral substances are sometimes used in strong doses for therapeutic purposes in the case of certain diseases whose causes are not vitamin or mineral deficiencies. In the</w:t>
      </w:r>
      <w:r w:rsidR="00425D1A">
        <w:rPr>
          <w:bCs/>
          <w:lang w:val="en-GB"/>
        </w:rPr>
        <w:t xml:space="preserve"> </w:t>
      </w:r>
      <w:r w:rsidR="007C498A">
        <w:rPr>
          <w:bCs/>
          <w:lang w:val="en-GB"/>
        </w:rPr>
        <w:t>latter</w:t>
      </w:r>
      <w:r w:rsidR="00D802F1" w:rsidRPr="005E0923">
        <w:rPr>
          <w:bCs/>
          <w:lang w:val="en-GB"/>
        </w:rPr>
        <w:t xml:space="preserve"> cases, these preparations indisputably constitute medicinal products.</w:t>
      </w:r>
    </w:p>
    <w:p w14:paraId="250CA5C2" w14:textId="06EBA897" w:rsidR="00D802F1" w:rsidRPr="005E0923" w:rsidRDefault="00D802F1" w:rsidP="00D802F1">
      <w:pPr>
        <w:rPr>
          <w:bCs/>
          <w:lang w:val="en-GB"/>
        </w:rPr>
      </w:pPr>
      <w:r w:rsidRPr="005E0923">
        <w:rPr>
          <w:bCs/>
          <w:lang w:val="en-GB"/>
        </w:rPr>
        <w:t>Thus, the chain of reference</w:t>
      </w:r>
      <w:r w:rsidR="00C4069E">
        <w:rPr>
          <w:bCs/>
          <w:lang w:val="en-GB"/>
        </w:rPr>
        <w:t>s</w:t>
      </w:r>
      <w:r w:rsidRPr="005E0923">
        <w:rPr>
          <w:bCs/>
          <w:lang w:val="en-GB"/>
        </w:rPr>
        <w:t xml:space="preserve"> that the German court draws via the higher administrative courts, to the Federal Administrative Court, and to the European Court of Justice, actually </w:t>
      </w:r>
      <w:r w:rsidR="00C4069E">
        <w:rPr>
          <w:bCs/>
          <w:lang w:val="en-GB"/>
        </w:rPr>
        <w:t>comes down</w:t>
      </w:r>
      <w:r w:rsidRPr="005E0923">
        <w:rPr>
          <w:bCs/>
          <w:lang w:val="en-GB"/>
        </w:rPr>
        <w:t xml:space="preserve"> </w:t>
      </w:r>
      <w:r w:rsidR="00C4069E">
        <w:rPr>
          <w:bCs/>
          <w:lang w:val="en-GB"/>
        </w:rPr>
        <w:t>to</w:t>
      </w:r>
      <w:r w:rsidRPr="005E0923">
        <w:rPr>
          <w:bCs/>
          <w:lang w:val="en-GB"/>
        </w:rPr>
        <w:t xml:space="preserve"> </w:t>
      </w:r>
      <w:r w:rsidR="00C4069E" w:rsidRPr="005E0923">
        <w:rPr>
          <w:bCs/>
          <w:lang w:val="en-GB"/>
        </w:rPr>
        <w:t>r</w:t>
      </w:r>
      <w:r w:rsidR="00C4069E" w:rsidRPr="005E0923">
        <w:rPr>
          <w:bCs/>
          <w:lang w:val="en-GB"/>
        </w:rPr>
        <w:t>a</w:t>
      </w:r>
      <w:r w:rsidR="00C4069E" w:rsidRPr="005E0923">
        <w:rPr>
          <w:bCs/>
          <w:lang w:val="en-GB"/>
        </w:rPr>
        <w:t xml:space="preserve">ther </w:t>
      </w:r>
      <w:r w:rsidRPr="005E0923">
        <w:rPr>
          <w:bCs/>
          <w:lang w:val="en-GB"/>
        </w:rPr>
        <w:t xml:space="preserve">the exact opposite </w:t>
      </w:r>
      <w:r w:rsidR="00C4069E" w:rsidRPr="005E0923">
        <w:rPr>
          <w:bCs/>
          <w:lang w:val="en-GB"/>
        </w:rPr>
        <w:t xml:space="preserve">conclusion </w:t>
      </w:r>
      <w:r w:rsidRPr="005E0923">
        <w:rPr>
          <w:bCs/>
          <w:lang w:val="en-GB"/>
        </w:rPr>
        <w:t>to th</w:t>
      </w:r>
      <w:r w:rsidR="00C4069E">
        <w:rPr>
          <w:bCs/>
          <w:lang w:val="en-GB"/>
        </w:rPr>
        <w:t>at</w:t>
      </w:r>
      <w:r w:rsidRPr="005E0923">
        <w:rPr>
          <w:bCs/>
          <w:lang w:val="en-GB"/>
        </w:rPr>
        <w:t xml:space="preserve"> of the court. Even if therapeutic efficacy is recognized, an "</w:t>
      </w:r>
      <w:proofErr w:type="spellStart"/>
      <w:r w:rsidRPr="005E0923">
        <w:rPr>
          <w:bCs/>
          <w:lang w:val="en-GB"/>
        </w:rPr>
        <w:t>underdosed</w:t>
      </w:r>
      <w:proofErr w:type="spellEnd"/>
      <w:r w:rsidRPr="005E0923">
        <w:rPr>
          <w:bCs/>
          <w:lang w:val="en-GB"/>
        </w:rPr>
        <w:t>" intake (as the court calls it) for an unstated indication does not make a</w:t>
      </w:r>
      <w:r w:rsidR="00C4069E" w:rsidRPr="005E0923">
        <w:rPr>
          <w:bCs/>
          <w:lang w:val="en-GB"/>
        </w:rPr>
        <w:t xml:space="preserve"> drug </w:t>
      </w:r>
      <w:r w:rsidR="00C4069E">
        <w:rPr>
          <w:bCs/>
          <w:lang w:val="en-GB"/>
        </w:rPr>
        <w:t xml:space="preserve">of such a </w:t>
      </w:r>
      <w:r w:rsidRPr="005E0923">
        <w:rPr>
          <w:bCs/>
          <w:lang w:val="en-GB"/>
        </w:rPr>
        <w:t>preparation. According to §2 of the German Medicines Act (AMG), a clear disease-related and ther</w:t>
      </w:r>
      <w:r w:rsidRPr="005E0923">
        <w:rPr>
          <w:bCs/>
          <w:lang w:val="en-GB"/>
        </w:rPr>
        <w:t>a</w:t>
      </w:r>
      <w:r w:rsidRPr="005E0923">
        <w:rPr>
          <w:bCs/>
          <w:lang w:val="en-GB"/>
        </w:rPr>
        <w:t>peutic purpose is characteristic of a drug, in addition to an effective dose.</w:t>
      </w:r>
    </w:p>
    <w:p w14:paraId="713FD0BA" w14:textId="4B3D2871" w:rsidR="00D802F1" w:rsidRPr="005E0923" w:rsidRDefault="00D802F1" w:rsidP="00D802F1">
      <w:pPr>
        <w:rPr>
          <w:bCs/>
          <w:lang w:val="en-GB"/>
        </w:rPr>
      </w:pPr>
      <w:r w:rsidRPr="005E0923">
        <w:rPr>
          <w:bCs/>
          <w:lang w:val="en-GB"/>
        </w:rPr>
        <w:t xml:space="preserve">The </w:t>
      </w:r>
      <w:r w:rsidR="00FF463D" w:rsidRPr="005E0923">
        <w:rPr>
          <w:bCs/>
          <w:lang w:val="en-GB"/>
        </w:rPr>
        <w:t xml:space="preserve">Federal Administrative </w:t>
      </w:r>
      <w:r w:rsidR="00425D1A" w:rsidRPr="005E0923">
        <w:rPr>
          <w:bCs/>
          <w:lang w:val="en-GB"/>
        </w:rPr>
        <w:t>Court</w:t>
      </w:r>
      <w:r w:rsidR="00425D1A">
        <w:rPr>
          <w:bCs/>
          <w:lang w:val="en-GB"/>
        </w:rPr>
        <w:t xml:space="preserve">’s </w:t>
      </w:r>
      <w:r w:rsidR="00425D1A" w:rsidRPr="005E0923">
        <w:rPr>
          <w:bCs/>
          <w:lang w:val="en-GB"/>
        </w:rPr>
        <w:t>ruling</w:t>
      </w:r>
      <w:r w:rsidRPr="005E0923">
        <w:rPr>
          <w:bCs/>
          <w:lang w:val="en-GB"/>
        </w:rPr>
        <w:t xml:space="preserve"> on the "horse ointment" case of May 16, 2007, already speaks a clear language here: "The pharmacological or metabolic effects of a substance only justify classification as a medicinal product if they exceed the "materiality threshold". </w:t>
      </w:r>
      <w:r w:rsidRPr="005E0923">
        <w:rPr>
          <w:b/>
          <w:bCs/>
          <w:lang w:val="en-GB"/>
        </w:rPr>
        <w:t>Thus, if a potentially pharmacological substance is dosed below the documented pharmacological effect, it cannot be a drug.</w:t>
      </w:r>
      <w:r w:rsidRPr="005E0923">
        <w:rPr>
          <w:bCs/>
          <w:lang w:val="en-GB"/>
        </w:rPr>
        <w:t>"</w:t>
      </w:r>
      <w:r w:rsidRPr="005E0923">
        <w:rPr>
          <w:rStyle w:val="Funotenzeichen"/>
          <w:bCs/>
          <w:lang w:val="en-GB"/>
        </w:rPr>
        <w:footnoteReference w:id="10"/>
      </w:r>
    </w:p>
    <w:p w14:paraId="383753D3" w14:textId="0CCC6706" w:rsidR="00D802F1" w:rsidRPr="005E0923" w:rsidRDefault="00D802F1" w:rsidP="00D802F1">
      <w:pPr>
        <w:rPr>
          <w:bCs/>
          <w:lang w:val="en-GB"/>
        </w:rPr>
      </w:pPr>
      <w:r w:rsidRPr="005E0923">
        <w:rPr>
          <w:bCs/>
          <w:lang w:val="en-GB"/>
        </w:rPr>
        <w:t>The German Medicines Act, which already takes into account the amendment of Art. 1 No. 2 of D</w:t>
      </w:r>
      <w:r w:rsidRPr="005E0923">
        <w:rPr>
          <w:bCs/>
          <w:lang w:val="en-GB"/>
        </w:rPr>
        <w:t>i</w:t>
      </w:r>
      <w:r w:rsidRPr="005E0923">
        <w:rPr>
          <w:bCs/>
          <w:lang w:val="en-GB"/>
        </w:rPr>
        <w:t>rective 2001/83/EC of the European Parliament and of the Council by Directive 2004/27/EC, suppl</w:t>
      </w:r>
      <w:r w:rsidRPr="005E0923">
        <w:rPr>
          <w:bCs/>
          <w:lang w:val="en-GB"/>
        </w:rPr>
        <w:t>e</w:t>
      </w:r>
      <w:r w:rsidRPr="005E0923">
        <w:rPr>
          <w:bCs/>
          <w:lang w:val="en-GB"/>
        </w:rPr>
        <w:t xml:space="preserve">ments the definition of </w:t>
      </w:r>
      <w:r w:rsidR="00C61534">
        <w:rPr>
          <w:bCs/>
          <w:lang w:val="en-GB"/>
        </w:rPr>
        <w:t xml:space="preserve">a </w:t>
      </w:r>
      <w:r w:rsidRPr="005E0923">
        <w:rPr>
          <w:bCs/>
          <w:lang w:val="en-GB"/>
        </w:rPr>
        <w:t xml:space="preserve">medicinal product </w:t>
      </w:r>
      <w:r w:rsidR="00E4712E">
        <w:rPr>
          <w:bCs/>
          <w:lang w:val="en-GB"/>
        </w:rPr>
        <w:t xml:space="preserve">by </w:t>
      </w:r>
      <w:r w:rsidR="00E4712E" w:rsidRPr="005E0923">
        <w:rPr>
          <w:bCs/>
          <w:lang w:val="en-GB"/>
        </w:rPr>
        <w:t xml:space="preserve">function </w:t>
      </w:r>
      <w:r w:rsidRPr="005E0923">
        <w:rPr>
          <w:bCs/>
          <w:lang w:val="en-GB"/>
        </w:rPr>
        <w:t>in Section 2 (1) No. 2 by referring to a pha</w:t>
      </w:r>
      <w:r w:rsidRPr="005E0923">
        <w:rPr>
          <w:bCs/>
          <w:lang w:val="en-GB"/>
        </w:rPr>
        <w:t>r</w:t>
      </w:r>
      <w:r w:rsidRPr="005E0923">
        <w:rPr>
          <w:bCs/>
          <w:lang w:val="en-GB"/>
        </w:rPr>
        <w:t>macological, immunological or metabolic effect of a substance when assessing the medicinal pro</w:t>
      </w:r>
      <w:r w:rsidRPr="005E0923">
        <w:rPr>
          <w:bCs/>
          <w:lang w:val="en-GB"/>
        </w:rPr>
        <w:t>d</w:t>
      </w:r>
      <w:r w:rsidRPr="005E0923">
        <w:rPr>
          <w:bCs/>
          <w:lang w:val="en-GB"/>
        </w:rPr>
        <w:t>uct</w:t>
      </w:r>
      <w:r w:rsidR="00C61534">
        <w:rPr>
          <w:bCs/>
          <w:lang w:val="en-GB"/>
        </w:rPr>
        <w:t>’s</w:t>
      </w:r>
      <w:r w:rsidRPr="005E0923">
        <w:rPr>
          <w:bCs/>
          <w:lang w:val="en-GB"/>
        </w:rPr>
        <w:t xml:space="preserve"> propert</w:t>
      </w:r>
      <w:r w:rsidR="00C61534">
        <w:rPr>
          <w:bCs/>
          <w:lang w:val="en-GB"/>
        </w:rPr>
        <w:t>ies</w:t>
      </w:r>
      <w:r w:rsidRPr="005E0923">
        <w:rPr>
          <w:bCs/>
          <w:lang w:val="en-GB"/>
        </w:rPr>
        <w:t>.</w:t>
      </w:r>
    </w:p>
    <w:p w14:paraId="3D97A0FE" w14:textId="77777777" w:rsidR="00D802F1" w:rsidRPr="005E0923" w:rsidRDefault="00D802F1" w:rsidP="00D802F1">
      <w:pPr>
        <w:rPr>
          <w:bCs/>
          <w:lang w:val="en-GB"/>
        </w:rPr>
      </w:pPr>
      <w:r w:rsidRPr="005E0923">
        <w:rPr>
          <w:bCs/>
          <w:lang w:val="en-GB"/>
        </w:rPr>
        <w:t>The interpretation of this definition by the German BfArM and the Cologne Administrative Court contradicts the previous consistent case law of the European Court of Justice.</w:t>
      </w:r>
    </w:p>
    <w:p w14:paraId="7D07F3DB" w14:textId="7ABF0CFE" w:rsidR="00D802F1" w:rsidRPr="005E0923" w:rsidRDefault="00D802F1" w:rsidP="00D802F1">
      <w:pPr>
        <w:rPr>
          <w:rFonts w:ascii="Times New Roman" w:hAnsi="Times New Roman"/>
          <w:color w:val="FF0000"/>
          <w:lang w:val="en-GB"/>
        </w:rPr>
      </w:pPr>
      <w:r w:rsidRPr="005E0923">
        <w:rPr>
          <w:bCs/>
          <w:lang w:val="en-GB"/>
        </w:rPr>
        <w:t xml:space="preserve">According to the </w:t>
      </w:r>
      <w:r w:rsidR="00822E90">
        <w:rPr>
          <w:bCs/>
          <w:lang w:val="en-GB"/>
        </w:rPr>
        <w:t>“</w:t>
      </w:r>
      <w:r w:rsidRPr="005E0923">
        <w:rPr>
          <w:bCs/>
          <w:lang w:val="en-GB"/>
        </w:rPr>
        <w:t>garlic decision</w:t>
      </w:r>
      <w:r w:rsidR="00822E90">
        <w:rPr>
          <w:bCs/>
          <w:lang w:val="en-GB"/>
        </w:rPr>
        <w:t>”</w:t>
      </w:r>
      <w:r w:rsidRPr="005E0923">
        <w:rPr>
          <w:bCs/>
          <w:lang w:val="en-GB"/>
        </w:rPr>
        <w:t xml:space="preserve"> of the ECJ, substances may not be classified as medicinal products if, although they act on the human body, they do not have a significant effect on the metabolism and thus do not really influence its functional conditions. In contrast to the broad interpretation of the concept of a medicinal product by name (medicinal product</w:t>
      </w:r>
      <w:r w:rsidR="00822E90" w:rsidRPr="00822E90">
        <w:rPr>
          <w:bCs/>
          <w:lang w:val="en-GB"/>
        </w:rPr>
        <w:t xml:space="preserve"> </w:t>
      </w:r>
      <w:r w:rsidR="00996C8B">
        <w:rPr>
          <w:bCs/>
          <w:lang w:val="en-GB"/>
        </w:rPr>
        <w:t xml:space="preserve">by </w:t>
      </w:r>
      <w:r w:rsidR="00822E90" w:rsidRPr="005E0923">
        <w:rPr>
          <w:bCs/>
          <w:lang w:val="en-GB"/>
        </w:rPr>
        <w:t>presentation</w:t>
      </w:r>
      <w:r w:rsidRPr="005E0923">
        <w:rPr>
          <w:bCs/>
          <w:lang w:val="en-GB"/>
        </w:rPr>
        <w:t xml:space="preserve">), which is intended to protect consumers from ineffective products, the functional medicinal product must cover those products </w:t>
      </w:r>
      <w:r w:rsidR="00C60062" w:rsidRPr="005E0923">
        <w:rPr>
          <w:bCs/>
          <w:lang w:val="en-GB"/>
        </w:rPr>
        <w:t xml:space="preserve">only </w:t>
      </w:r>
      <w:r w:rsidRPr="005E0923">
        <w:rPr>
          <w:bCs/>
          <w:lang w:val="en-GB"/>
        </w:rPr>
        <w:t xml:space="preserve">whose pharmacological properties have been scientifically established in individual cases or which can actually demonstrate a therapeutic effect. Moreover, it is not sufficient that a </w:t>
      </w:r>
      <w:r w:rsidR="00C60062">
        <w:rPr>
          <w:bCs/>
          <w:lang w:val="en-GB"/>
        </w:rPr>
        <w:t xml:space="preserve">medicinal </w:t>
      </w:r>
      <w:r w:rsidRPr="005E0923">
        <w:rPr>
          <w:bCs/>
          <w:lang w:val="en-GB"/>
        </w:rPr>
        <w:t xml:space="preserve">product has properties that are beneficial to health in general, but it must really have the function of prevention or cure, since there are numerous products generally recognized as food that can be objectively used for therapeutic purposes. </w:t>
      </w:r>
      <w:r w:rsidRPr="005E0923">
        <w:rPr>
          <w:rStyle w:val="Funotenzeichen"/>
          <w:bCs/>
          <w:lang w:val="en-GB"/>
        </w:rPr>
        <w:footnoteReference w:id="11"/>
      </w:r>
    </w:p>
    <w:p w14:paraId="3255528D" w14:textId="52A993E9" w:rsidR="0078419D" w:rsidRPr="005E0923" w:rsidRDefault="00D802F1" w:rsidP="0078419D">
      <w:pPr>
        <w:spacing w:after="0"/>
        <w:rPr>
          <w:rFonts w:asciiTheme="minorHAnsi" w:hAnsiTheme="minorHAnsi" w:cstheme="minorHAnsi"/>
          <w:lang w:val="en-GB"/>
        </w:rPr>
      </w:pPr>
      <w:r w:rsidRPr="005E0923">
        <w:rPr>
          <w:rFonts w:asciiTheme="minorHAnsi" w:hAnsiTheme="minorHAnsi" w:cstheme="minorHAnsi"/>
          <w:lang w:val="en-GB"/>
        </w:rPr>
        <w:lastRenderedPageBreak/>
        <w:t>The reference to an a</w:t>
      </w:r>
      <w:r w:rsidR="002A5473">
        <w:rPr>
          <w:rFonts w:asciiTheme="minorHAnsi" w:hAnsiTheme="minorHAnsi" w:cstheme="minorHAnsi"/>
          <w:lang w:val="en-GB"/>
        </w:rPr>
        <w:t>uthoris</w:t>
      </w:r>
      <w:r w:rsidRPr="005E0923">
        <w:rPr>
          <w:rFonts w:asciiTheme="minorHAnsi" w:hAnsiTheme="minorHAnsi" w:cstheme="minorHAnsi"/>
          <w:lang w:val="en-GB"/>
        </w:rPr>
        <w:t>ed drug with an a</w:t>
      </w:r>
      <w:r w:rsidR="002A5473">
        <w:rPr>
          <w:rFonts w:asciiTheme="minorHAnsi" w:hAnsiTheme="minorHAnsi" w:cstheme="minorHAnsi"/>
          <w:lang w:val="en-GB"/>
        </w:rPr>
        <w:t>uthoris</w:t>
      </w:r>
      <w:r w:rsidRPr="005E0923">
        <w:rPr>
          <w:rFonts w:asciiTheme="minorHAnsi" w:hAnsiTheme="minorHAnsi" w:cstheme="minorHAnsi"/>
          <w:lang w:val="en-GB"/>
        </w:rPr>
        <w:t xml:space="preserve">ed indication and therapeutically effective dose is not valid. A substance can only be a drug if, under practical conditions, the reasonable intake or dose also has a </w:t>
      </w:r>
      <w:r w:rsidRPr="005E0923">
        <w:rPr>
          <w:rFonts w:asciiTheme="minorHAnsi" w:hAnsiTheme="minorHAnsi" w:cstheme="minorHAnsi"/>
          <w:u w:val="single"/>
          <w:lang w:val="en-GB"/>
        </w:rPr>
        <w:t>therapeutic</w:t>
      </w:r>
      <w:r w:rsidRPr="005E0923">
        <w:rPr>
          <w:rFonts w:asciiTheme="minorHAnsi" w:hAnsiTheme="minorHAnsi" w:cstheme="minorHAnsi"/>
          <w:lang w:val="en-GB"/>
        </w:rPr>
        <w:t xml:space="preserve"> (not just pharmacological) effect. For example, the effect of coffee due to the contained caffeine </w:t>
      </w:r>
      <w:r w:rsidRPr="005E0923">
        <w:rPr>
          <w:rStyle w:val="Funotenzeichen"/>
          <w:rFonts w:asciiTheme="minorHAnsi" w:hAnsiTheme="minorHAnsi" w:cstheme="minorHAnsi"/>
          <w:lang w:val="en-GB"/>
        </w:rPr>
        <w:footnoteReference w:id="12"/>
      </w:r>
      <w:r w:rsidRPr="005E0923">
        <w:rPr>
          <w:rStyle w:val="Funotenzeichen"/>
          <w:rFonts w:asciiTheme="minorHAnsi" w:hAnsiTheme="minorHAnsi" w:cstheme="minorHAnsi"/>
          <w:lang w:val="en-GB"/>
        </w:rPr>
        <w:footnoteReference w:id="13"/>
      </w:r>
      <w:r w:rsidRPr="005E0923">
        <w:rPr>
          <w:rFonts w:asciiTheme="minorHAnsi" w:hAnsiTheme="minorHAnsi" w:cstheme="minorHAnsi"/>
          <w:lang w:val="en-GB"/>
        </w:rPr>
        <w:t xml:space="preserve"> (tachycardia) can be classified as a pharmacological effect, without coffee therefore being a drug. A therapeutic effect is neither claimed nor given for CBD oils. In the case of Epidyolex</w:t>
      </w:r>
      <w:r w:rsidR="002A5473">
        <w:rPr>
          <w:rFonts w:asciiTheme="minorHAnsi" w:hAnsiTheme="minorHAnsi" w:cstheme="minorHAnsi"/>
          <w:lang w:val="en-GB"/>
        </w:rPr>
        <w:t>®</w:t>
      </w:r>
      <w:r w:rsidRPr="005E0923">
        <w:rPr>
          <w:rFonts w:asciiTheme="minorHAnsi" w:hAnsiTheme="minorHAnsi" w:cstheme="minorHAnsi"/>
          <w:lang w:val="en-GB"/>
        </w:rPr>
        <w:t xml:space="preserve">, the effective dose is given as 10-20mg CBD per kilogram body weight per day (Epidyolex </w:t>
      </w:r>
      <w:proofErr w:type="spellStart"/>
      <w:r w:rsidRPr="005E0923">
        <w:rPr>
          <w:rFonts w:asciiTheme="minorHAnsi" w:hAnsiTheme="minorHAnsi" w:cstheme="minorHAnsi"/>
          <w:lang w:val="en-GB"/>
        </w:rPr>
        <w:t>SmPC</w:t>
      </w:r>
      <w:proofErr w:type="spellEnd"/>
      <w:r w:rsidRPr="005E0923">
        <w:rPr>
          <w:rFonts w:asciiTheme="minorHAnsi" w:hAnsiTheme="minorHAnsi" w:cstheme="minorHAnsi"/>
          <w:lang w:val="en-GB"/>
        </w:rPr>
        <w:t>, EMA). For a CBD oil with max</w:t>
      </w:r>
      <w:r w:rsidR="00724BC0">
        <w:rPr>
          <w:rFonts w:asciiTheme="minorHAnsi" w:hAnsiTheme="minorHAnsi" w:cstheme="minorHAnsi"/>
          <w:lang w:val="en-GB"/>
        </w:rPr>
        <w:t>imum of</w:t>
      </w:r>
      <w:r w:rsidRPr="005E0923">
        <w:rPr>
          <w:rFonts w:asciiTheme="minorHAnsi" w:hAnsiTheme="minorHAnsi" w:cstheme="minorHAnsi"/>
          <w:lang w:val="en-GB"/>
        </w:rPr>
        <w:t xml:space="preserve"> 10% CBD</w:t>
      </w:r>
      <w:r w:rsidR="0078419D" w:rsidRPr="005E0923">
        <w:rPr>
          <w:rFonts w:asciiTheme="minorHAnsi" w:hAnsiTheme="minorHAnsi" w:cstheme="minorHAnsi"/>
          <w:lang w:val="en-GB"/>
        </w:rPr>
        <w:t xml:space="preserve"> </w:t>
      </w:r>
      <w:r w:rsidRPr="005E0923">
        <w:rPr>
          <w:rFonts w:asciiTheme="minorHAnsi" w:hAnsiTheme="minorHAnsi" w:cstheme="minorHAnsi"/>
          <w:lang w:val="en-GB"/>
        </w:rPr>
        <w:t xml:space="preserve">(approx. 100 mg/g) this </w:t>
      </w:r>
      <w:r w:rsidR="000F75F6">
        <w:rPr>
          <w:rFonts w:asciiTheme="minorHAnsi" w:hAnsiTheme="minorHAnsi" w:cstheme="minorHAnsi"/>
          <w:lang w:val="en-GB"/>
        </w:rPr>
        <w:t xml:space="preserve">amount </w:t>
      </w:r>
      <w:r w:rsidRPr="005E0923">
        <w:rPr>
          <w:rFonts w:asciiTheme="minorHAnsi" w:hAnsiTheme="minorHAnsi" w:cstheme="minorHAnsi"/>
          <w:lang w:val="en-GB"/>
        </w:rPr>
        <w:t>would be a</w:t>
      </w:r>
      <w:r w:rsidRPr="005E0923">
        <w:rPr>
          <w:rFonts w:asciiTheme="minorHAnsi" w:hAnsiTheme="minorHAnsi" w:cstheme="minorHAnsi"/>
          <w:lang w:val="en-GB"/>
        </w:rPr>
        <w:t>p</w:t>
      </w:r>
      <w:r w:rsidRPr="005E0923">
        <w:rPr>
          <w:rFonts w:asciiTheme="minorHAnsi" w:hAnsiTheme="minorHAnsi" w:cstheme="minorHAnsi"/>
          <w:lang w:val="en-GB"/>
        </w:rPr>
        <w:t>prox. 0.1-0.2 ml CBD oil/kg body weight, at 60kg body weight this would correspond to taking an unreali</w:t>
      </w:r>
      <w:r w:rsidRPr="005E0923">
        <w:rPr>
          <w:rFonts w:asciiTheme="minorHAnsi" w:hAnsiTheme="minorHAnsi" w:cstheme="minorHAnsi"/>
          <w:lang w:val="en-GB"/>
        </w:rPr>
        <w:t>s</w:t>
      </w:r>
      <w:r w:rsidRPr="005E0923">
        <w:rPr>
          <w:rFonts w:asciiTheme="minorHAnsi" w:hAnsiTheme="minorHAnsi" w:cstheme="minorHAnsi"/>
          <w:lang w:val="en-GB"/>
        </w:rPr>
        <w:t>tic amount of 6-12ml CBD oil per day to achieve an effect corresponding to Epidyolex; for CBD oils with a lower con</w:t>
      </w:r>
      <w:r w:rsidR="000F75F6">
        <w:rPr>
          <w:rFonts w:asciiTheme="minorHAnsi" w:hAnsiTheme="minorHAnsi" w:cstheme="minorHAnsi"/>
          <w:lang w:val="en-GB"/>
        </w:rPr>
        <w:t>centration</w:t>
      </w:r>
      <w:r w:rsidRPr="005E0923">
        <w:rPr>
          <w:rFonts w:asciiTheme="minorHAnsi" w:hAnsiTheme="minorHAnsi" w:cstheme="minorHAnsi"/>
          <w:lang w:val="en-GB"/>
        </w:rPr>
        <w:t xml:space="preserve"> correspondingly more. The commercial containers usually co</w:t>
      </w:r>
      <w:r w:rsidRPr="005E0923">
        <w:rPr>
          <w:rFonts w:asciiTheme="minorHAnsi" w:hAnsiTheme="minorHAnsi" w:cstheme="minorHAnsi"/>
          <w:lang w:val="en-GB"/>
        </w:rPr>
        <w:t>n</w:t>
      </w:r>
      <w:r w:rsidRPr="005E0923">
        <w:rPr>
          <w:rFonts w:asciiTheme="minorHAnsi" w:hAnsiTheme="minorHAnsi" w:cstheme="minorHAnsi"/>
          <w:lang w:val="en-GB"/>
        </w:rPr>
        <w:t>tain little more than 10ml. This would also contradict the intended use or the explicit consumption reco</w:t>
      </w:r>
      <w:r w:rsidRPr="005E0923">
        <w:rPr>
          <w:rFonts w:asciiTheme="minorHAnsi" w:hAnsiTheme="minorHAnsi" w:cstheme="minorHAnsi"/>
          <w:lang w:val="en-GB"/>
        </w:rPr>
        <w:t>m</w:t>
      </w:r>
      <w:r w:rsidRPr="005E0923">
        <w:rPr>
          <w:rFonts w:asciiTheme="minorHAnsi" w:hAnsiTheme="minorHAnsi" w:cstheme="minorHAnsi"/>
          <w:lang w:val="en-GB"/>
        </w:rPr>
        <w:t xml:space="preserve">mendation of the manufacturers. </w:t>
      </w:r>
      <w:r w:rsidR="00CA31D1">
        <w:rPr>
          <w:rFonts w:asciiTheme="minorHAnsi" w:hAnsiTheme="minorHAnsi" w:cstheme="minorHAnsi"/>
          <w:lang w:val="en-GB"/>
        </w:rPr>
        <w:t>T</w:t>
      </w:r>
      <w:r w:rsidR="00CA31D1" w:rsidRPr="005E0923">
        <w:rPr>
          <w:rFonts w:asciiTheme="minorHAnsi" w:hAnsiTheme="minorHAnsi" w:cstheme="minorHAnsi"/>
          <w:lang w:val="en-GB"/>
        </w:rPr>
        <w:t>herefore</w:t>
      </w:r>
      <w:r w:rsidR="00CA31D1">
        <w:rPr>
          <w:rFonts w:asciiTheme="minorHAnsi" w:hAnsiTheme="minorHAnsi" w:cstheme="minorHAnsi"/>
          <w:lang w:val="en-GB"/>
        </w:rPr>
        <w:t>,</w:t>
      </w:r>
      <w:r w:rsidR="00CA31D1" w:rsidRPr="005E0923">
        <w:rPr>
          <w:rFonts w:asciiTheme="minorHAnsi" w:hAnsiTheme="minorHAnsi" w:cstheme="minorHAnsi"/>
          <w:lang w:val="en-GB"/>
        </w:rPr>
        <w:t xml:space="preserve"> </w:t>
      </w:r>
      <w:r w:rsidR="00CA31D1">
        <w:rPr>
          <w:rFonts w:asciiTheme="minorHAnsi" w:hAnsiTheme="minorHAnsi" w:cstheme="minorHAnsi"/>
          <w:lang w:val="en-GB"/>
        </w:rPr>
        <w:t>t</w:t>
      </w:r>
      <w:r w:rsidRPr="005E0923">
        <w:rPr>
          <w:rFonts w:asciiTheme="minorHAnsi" w:hAnsiTheme="minorHAnsi" w:cstheme="minorHAnsi"/>
          <w:lang w:val="en-GB"/>
        </w:rPr>
        <w:t xml:space="preserve">he claim </w:t>
      </w:r>
      <w:r w:rsidR="00CA31D1" w:rsidRPr="005E0923">
        <w:rPr>
          <w:rFonts w:asciiTheme="minorHAnsi" w:hAnsiTheme="minorHAnsi" w:cstheme="minorHAnsi"/>
          <w:lang w:val="en-GB"/>
        </w:rPr>
        <w:t xml:space="preserve">is unrealistic </w:t>
      </w:r>
      <w:r w:rsidRPr="005E0923">
        <w:rPr>
          <w:rFonts w:asciiTheme="minorHAnsi" w:hAnsiTheme="minorHAnsi" w:cstheme="minorHAnsi"/>
          <w:lang w:val="en-GB"/>
        </w:rPr>
        <w:t xml:space="preserve">to be able to </w:t>
      </w:r>
      <w:r w:rsidR="00CA31D1">
        <w:rPr>
          <w:rFonts w:asciiTheme="minorHAnsi" w:hAnsiTheme="minorHAnsi" w:cstheme="minorHAnsi"/>
          <w:lang w:val="en-GB"/>
        </w:rPr>
        <w:t>achieve</w:t>
      </w:r>
      <w:r w:rsidRPr="005E0923">
        <w:rPr>
          <w:rFonts w:asciiTheme="minorHAnsi" w:hAnsiTheme="minorHAnsi" w:cstheme="minorHAnsi"/>
          <w:lang w:val="en-GB"/>
        </w:rPr>
        <w:t xml:space="preserve"> a therape</w:t>
      </w:r>
      <w:r w:rsidRPr="005E0923">
        <w:rPr>
          <w:rFonts w:asciiTheme="minorHAnsi" w:hAnsiTheme="minorHAnsi" w:cstheme="minorHAnsi"/>
          <w:lang w:val="en-GB"/>
        </w:rPr>
        <w:t>u</w:t>
      </w:r>
      <w:r w:rsidRPr="005E0923">
        <w:rPr>
          <w:rFonts w:asciiTheme="minorHAnsi" w:hAnsiTheme="minorHAnsi" w:cstheme="minorHAnsi"/>
          <w:lang w:val="en-GB"/>
        </w:rPr>
        <w:t xml:space="preserve">tic purpose with </w:t>
      </w:r>
      <w:r w:rsidR="00CA31D1">
        <w:rPr>
          <w:rFonts w:asciiTheme="minorHAnsi" w:hAnsiTheme="minorHAnsi" w:cstheme="minorHAnsi"/>
          <w:lang w:val="en-GB"/>
        </w:rPr>
        <w:t>the CBD oil</w:t>
      </w:r>
      <w:r w:rsidRPr="005E0923">
        <w:rPr>
          <w:rFonts w:asciiTheme="minorHAnsi" w:hAnsiTheme="minorHAnsi" w:cstheme="minorHAnsi"/>
          <w:lang w:val="en-GB"/>
        </w:rPr>
        <w:t>, as is the idea of being able to "attach" the status of a drug to extracts with the help of such a comparison with Epidyolex</w:t>
      </w:r>
      <w:r w:rsidR="00CA31D1">
        <w:rPr>
          <w:rFonts w:asciiTheme="minorHAnsi" w:hAnsiTheme="minorHAnsi" w:cstheme="minorHAnsi"/>
          <w:lang w:val="en-GB"/>
        </w:rPr>
        <w:t>®</w:t>
      </w:r>
      <w:r w:rsidRPr="005E0923">
        <w:rPr>
          <w:rFonts w:asciiTheme="minorHAnsi" w:hAnsiTheme="minorHAnsi" w:cstheme="minorHAnsi"/>
          <w:lang w:val="en-GB"/>
        </w:rPr>
        <w:t xml:space="preserve">. </w:t>
      </w:r>
    </w:p>
    <w:p w14:paraId="1D8E0D32" w14:textId="30D0622F" w:rsidR="00D802F1" w:rsidRPr="005E0923" w:rsidRDefault="00D802F1" w:rsidP="0078419D">
      <w:pPr>
        <w:spacing w:after="0"/>
        <w:rPr>
          <w:rFonts w:asciiTheme="minorHAnsi" w:hAnsiTheme="minorHAnsi" w:cstheme="minorHAnsi"/>
          <w:lang w:val="en-GB"/>
        </w:rPr>
      </w:pPr>
      <w:r w:rsidRPr="005E0923">
        <w:rPr>
          <w:rFonts w:asciiTheme="minorHAnsi" w:hAnsiTheme="minorHAnsi" w:cstheme="minorHAnsi"/>
          <w:lang w:val="en-GB"/>
        </w:rPr>
        <w:br/>
        <w:t>Moreover, according to the rules of pharmacology, princip</w:t>
      </w:r>
      <w:r w:rsidR="00547B27">
        <w:rPr>
          <w:rFonts w:asciiTheme="minorHAnsi" w:hAnsiTheme="minorHAnsi" w:cstheme="minorHAnsi"/>
          <w:lang w:val="en-GB"/>
        </w:rPr>
        <w:t>al</w:t>
      </w:r>
      <w:r w:rsidRPr="005E0923">
        <w:rPr>
          <w:rFonts w:asciiTheme="minorHAnsi" w:hAnsiTheme="minorHAnsi" w:cstheme="minorHAnsi"/>
          <w:lang w:val="en-GB"/>
        </w:rPr>
        <w:t>l</w:t>
      </w:r>
      <w:r w:rsidR="00547B27">
        <w:rPr>
          <w:rFonts w:asciiTheme="minorHAnsi" w:hAnsiTheme="minorHAnsi" w:cstheme="minorHAnsi"/>
          <w:lang w:val="en-GB"/>
        </w:rPr>
        <w:t>y</w:t>
      </w:r>
      <w:r w:rsidRPr="005E0923">
        <w:rPr>
          <w:rFonts w:asciiTheme="minorHAnsi" w:hAnsiTheme="minorHAnsi" w:cstheme="minorHAnsi"/>
          <w:lang w:val="en-GB"/>
        </w:rPr>
        <w:t xml:space="preserve"> </w:t>
      </w:r>
      <w:r w:rsidR="00E8131A" w:rsidRPr="005E0923">
        <w:rPr>
          <w:rFonts w:asciiTheme="minorHAnsi" w:hAnsiTheme="minorHAnsi" w:cstheme="minorHAnsi"/>
          <w:lang w:val="en-GB"/>
        </w:rPr>
        <w:t>it</w:t>
      </w:r>
      <w:r w:rsidR="00E8131A">
        <w:rPr>
          <w:rFonts w:asciiTheme="minorHAnsi" w:hAnsiTheme="minorHAnsi" w:cstheme="minorHAnsi"/>
          <w:lang w:val="en-GB"/>
        </w:rPr>
        <w:t xml:space="preserve"> is</w:t>
      </w:r>
      <w:r w:rsidR="00E8131A" w:rsidRPr="005E0923">
        <w:rPr>
          <w:rFonts w:asciiTheme="minorHAnsi" w:hAnsiTheme="minorHAnsi" w:cstheme="minorHAnsi"/>
          <w:lang w:val="en-GB"/>
        </w:rPr>
        <w:t xml:space="preserve"> </w:t>
      </w:r>
      <w:r w:rsidRPr="005E0923">
        <w:rPr>
          <w:rFonts w:asciiTheme="minorHAnsi" w:hAnsiTheme="minorHAnsi" w:cstheme="minorHAnsi"/>
          <w:lang w:val="en-GB"/>
        </w:rPr>
        <w:t xml:space="preserve">not possible to infer </w:t>
      </w:r>
      <w:r w:rsidR="00547B27" w:rsidRPr="005E0923">
        <w:rPr>
          <w:rFonts w:asciiTheme="minorHAnsi" w:hAnsiTheme="minorHAnsi" w:cstheme="minorHAnsi"/>
          <w:lang w:val="en-GB"/>
        </w:rPr>
        <w:t xml:space="preserve">the same or different effects at much lower dosages </w:t>
      </w:r>
      <w:r w:rsidRPr="005E0923">
        <w:rPr>
          <w:rFonts w:asciiTheme="minorHAnsi" w:hAnsiTheme="minorHAnsi" w:cstheme="minorHAnsi"/>
          <w:lang w:val="en-GB"/>
        </w:rPr>
        <w:t>from effects at therapeutic dosages</w:t>
      </w:r>
      <w:r w:rsidR="005E0923" w:rsidRPr="005E0923">
        <w:rPr>
          <w:rFonts w:asciiTheme="minorHAnsi" w:hAnsiTheme="minorHAnsi" w:cstheme="minorHAnsi"/>
          <w:lang w:val="en-GB"/>
        </w:rPr>
        <w:t xml:space="preserve">. </w:t>
      </w:r>
      <w:r w:rsidR="00E52900" w:rsidRPr="00886A1C">
        <w:rPr>
          <w:rFonts w:asciiTheme="minorHAnsi" w:hAnsiTheme="minorHAnsi" w:cstheme="minorHAnsi"/>
          <w:lang w:val="en-GB"/>
        </w:rPr>
        <w:t>F</w:t>
      </w:r>
      <w:r w:rsidRPr="00886A1C">
        <w:rPr>
          <w:rFonts w:asciiTheme="minorHAnsi" w:hAnsiTheme="minorHAnsi" w:cstheme="minorHAnsi"/>
          <w:lang w:val="en-GB"/>
        </w:rPr>
        <w:t>or the two CBD oil formulations in question</w:t>
      </w:r>
      <w:r w:rsidR="00E52900" w:rsidRPr="00886A1C">
        <w:rPr>
          <w:rFonts w:asciiTheme="minorHAnsi" w:hAnsiTheme="minorHAnsi" w:cstheme="minorHAnsi"/>
          <w:lang w:val="en-GB"/>
        </w:rPr>
        <w:t xml:space="preserve"> at the Cologne court</w:t>
      </w:r>
      <w:r w:rsidRPr="00886A1C">
        <w:rPr>
          <w:rFonts w:asciiTheme="minorHAnsi" w:hAnsiTheme="minorHAnsi" w:cstheme="minorHAnsi"/>
          <w:lang w:val="en-GB"/>
        </w:rPr>
        <w:t xml:space="preserve"> </w:t>
      </w:r>
      <w:r w:rsidR="00E52900" w:rsidRPr="00886A1C">
        <w:rPr>
          <w:rFonts w:asciiTheme="minorHAnsi" w:hAnsiTheme="minorHAnsi" w:cstheme="minorHAnsi"/>
          <w:lang w:val="en-GB"/>
        </w:rPr>
        <w:t xml:space="preserve">a daily intake of maximum </w:t>
      </w:r>
      <w:r w:rsidRPr="00886A1C">
        <w:rPr>
          <w:rFonts w:asciiTheme="minorHAnsi" w:hAnsiTheme="minorHAnsi" w:cstheme="minorHAnsi"/>
          <w:lang w:val="en-GB"/>
        </w:rPr>
        <w:t xml:space="preserve">between 18 mg and 45 mg of CBD </w:t>
      </w:r>
      <w:r w:rsidR="006A61A2" w:rsidRPr="00886A1C">
        <w:rPr>
          <w:rFonts w:asciiTheme="minorHAnsi" w:hAnsiTheme="minorHAnsi" w:cstheme="minorHAnsi"/>
          <w:lang w:val="en-GB"/>
        </w:rPr>
        <w:t>is</w:t>
      </w:r>
      <w:r w:rsidRPr="00886A1C">
        <w:rPr>
          <w:rFonts w:asciiTheme="minorHAnsi" w:hAnsiTheme="minorHAnsi" w:cstheme="minorHAnsi"/>
          <w:lang w:val="en-GB"/>
        </w:rPr>
        <w:t xml:space="preserve"> </w:t>
      </w:r>
      <w:r w:rsidR="00E52900" w:rsidRPr="00886A1C">
        <w:rPr>
          <w:rFonts w:asciiTheme="minorHAnsi" w:hAnsiTheme="minorHAnsi" w:cstheme="minorHAnsi"/>
          <w:lang w:val="en-GB"/>
        </w:rPr>
        <w:t>recommended</w:t>
      </w:r>
      <w:r w:rsidR="00886A1C" w:rsidRPr="00886A1C">
        <w:rPr>
          <w:rFonts w:asciiTheme="minorHAnsi" w:hAnsiTheme="minorHAnsi" w:cstheme="minorHAnsi"/>
          <w:lang w:val="en-GB"/>
        </w:rPr>
        <w:t xml:space="preserve"> </w:t>
      </w:r>
      <w:r w:rsidRPr="00886A1C">
        <w:rPr>
          <w:rFonts w:asciiTheme="minorHAnsi" w:hAnsiTheme="minorHAnsi" w:cstheme="minorHAnsi"/>
          <w:lang w:val="en-GB"/>
        </w:rPr>
        <w:t xml:space="preserve">(related to 60 kg body weight </w:t>
      </w:r>
      <w:r w:rsidR="00E52900" w:rsidRPr="00886A1C">
        <w:rPr>
          <w:rFonts w:asciiTheme="minorHAnsi" w:hAnsiTheme="minorHAnsi" w:cstheme="minorHAnsi"/>
          <w:lang w:val="en-GB"/>
        </w:rPr>
        <w:t xml:space="preserve">this is </w:t>
      </w:r>
      <w:r w:rsidRPr="00886A1C">
        <w:rPr>
          <w:rFonts w:asciiTheme="minorHAnsi" w:hAnsiTheme="minorHAnsi" w:cstheme="minorHAnsi"/>
          <w:lang w:val="en-GB"/>
        </w:rPr>
        <w:t xml:space="preserve">between 0.3 mg/kg </w:t>
      </w:r>
      <w:r w:rsidR="00E52900" w:rsidRPr="00886A1C">
        <w:rPr>
          <w:rFonts w:asciiTheme="minorHAnsi" w:hAnsiTheme="minorHAnsi" w:cstheme="minorHAnsi"/>
          <w:lang w:val="en-GB"/>
        </w:rPr>
        <w:t xml:space="preserve">bw </w:t>
      </w:r>
      <w:r w:rsidRPr="00886A1C">
        <w:rPr>
          <w:rFonts w:asciiTheme="minorHAnsi" w:hAnsiTheme="minorHAnsi" w:cstheme="minorHAnsi"/>
          <w:lang w:val="en-GB"/>
        </w:rPr>
        <w:t>and 0.75 mg/kg</w:t>
      </w:r>
      <w:r w:rsidR="00E52900" w:rsidRPr="00886A1C">
        <w:rPr>
          <w:rFonts w:asciiTheme="minorHAnsi" w:hAnsiTheme="minorHAnsi" w:cstheme="minorHAnsi"/>
          <w:lang w:val="en-GB"/>
        </w:rPr>
        <w:t xml:space="preserve"> bw</w:t>
      </w:r>
      <w:r w:rsidRPr="00886A1C">
        <w:rPr>
          <w:rFonts w:asciiTheme="minorHAnsi" w:hAnsiTheme="minorHAnsi" w:cstheme="minorHAnsi"/>
          <w:lang w:val="en-GB"/>
        </w:rPr>
        <w:t xml:space="preserve">): </w:t>
      </w:r>
      <w:r w:rsidRPr="00886A1C">
        <w:rPr>
          <w:rFonts w:asciiTheme="minorHAnsi" w:hAnsiTheme="minorHAnsi" w:cstheme="minorHAnsi"/>
          <w:lang w:val="en-GB"/>
        </w:rPr>
        <w:br/>
      </w:r>
      <w:r w:rsidR="008A11D2" w:rsidRPr="00886A1C">
        <w:rPr>
          <w:rFonts w:asciiTheme="minorHAnsi" w:hAnsiTheme="minorHAnsi" w:cstheme="minorHAnsi"/>
          <w:lang w:val="en-GB"/>
        </w:rPr>
        <w:t xml:space="preserve">In absolute CBD quantities, the safety margin between pharmaceutical/therapeutic dosage and food supplement </w:t>
      </w:r>
      <w:r w:rsidRPr="00886A1C">
        <w:rPr>
          <w:rFonts w:asciiTheme="minorHAnsi" w:hAnsiTheme="minorHAnsi" w:cstheme="minorHAnsi"/>
          <w:lang w:val="en-GB"/>
        </w:rPr>
        <w:t xml:space="preserve">ranges from 13 (= 10/0.75) to 67 (= 20/0.3). Thus, for </w:t>
      </w:r>
      <w:r w:rsidR="0021792F" w:rsidRPr="00886A1C">
        <w:rPr>
          <w:rFonts w:asciiTheme="minorHAnsi" w:hAnsiTheme="minorHAnsi" w:cstheme="minorHAnsi"/>
          <w:lang w:val="en-GB"/>
        </w:rPr>
        <w:t>the</w:t>
      </w:r>
      <w:r w:rsidRPr="00886A1C">
        <w:rPr>
          <w:rFonts w:asciiTheme="minorHAnsi" w:hAnsiTheme="minorHAnsi" w:cstheme="minorHAnsi"/>
          <w:lang w:val="en-GB"/>
        </w:rPr>
        <w:t xml:space="preserve"> therapeutic effect of Epidyolex, at least 13 times if not 67 times the amount of CBD is needed, and only together with another a</w:t>
      </w:r>
      <w:r w:rsidRPr="00886A1C">
        <w:rPr>
          <w:rFonts w:asciiTheme="minorHAnsi" w:hAnsiTheme="minorHAnsi" w:cstheme="minorHAnsi"/>
          <w:lang w:val="en-GB"/>
        </w:rPr>
        <w:t>n</w:t>
      </w:r>
      <w:r w:rsidRPr="00886A1C">
        <w:rPr>
          <w:rFonts w:asciiTheme="minorHAnsi" w:hAnsiTheme="minorHAnsi" w:cstheme="minorHAnsi"/>
          <w:lang w:val="en-GB"/>
        </w:rPr>
        <w:t>tiepileptic drug, clobazam.</w:t>
      </w:r>
    </w:p>
    <w:p w14:paraId="2CE69C28" w14:textId="77777777" w:rsidR="0078419D" w:rsidRPr="005E0923" w:rsidRDefault="0078419D" w:rsidP="0078419D">
      <w:pPr>
        <w:spacing w:after="0"/>
        <w:rPr>
          <w:rFonts w:asciiTheme="minorHAnsi" w:hAnsiTheme="minorHAnsi" w:cstheme="minorHAnsi"/>
          <w:lang w:val="en-GB"/>
        </w:rPr>
      </w:pPr>
    </w:p>
    <w:p w14:paraId="45437A02" w14:textId="640FEE58" w:rsidR="0078419D" w:rsidRPr="005E0923" w:rsidRDefault="00D802F1" w:rsidP="00EC73F6">
      <w:pPr>
        <w:spacing w:after="0"/>
        <w:rPr>
          <w:rFonts w:asciiTheme="minorHAnsi" w:hAnsiTheme="minorHAnsi" w:cstheme="minorHAnsi"/>
          <w:lang w:val="en-GB"/>
        </w:rPr>
      </w:pPr>
      <w:r w:rsidRPr="005E0923">
        <w:rPr>
          <w:rFonts w:asciiTheme="minorHAnsi" w:hAnsiTheme="minorHAnsi" w:cstheme="minorHAnsi"/>
          <w:lang w:val="en-GB"/>
        </w:rPr>
        <w:t>Such a safety margin between a drug dose and the intake level of a food or dietary supplement i</w:t>
      </w:r>
      <w:r w:rsidRPr="005E0923">
        <w:rPr>
          <w:rFonts w:asciiTheme="minorHAnsi" w:hAnsiTheme="minorHAnsi" w:cstheme="minorHAnsi"/>
          <w:lang w:val="en-GB"/>
        </w:rPr>
        <w:t>n</w:t>
      </w:r>
      <w:r w:rsidRPr="005E0923">
        <w:rPr>
          <w:rFonts w:asciiTheme="minorHAnsi" w:hAnsiTheme="minorHAnsi" w:cstheme="minorHAnsi"/>
          <w:lang w:val="en-GB"/>
        </w:rPr>
        <w:t xml:space="preserve">gredient corresponds to the very generous safety margins used in deriving safe reference doses for that substance (e.g.  </w:t>
      </w:r>
      <w:proofErr w:type="gramStart"/>
      <w:r w:rsidRPr="005E0923">
        <w:rPr>
          <w:rFonts w:asciiTheme="minorHAnsi" w:hAnsiTheme="minorHAnsi" w:cstheme="minorHAnsi"/>
          <w:lang w:val="en-GB"/>
        </w:rPr>
        <w:t>an</w:t>
      </w:r>
      <w:proofErr w:type="gramEnd"/>
      <w:r w:rsidRPr="005E0923">
        <w:rPr>
          <w:rFonts w:asciiTheme="minorHAnsi" w:hAnsiTheme="minorHAnsi" w:cstheme="minorHAnsi"/>
          <w:lang w:val="en-GB"/>
        </w:rPr>
        <w:t xml:space="preserve"> ADI, </w:t>
      </w:r>
      <w:r w:rsidR="00425D1A" w:rsidRPr="005E0923">
        <w:rPr>
          <w:rFonts w:asciiTheme="minorHAnsi" w:hAnsiTheme="minorHAnsi" w:cstheme="minorHAnsi"/>
          <w:lang w:val="en-GB"/>
        </w:rPr>
        <w:t>i.e.,</w:t>
      </w:r>
      <w:r w:rsidRPr="005E0923">
        <w:rPr>
          <w:rFonts w:asciiTheme="minorHAnsi" w:hAnsiTheme="minorHAnsi" w:cstheme="minorHAnsi"/>
          <w:lang w:val="en-GB"/>
        </w:rPr>
        <w:t xml:space="preserve"> an Acceptable Daily Intake, or a TDI, </w:t>
      </w:r>
      <w:r w:rsidR="00425D1A" w:rsidRPr="005E0923">
        <w:rPr>
          <w:rFonts w:asciiTheme="minorHAnsi" w:hAnsiTheme="minorHAnsi" w:cstheme="minorHAnsi"/>
          <w:lang w:val="en-GB"/>
        </w:rPr>
        <w:t>i.e.,</w:t>
      </w:r>
      <w:r w:rsidRPr="005E0923">
        <w:rPr>
          <w:rFonts w:asciiTheme="minorHAnsi" w:hAnsiTheme="minorHAnsi" w:cstheme="minorHAnsi"/>
          <w:lang w:val="en-GB"/>
        </w:rPr>
        <w:t xml:space="preserve"> a Tolerable Daily Intake) in risk assessments of substances, </w:t>
      </w:r>
      <w:r w:rsidR="00425D1A" w:rsidRPr="005E0923">
        <w:rPr>
          <w:rFonts w:asciiTheme="minorHAnsi" w:hAnsiTheme="minorHAnsi" w:cstheme="minorHAnsi"/>
          <w:lang w:val="en-GB"/>
        </w:rPr>
        <w:t>e.g.,</w:t>
      </w:r>
      <w:r w:rsidRPr="005E0923">
        <w:rPr>
          <w:rFonts w:asciiTheme="minorHAnsi" w:hAnsiTheme="minorHAnsi" w:cstheme="minorHAnsi"/>
          <w:lang w:val="en-GB"/>
        </w:rPr>
        <w:t xml:space="preserve"> the factor of at least 30 derived </w:t>
      </w:r>
      <w:r w:rsidR="000D68E6">
        <w:rPr>
          <w:rFonts w:asciiTheme="minorHAnsi" w:hAnsiTheme="minorHAnsi" w:cstheme="minorHAnsi"/>
          <w:lang w:val="en-GB"/>
        </w:rPr>
        <w:t xml:space="preserve">from a LOAEL </w:t>
      </w:r>
      <w:r w:rsidRPr="005E0923">
        <w:rPr>
          <w:rFonts w:asciiTheme="minorHAnsi" w:hAnsiTheme="minorHAnsi" w:cstheme="minorHAnsi"/>
          <w:lang w:val="en-GB"/>
        </w:rPr>
        <w:t>for the Acute Re</w:t>
      </w:r>
      <w:r w:rsidRPr="005E0923">
        <w:rPr>
          <w:rFonts w:asciiTheme="minorHAnsi" w:hAnsiTheme="minorHAnsi" w:cstheme="minorHAnsi"/>
          <w:lang w:val="en-GB"/>
        </w:rPr>
        <w:t>f</w:t>
      </w:r>
      <w:r w:rsidRPr="005E0923">
        <w:rPr>
          <w:rFonts w:asciiTheme="minorHAnsi" w:hAnsiTheme="minorHAnsi" w:cstheme="minorHAnsi"/>
          <w:lang w:val="en-GB"/>
        </w:rPr>
        <w:t>erence Dose of THC. However, significantly lower safety margins have been established by the a</w:t>
      </w:r>
      <w:r w:rsidRPr="005E0923">
        <w:rPr>
          <w:rFonts w:asciiTheme="minorHAnsi" w:hAnsiTheme="minorHAnsi" w:cstheme="minorHAnsi"/>
          <w:lang w:val="en-GB"/>
        </w:rPr>
        <w:t>u</w:t>
      </w:r>
      <w:r w:rsidRPr="005E0923">
        <w:rPr>
          <w:rFonts w:asciiTheme="minorHAnsi" w:hAnsiTheme="minorHAnsi" w:cstheme="minorHAnsi"/>
          <w:lang w:val="en-GB"/>
        </w:rPr>
        <w:t>thorities for other substances. For example, the BfR</w:t>
      </w:r>
      <w:r w:rsidR="00071E63">
        <w:rPr>
          <w:rStyle w:val="Funotenzeichen"/>
          <w:rFonts w:asciiTheme="minorHAnsi" w:hAnsiTheme="minorHAnsi" w:cstheme="minorHAnsi"/>
          <w:lang w:val="en-GB"/>
        </w:rPr>
        <w:footnoteReference w:id="14"/>
      </w:r>
      <w:r w:rsidRPr="005E0923">
        <w:rPr>
          <w:rFonts w:asciiTheme="minorHAnsi" w:hAnsiTheme="minorHAnsi" w:cstheme="minorHAnsi"/>
          <w:lang w:val="en-GB"/>
        </w:rPr>
        <w:t xml:space="preserve"> has specified a safety margin of 4.3 between the therapeutically effective minimum dose and the reference dose for morphine (</w:t>
      </w:r>
      <w:r w:rsidR="00A053EA">
        <w:rPr>
          <w:rFonts w:asciiTheme="minorHAnsi" w:hAnsiTheme="minorHAnsi" w:cstheme="minorHAnsi"/>
          <w:lang w:val="en-GB"/>
        </w:rPr>
        <w:t xml:space="preserve">10 µg/kg bw, </w:t>
      </w:r>
      <w:r w:rsidRPr="005E0923">
        <w:rPr>
          <w:rFonts w:asciiTheme="minorHAnsi" w:hAnsiTheme="minorHAnsi" w:cstheme="minorHAnsi"/>
          <w:lang w:val="en-GB"/>
        </w:rPr>
        <w:t xml:space="preserve">used as an </w:t>
      </w:r>
      <w:r w:rsidR="005E0923" w:rsidRPr="005E0923">
        <w:rPr>
          <w:rFonts w:asciiTheme="minorHAnsi" w:hAnsiTheme="minorHAnsi" w:cstheme="minorHAnsi"/>
          <w:lang w:val="en-GB"/>
        </w:rPr>
        <w:t>anaesthetic</w:t>
      </w:r>
      <w:r w:rsidRPr="005E0923">
        <w:rPr>
          <w:rFonts w:asciiTheme="minorHAnsi" w:hAnsiTheme="minorHAnsi" w:cstheme="minorHAnsi"/>
          <w:lang w:val="en-GB"/>
        </w:rPr>
        <w:t xml:space="preserve"> and analgesic </w:t>
      </w:r>
      <w:r w:rsidR="00A053EA">
        <w:rPr>
          <w:rFonts w:asciiTheme="minorHAnsi" w:hAnsiTheme="minorHAnsi" w:cstheme="minorHAnsi"/>
          <w:lang w:val="en-GB"/>
        </w:rPr>
        <w:t>medicine</w:t>
      </w:r>
      <w:r w:rsidRPr="005E0923">
        <w:rPr>
          <w:rFonts w:asciiTheme="minorHAnsi" w:hAnsiTheme="minorHAnsi" w:cstheme="minorHAnsi"/>
          <w:lang w:val="en-GB"/>
        </w:rPr>
        <w:t>), which is also found in poppy seeds and thus in foodstuffs, while the EFSA has only specified a factor of 3</w:t>
      </w:r>
      <w:r w:rsidRPr="005E0923">
        <w:rPr>
          <w:rStyle w:val="Funotenzeichen"/>
          <w:rFonts w:asciiTheme="minorHAnsi" w:hAnsiTheme="minorHAnsi" w:cstheme="minorHAnsi"/>
          <w:lang w:val="en-GB"/>
        </w:rPr>
        <w:footnoteReference w:id="15"/>
      </w:r>
      <w:r w:rsidR="00EC73F6">
        <w:rPr>
          <w:rFonts w:asciiTheme="minorHAnsi" w:hAnsiTheme="minorHAnsi" w:cstheme="minorHAnsi"/>
          <w:lang w:val="en-GB"/>
        </w:rPr>
        <w:t xml:space="preserve"> </w:t>
      </w:r>
      <w:r w:rsidR="00EC73F6" w:rsidRPr="00EC73F6">
        <w:rPr>
          <w:rFonts w:asciiTheme="minorHAnsi" w:hAnsiTheme="minorHAnsi" w:cstheme="minorHAnsi"/>
          <w:lang w:val="en-GB"/>
        </w:rPr>
        <w:t>for extrapolation</w:t>
      </w:r>
      <w:r w:rsidR="00EC73F6">
        <w:rPr>
          <w:rFonts w:asciiTheme="minorHAnsi" w:hAnsiTheme="minorHAnsi" w:cstheme="minorHAnsi"/>
          <w:lang w:val="en-GB"/>
        </w:rPr>
        <w:t xml:space="preserve"> </w:t>
      </w:r>
      <w:r w:rsidR="00EC73F6" w:rsidRPr="00EC73F6">
        <w:rPr>
          <w:rFonts w:asciiTheme="minorHAnsi" w:hAnsiTheme="minorHAnsi" w:cstheme="minorHAnsi"/>
          <w:lang w:val="en-GB"/>
        </w:rPr>
        <w:t>from the lowest-observed-effect-level (LOEL) to a no-observed-effect level (NOEL)</w:t>
      </w:r>
      <w:r w:rsidRPr="005E0923">
        <w:rPr>
          <w:rFonts w:asciiTheme="minorHAnsi" w:hAnsiTheme="minorHAnsi" w:cstheme="minorHAnsi"/>
          <w:lang w:val="en-GB"/>
        </w:rPr>
        <w:t xml:space="preserve">. </w:t>
      </w:r>
    </w:p>
    <w:p w14:paraId="6D9CE9D0" w14:textId="1E76825E" w:rsidR="00D802F1" w:rsidRPr="005E0923" w:rsidRDefault="00D802F1" w:rsidP="0078419D">
      <w:pPr>
        <w:spacing w:after="0"/>
        <w:rPr>
          <w:rFonts w:asciiTheme="minorHAnsi" w:hAnsiTheme="minorHAnsi" w:cstheme="minorHAnsi"/>
          <w:lang w:val="en-GB"/>
        </w:rPr>
      </w:pPr>
      <w:r w:rsidRPr="005E0923">
        <w:rPr>
          <w:rFonts w:asciiTheme="minorHAnsi" w:hAnsiTheme="minorHAnsi" w:cstheme="minorHAnsi"/>
          <w:lang w:val="en-GB"/>
        </w:rPr>
        <w:lastRenderedPageBreak/>
        <w:br/>
        <w:t>If the argumentation of the Cologne Administrative Court is upheld, poppy seeds would also have to be classified</w:t>
      </w:r>
      <w:r w:rsidR="0078419D" w:rsidRPr="005E0923">
        <w:rPr>
          <w:rFonts w:asciiTheme="minorHAnsi" w:hAnsiTheme="minorHAnsi" w:cstheme="minorHAnsi"/>
          <w:lang w:val="en-GB"/>
        </w:rPr>
        <w:t xml:space="preserve"> </w:t>
      </w:r>
      <w:r w:rsidRPr="005E0923">
        <w:rPr>
          <w:rFonts w:asciiTheme="minorHAnsi" w:hAnsiTheme="minorHAnsi" w:cstheme="minorHAnsi"/>
          <w:lang w:val="en-GB"/>
        </w:rPr>
        <w:t xml:space="preserve">as </w:t>
      </w:r>
      <w:r w:rsidR="0078419D" w:rsidRPr="005E0923">
        <w:rPr>
          <w:rFonts w:asciiTheme="minorHAnsi" w:hAnsiTheme="minorHAnsi" w:cstheme="minorHAnsi"/>
          <w:lang w:val="en-GB"/>
        </w:rPr>
        <w:t>medicine</w:t>
      </w:r>
      <w:r w:rsidRPr="005E0923">
        <w:rPr>
          <w:rFonts w:asciiTheme="minorHAnsi" w:hAnsiTheme="minorHAnsi" w:cstheme="minorHAnsi"/>
          <w:lang w:val="en-GB"/>
        </w:rPr>
        <w:t xml:space="preserve"> and banned as </w:t>
      </w:r>
      <w:r w:rsidR="0078419D" w:rsidRPr="005E0923">
        <w:rPr>
          <w:rFonts w:asciiTheme="minorHAnsi" w:hAnsiTheme="minorHAnsi" w:cstheme="minorHAnsi"/>
          <w:lang w:val="en-GB"/>
        </w:rPr>
        <w:t>food</w:t>
      </w:r>
      <w:r w:rsidRPr="005E0923">
        <w:rPr>
          <w:rFonts w:asciiTheme="minorHAnsi" w:hAnsiTheme="minorHAnsi" w:cstheme="minorHAnsi"/>
          <w:lang w:val="en-GB"/>
        </w:rPr>
        <w:t>.</w:t>
      </w:r>
    </w:p>
    <w:p w14:paraId="564E50B1" w14:textId="77777777" w:rsidR="0078419D" w:rsidRPr="005E0923" w:rsidRDefault="0078419D" w:rsidP="0078419D">
      <w:pPr>
        <w:spacing w:after="0"/>
        <w:rPr>
          <w:rFonts w:asciiTheme="minorHAnsi" w:hAnsiTheme="minorHAnsi" w:cstheme="minorHAnsi"/>
          <w:color w:val="FF0000"/>
          <w:lang w:val="en-GB"/>
        </w:rPr>
      </w:pPr>
    </w:p>
    <w:p w14:paraId="55906B72" w14:textId="77777777" w:rsidR="001F13A1" w:rsidRPr="005E0923" w:rsidRDefault="003E3E15" w:rsidP="00037B6F">
      <w:pPr>
        <w:jc w:val="both"/>
        <w:rPr>
          <w:bCs/>
          <w:lang w:val="en-GB"/>
        </w:rPr>
      </w:pPr>
      <w:r w:rsidRPr="005E0923">
        <w:rPr>
          <w:bCs/>
          <w:lang w:val="en-GB"/>
        </w:rPr>
        <w:t xml:space="preserve">In the preliminary ruling Hecht-Pharma, </w:t>
      </w:r>
      <w:r w:rsidR="00831354" w:rsidRPr="005E0923">
        <w:rPr>
          <w:bCs/>
          <w:lang w:val="en-GB"/>
        </w:rPr>
        <w:t>the European Court of Justice explicitly named the dosage of a product as a criterion for the classification of a functional medicinal product.</w:t>
      </w:r>
      <w:r w:rsidR="00831354" w:rsidRPr="005E0923">
        <w:rPr>
          <w:rStyle w:val="Funotenzeichen"/>
          <w:bCs/>
          <w:lang w:val="en-GB"/>
        </w:rPr>
        <w:footnoteReference w:id="16"/>
      </w:r>
    </w:p>
    <w:p w14:paraId="2076DBE4" w14:textId="77777777" w:rsidR="001F13A1" w:rsidRPr="005E0923" w:rsidRDefault="00831354" w:rsidP="00037B6F">
      <w:pPr>
        <w:jc w:val="both"/>
        <w:rPr>
          <w:bCs/>
          <w:lang w:val="en-GB"/>
        </w:rPr>
      </w:pPr>
      <w:r w:rsidRPr="005E0923">
        <w:rPr>
          <w:bCs/>
          <w:lang w:val="en-GB"/>
        </w:rPr>
        <w:t xml:space="preserve">Finally, in the case Commission v. Spain, the European Court of Justice ruled that the mere fact that a product contains a medicinal plant does not allow the conclusion </w:t>
      </w:r>
      <w:r w:rsidR="00B76FAE" w:rsidRPr="005E0923">
        <w:rPr>
          <w:bCs/>
          <w:lang w:val="en-GB"/>
        </w:rPr>
        <w:t xml:space="preserve">that </w:t>
      </w:r>
      <w:r w:rsidRPr="005E0923">
        <w:rPr>
          <w:bCs/>
          <w:lang w:val="en-GB"/>
        </w:rPr>
        <w:t>this product is a functional medicinal product. This is because it is possible that, due to the small amount of active ingredients, it has no or too little effect on physiological functions to be a functional medicine.</w:t>
      </w:r>
      <w:r w:rsidRPr="005E0923">
        <w:rPr>
          <w:rStyle w:val="Funotenzeichen"/>
          <w:bCs/>
          <w:lang w:val="en-GB"/>
        </w:rPr>
        <w:footnoteReference w:id="17"/>
      </w:r>
    </w:p>
    <w:p w14:paraId="0ADE8DC0" w14:textId="05163198" w:rsidR="001F13A1" w:rsidRPr="005E0923" w:rsidRDefault="003E3E15" w:rsidP="00037B6F">
      <w:pPr>
        <w:jc w:val="both"/>
        <w:rPr>
          <w:bCs/>
          <w:lang w:val="en-GB"/>
        </w:rPr>
      </w:pPr>
      <w:r w:rsidRPr="005E0923">
        <w:rPr>
          <w:bCs/>
          <w:lang w:val="en-GB"/>
        </w:rPr>
        <w:t xml:space="preserve">Furthermore, it is settled case law of the European Court of Justice that the measures chosen by the Member States </w:t>
      </w:r>
      <w:r w:rsidR="00A160ED" w:rsidRPr="005E0923">
        <w:rPr>
          <w:bCs/>
          <w:lang w:val="en-GB"/>
        </w:rPr>
        <w:t xml:space="preserve">must be proportionate to </w:t>
      </w:r>
      <w:r w:rsidRPr="005E0923">
        <w:rPr>
          <w:bCs/>
          <w:lang w:val="en-GB"/>
        </w:rPr>
        <w:t xml:space="preserve">the objective pursued </w:t>
      </w:r>
      <w:r w:rsidR="000D02F5" w:rsidRPr="005E0923">
        <w:rPr>
          <w:bCs/>
          <w:lang w:val="en-GB"/>
        </w:rPr>
        <w:t xml:space="preserve">and </w:t>
      </w:r>
      <w:r w:rsidR="00A160ED" w:rsidRPr="005E0923">
        <w:rPr>
          <w:bCs/>
          <w:lang w:val="en-GB"/>
        </w:rPr>
        <w:t xml:space="preserve">must be in accordance with </w:t>
      </w:r>
      <w:r w:rsidR="000D02F5" w:rsidRPr="005E0923">
        <w:rPr>
          <w:bCs/>
          <w:lang w:val="en-GB"/>
        </w:rPr>
        <w:t>proportionality</w:t>
      </w:r>
      <w:r w:rsidRPr="005E0923">
        <w:rPr>
          <w:bCs/>
          <w:lang w:val="en-GB"/>
        </w:rPr>
        <w:t>. The granting of a marketing authorization for a functional medicinal product is su</w:t>
      </w:r>
      <w:r w:rsidRPr="005E0923">
        <w:rPr>
          <w:bCs/>
          <w:lang w:val="en-GB"/>
        </w:rPr>
        <w:t>b</w:t>
      </w:r>
      <w:r w:rsidRPr="005E0923">
        <w:rPr>
          <w:bCs/>
          <w:lang w:val="en-GB"/>
        </w:rPr>
        <w:t xml:space="preserve">ject </w:t>
      </w:r>
      <w:r w:rsidR="00291E12" w:rsidRPr="005E0923">
        <w:rPr>
          <w:bCs/>
          <w:lang w:val="en-GB"/>
        </w:rPr>
        <w:t xml:space="preserve">to </w:t>
      </w:r>
      <w:r w:rsidRPr="005E0923">
        <w:rPr>
          <w:bCs/>
          <w:lang w:val="en-GB"/>
        </w:rPr>
        <w:t>strict requirements, and the obligation to obtain such authorization before marketing a pro</w:t>
      </w:r>
      <w:r w:rsidRPr="005E0923">
        <w:rPr>
          <w:bCs/>
          <w:lang w:val="en-GB"/>
        </w:rPr>
        <w:t>d</w:t>
      </w:r>
      <w:r w:rsidRPr="005E0923">
        <w:rPr>
          <w:bCs/>
          <w:lang w:val="en-GB"/>
        </w:rPr>
        <w:t xml:space="preserve">uct in question in the territory of the Member State concerned is consistent with the principle of proportionality only if it is actually necessary to protect public health. Such a restriction </w:t>
      </w:r>
      <w:r w:rsidR="0016380D">
        <w:rPr>
          <w:bCs/>
          <w:lang w:val="en-GB"/>
        </w:rPr>
        <w:t xml:space="preserve">(as by Spain) </w:t>
      </w:r>
      <w:r w:rsidRPr="005E0923">
        <w:rPr>
          <w:bCs/>
          <w:lang w:val="en-GB"/>
        </w:rPr>
        <w:t>on the free movement of goods must therefore necessarily be based on a detailed examination of the risk which the Member State claims to present.</w:t>
      </w:r>
      <w:r w:rsidRPr="005E0923">
        <w:rPr>
          <w:rStyle w:val="Funotenzeichen"/>
          <w:bCs/>
          <w:lang w:val="en-GB"/>
        </w:rPr>
        <w:footnoteReference w:id="18"/>
      </w:r>
      <w:r w:rsidR="000D02F5" w:rsidRPr="005E0923">
        <w:rPr>
          <w:bCs/>
          <w:lang w:val="en-GB"/>
        </w:rPr>
        <w:t xml:space="preserve"> The measures chosen by the Member States must be limited to what is actually necessary to protect public health or to meet the imperative r</w:t>
      </w:r>
      <w:r w:rsidR="000D02F5" w:rsidRPr="005E0923">
        <w:rPr>
          <w:bCs/>
          <w:lang w:val="en-GB"/>
        </w:rPr>
        <w:t>e</w:t>
      </w:r>
      <w:r w:rsidR="000D02F5" w:rsidRPr="005E0923">
        <w:rPr>
          <w:bCs/>
          <w:lang w:val="en-GB"/>
        </w:rPr>
        <w:t>quirements of consumer protection. In order not to restrict trade unnecessarily, the measures must be proportionate to the objective pursued.</w:t>
      </w:r>
      <w:r w:rsidR="000D02F5" w:rsidRPr="005E0923">
        <w:rPr>
          <w:rStyle w:val="Funotenzeichen"/>
          <w:bCs/>
          <w:lang w:val="en-GB"/>
        </w:rPr>
        <w:footnoteReference w:id="19"/>
      </w:r>
    </w:p>
    <w:p w14:paraId="16F0C303" w14:textId="77777777" w:rsidR="001F13A1" w:rsidRPr="005E0923" w:rsidRDefault="003E3E15" w:rsidP="00037B6F">
      <w:pPr>
        <w:pStyle w:val="Listenabsatz"/>
        <w:numPr>
          <w:ilvl w:val="0"/>
          <w:numId w:val="4"/>
        </w:numPr>
        <w:jc w:val="both"/>
        <w:rPr>
          <w:bCs/>
          <w:i/>
          <w:iCs/>
          <w:lang w:val="en-GB"/>
        </w:rPr>
      </w:pPr>
      <w:r w:rsidRPr="005E0923">
        <w:rPr>
          <w:bCs/>
          <w:i/>
          <w:iCs/>
          <w:lang w:val="en-GB"/>
        </w:rPr>
        <w:t>Codified law</w:t>
      </w:r>
    </w:p>
    <w:p w14:paraId="2D760FC6" w14:textId="6DC9B5D1" w:rsidR="001F13A1" w:rsidRPr="005E0923" w:rsidRDefault="003E3E15" w:rsidP="00037B6F">
      <w:pPr>
        <w:jc w:val="both"/>
        <w:rPr>
          <w:bCs/>
          <w:lang w:val="en-GB"/>
        </w:rPr>
      </w:pPr>
      <w:r w:rsidRPr="005E0923">
        <w:rPr>
          <w:bCs/>
          <w:lang w:val="en-GB"/>
        </w:rPr>
        <w:t>According to Art</w:t>
      </w:r>
      <w:r w:rsidR="00F4770A">
        <w:rPr>
          <w:bCs/>
          <w:lang w:val="en-GB"/>
        </w:rPr>
        <w:t>icle</w:t>
      </w:r>
      <w:r w:rsidRPr="005E0923">
        <w:rPr>
          <w:bCs/>
          <w:lang w:val="en-GB"/>
        </w:rPr>
        <w:t xml:space="preserve"> 116 of the European Medicines Directive</w:t>
      </w:r>
      <w:r w:rsidR="00972773" w:rsidRPr="005E0923">
        <w:rPr>
          <w:bCs/>
          <w:lang w:val="en-GB"/>
        </w:rPr>
        <w:t xml:space="preserve"> (Directive 2001/83/EC)</w:t>
      </w:r>
      <w:r w:rsidRPr="005E0923">
        <w:rPr>
          <w:bCs/>
          <w:lang w:val="en-GB"/>
        </w:rPr>
        <w:t>, the competent authorities of the Member States must also suspend or revoke the marketing authorization proc</w:t>
      </w:r>
      <w:r w:rsidRPr="005E0923">
        <w:rPr>
          <w:bCs/>
          <w:lang w:val="en-GB"/>
        </w:rPr>
        <w:t>e</w:t>
      </w:r>
      <w:r w:rsidRPr="005E0923">
        <w:rPr>
          <w:bCs/>
          <w:lang w:val="en-GB"/>
        </w:rPr>
        <w:t>dure for a medicinal product if it becomes apparent that the product lacks therapeutic efficacy. A</w:t>
      </w:r>
      <w:r w:rsidRPr="005E0923">
        <w:rPr>
          <w:bCs/>
          <w:lang w:val="en-GB"/>
        </w:rPr>
        <w:t>c</w:t>
      </w:r>
      <w:r w:rsidRPr="005E0923">
        <w:rPr>
          <w:bCs/>
          <w:lang w:val="en-GB"/>
        </w:rPr>
        <w:t>cording to this provision, therapeutic efficacy is lacking if it is established that therapeutic results cannot be achieved with the drug.</w:t>
      </w:r>
    </w:p>
    <w:p w14:paraId="2547F5EC" w14:textId="44B6C763" w:rsidR="001F13A1" w:rsidRDefault="003E3E15" w:rsidP="00037B6F">
      <w:pPr>
        <w:jc w:val="both"/>
        <w:rPr>
          <w:bCs/>
          <w:lang w:val="en-GB"/>
        </w:rPr>
      </w:pPr>
      <w:r w:rsidRPr="005E0923">
        <w:rPr>
          <w:bCs/>
          <w:lang w:val="en-GB"/>
        </w:rPr>
        <w:t xml:space="preserve">The European Medicines Directive </w:t>
      </w:r>
      <w:r w:rsidR="00DF234C">
        <w:rPr>
          <w:bCs/>
          <w:lang w:val="en-GB"/>
        </w:rPr>
        <w:t>on medicinal products for human use</w:t>
      </w:r>
      <w:r w:rsidR="00DF234C">
        <w:rPr>
          <w:rStyle w:val="Funotenzeichen"/>
          <w:bCs/>
          <w:lang w:val="en-GB"/>
        </w:rPr>
        <w:footnoteReference w:id="20"/>
      </w:r>
      <w:r w:rsidR="00DF234C">
        <w:rPr>
          <w:bCs/>
          <w:lang w:val="en-GB"/>
        </w:rPr>
        <w:t xml:space="preserve"> </w:t>
      </w:r>
      <w:r w:rsidRPr="005E0923">
        <w:rPr>
          <w:bCs/>
          <w:lang w:val="en-GB"/>
        </w:rPr>
        <w:t xml:space="preserve">further states that a </w:t>
      </w:r>
      <w:proofErr w:type="spellStart"/>
      <w:r w:rsidR="00BD1850">
        <w:rPr>
          <w:bCs/>
          <w:lang w:val="en-GB"/>
        </w:rPr>
        <w:t>p</w:t>
      </w:r>
      <w:r w:rsidR="005E0923" w:rsidRPr="005E0923">
        <w:rPr>
          <w:bCs/>
          <w:lang w:val="en-GB"/>
        </w:rPr>
        <w:t>ha</w:t>
      </w:r>
      <w:r w:rsidR="00F4770A">
        <w:rPr>
          <w:bCs/>
          <w:lang w:val="en-GB"/>
        </w:rPr>
        <w:t>r</w:t>
      </w:r>
      <w:r w:rsidR="005E0923" w:rsidRPr="005E0923">
        <w:rPr>
          <w:bCs/>
          <w:lang w:val="en-GB"/>
        </w:rPr>
        <w:t>macodynamic</w:t>
      </w:r>
      <w:proofErr w:type="spellEnd"/>
      <w:r w:rsidRPr="005E0923">
        <w:rPr>
          <w:bCs/>
          <w:lang w:val="en-GB"/>
        </w:rPr>
        <w:t xml:space="preserve"> effect in humans alone is not sufficient to draw conclusions regarding a possible the</w:t>
      </w:r>
      <w:r w:rsidRPr="005E0923">
        <w:rPr>
          <w:bCs/>
          <w:lang w:val="en-GB"/>
        </w:rPr>
        <w:t>r</w:t>
      </w:r>
      <w:r w:rsidRPr="005E0923">
        <w:rPr>
          <w:bCs/>
          <w:lang w:val="en-GB"/>
        </w:rPr>
        <w:t>apeutic effect.</w:t>
      </w:r>
    </w:p>
    <w:p w14:paraId="54DEDC9C" w14:textId="7C343AE2" w:rsidR="0014763E" w:rsidRPr="005E0923" w:rsidRDefault="00417C15" w:rsidP="00037B6F">
      <w:pPr>
        <w:jc w:val="both"/>
        <w:rPr>
          <w:bCs/>
          <w:lang w:val="en-GB"/>
        </w:rPr>
      </w:pPr>
      <w:r>
        <w:rPr>
          <w:bCs/>
          <w:lang w:val="en-GB"/>
        </w:rPr>
        <w:lastRenderedPageBreak/>
        <w:t>As well, t</w:t>
      </w:r>
      <w:r w:rsidR="0014763E" w:rsidRPr="005E0923">
        <w:rPr>
          <w:bCs/>
          <w:lang w:val="en-GB"/>
        </w:rPr>
        <w:t xml:space="preserve">he European Medicines Directive </w:t>
      </w:r>
      <w:r w:rsidR="0014763E">
        <w:rPr>
          <w:bCs/>
          <w:lang w:val="en-GB"/>
        </w:rPr>
        <w:t>on veterinary medicinal products</w:t>
      </w:r>
      <w:r w:rsidR="0014763E">
        <w:rPr>
          <w:rStyle w:val="Funotenzeichen"/>
          <w:bCs/>
          <w:lang w:val="en-GB"/>
        </w:rPr>
        <w:footnoteReference w:id="21"/>
      </w:r>
      <w:r w:rsidR="009E2AFD">
        <w:rPr>
          <w:bCs/>
          <w:lang w:val="en-GB"/>
        </w:rPr>
        <w:t xml:space="preserve"> </w:t>
      </w:r>
      <w:r w:rsidR="0014763E" w:rsidRPr="005E0923">
        <w:rPr>
          <w:bCs/>
          <w:lang w:val="en-GB"/>
        </w:rPr>
        <w:t xml:space="preserve">states under </w:t>
      </w:r>
      <w:r w:rsidR="009E2AFD">
        <w:rPr>
          <w:bCs/>
          <w:lang w:val="en-GB"/>
        </w:rPr>
        <w:t>Pre-</w:t>
      </w:r>
      <w:r w:rsidR="0014763E" w:rsidRPr="005E0923">
        <w:rPr>
          <w:bCs/>
          <w:i/>
          <w:iCs/>
          <w:lang w:val="en-GB"/>
        </w:rPr>
        <w:t xml:space="preserve">Clinical </w:t>
      </w:r>
      <w:r w:rsidR="009E2AFD">
        <w:rPr>
          <w:bCs/>
          <w:i/>
          <w:iCs/>
          <w:lang w:val="en-GB"/>
        </w:rPr>
        <w:t>and Clinical Testing</w:t>
      </w:r>
      <w:r w:rsidR="0014763E" w:rsidRPr="005E0923">
        <w:rPr>
          <w:bCs/>
          <w:lang w:val="en-GB"/>
        </w:rPr>
        <w:t xml:space="preserve"> that a </w:t>
      </w:r>
      <w:proofErr w:type="spellStart"/>
      <w:r w:rsidR="0014763E">
        <w:rPr>
          <w:bCs/>
          <w:lang w:val="en-GB"/>
        </w:rPr>
        <w:t>p</w:t>
      </w:r>
      <w:r w:rsidR="0014763E" w:rsidRPr="005E0923">
        <w:rPr>
          <w:bCs/>
          <w:lang w:val="en-GB"/>
        </w:rPr>
        <w:t>harmacodynamic</w:t>
      </w:r>
      <w:proofErr w:type="spellEnd"/>
      <w:r w:rsidR="0014763E" w:rsidRPr="005E0923">
        <w:rPr>
          <w:bCs/>
          <w:lang w:val="en-GB"/>
        </w:rPr>
        <w:t xml:space="preserve"> effect in </w:t>
      </w:r>
      <w:r w:rsidR="009E2AFD">
        <w:rPr>
          <w:bCs/>
          <w:lang w:val="en-GB"/>
        </w:rPr>
        <w:t>animal</w:t>
      </w:r>
      <w:r w:rsidR="0014763E" w:rsidRPr="005E0923">
        <w:rPr>
          <w:bCs/>
          <w:lang w:val="en-GB"/>
        </w:rPr>
        <w:t>s alone is not sufficient to draw conclusions regarding a possible therapeutic effect.</w:t>
      </w:r>
    </w:p>
    <w:p w14:paraId="28EB0B46" w14:textId="0F9C6DBB" w:rsidR="0078419D" w:rsidRPr="005E0923" w:rsidRDefault="0078419D" w:rsidP="0078419D">
      <w:pPr>
        <w:rPr>
          <w:rFonts w:asciiTheme="minorHAnsi" w:hAnsiTheme="minorHAnsi" w:cstheme="minorHAnsi"/>
          <w:lang w:val="en-GB"/>
        </w:rPr>
      </w:pPr>
      <w:r w:rsidRPr="005E0923">
        <w:rPr>
          <w:rFonts w:asciiTheme="minorHAnsi" w:hAnsiTheme="minorHAnsi" w:cstheme="minorHAnsi"/>
          <w:lang w:val="en-GB"/>
        </w:rPr>
        <w:t xml:space="preserve">BfArM's argumentation is based on a "linear-no-threshold" hypothesis of the therapeutic effect, since according to this view there is </w:t>
      </w:r>
      <w:r w:rsidR="001448FC">
        <w:rPr>
          <w:rFonts w:asciiTheme="minorHAnsi" w:hAnsiTheme="minorHAnsi" w:cstheme="minorHAnsi"/>
          <w:lang w:val="en-GB"/>
        </w:rPr>
        <w:t xml:space="preserve">also </w:t>
      </w:r>
      <w:r w:rsidRPr="00DE5E29">
        <w:rPr>
          <w:rFonts w:asciiTheme="minorHAnsi" w:hAnsiTheme="minorHAnsi" w:cstheme="minorHAnsi"/>
          <w:lang w:val="en-GB"/>
        </w:rPr>
        <w:t>no lower value of</w:t>
      </w:r>
      <w:r w:rsidRPr="005E0923">
        <w:rPr>
          <w:rFonts w:asciiTheme="minorHAnsi" w:hAnsiTheme="minorHAnsi" w:cstheme="minorHAnsi"/>
          <w:lang w:val="en-GB"/>
        </w:rPr>
        <w:t xml:space="preserve"> the pharmacological effect (</w:t>
      </w:r>
      <w:r w:rsidR="005E0923">
        <w:rPr>
          <w:rFonts w:asciiTheme="minorHAnsi" w:hAnsiTheme="minorHAnsi" w:cstheme="minorHAnsi"/>
          <w:lang w:val="en-GB"/>
        </w:rPr>
        <w:t>which was to be proven</w:t>
      </w:r>
      <w:r w:rsidRPr="005E0923">
        <w:rPr>
          <w:rFonts w:asciiTheme="minorHAnsi" w:hAnsiTheme="minorHAnsi" w:cstheme="minorHAnsi"/>
          <w:lang w:val="en-GB"/>
        </w:rPr>
        <w:t>)</w:t>
      </w:r>
      <w:r w:rsidR="003B75DD" w:rsidRPr="005E0923">
        <w:rPr>
          <w:rStyle w:val="Funotenzeichen"/>
          <w:rFonts w:asciiTheme="minorHAnsi" w:hAnsiTheme="minorHAnsi" w:cstheme="minorHAnsi"/>
          <w:lang w:val="en-GB"/>
        </w:rPr>
        <w:footnoteReference w:id="22"/>
      </w:r>
      <w:r w:rsidRPr="005E0923">
        <w:rPr>
          <w:rFonts w:asciiTheme="minorHAnsi" w:hAnsiTheme="minorHAnsi" w:cstheme="minorHAnsi"/>
          <w:lang w:val="en-GB"/>
        </w:rPr>
        <w:t xml:space="preserve"> </w:t>
      </w:r>
      <w:r w:rsidR="005E0923">
        <w:rPr>
          <w:rFonts w:asciiTheme="minorHAnsi" w:hAnsiTheme="minorHAnsi" w:cstheme="minorHAnsi"/>
          <w:lang w:val="en-GB"/>
        </w:rPr>
        <w:t>.</w:t>
      </w:r>
      <w:r w:rsidRPr="005E0923">
        <w:rPr>
          <w:rFonts w:asciiTheme="minorHAnsi" w:hAnsiTheme="minorHAnsi" w:cstheme="minorHAnsi"/>
          <w:lang w:val="en-GB"/>
        </w:rPr>
        <w:t>However, therapeutic and pharmacological effects are not the same, since a therape</w:t>
      </w:r>
      <w:r w:rsidRPr="005E0923">
        <w:rPr>
          <w:rFonts w:asciiTheme="minorHAnsi" w:hAnsiTheme="minorHAnsi" w:cstheme="minorHAnsi"/>
          <w:lang w:val="en-GB"/>
        </w:rPr>
        <w:t>u</w:t>
      </w:r>
      <w:r w:rsidRPr="005E0923">
        <w:rPr>
          <w:rFonts w:asciiTheme="minorHAnsi" w:hAnsiTheme="minorHAnsi" w:cstheme="minorHAnsi"/>
          <w:lang w:val="en-GB"/>
        </w:rPr>
        <w:t xml:space="preserve">tic effect is achieved only above a certain threshold dose. Also, it is erroneously assumed here </w:t>
      </w:r>
      <w:r w:rsidR="007D324C">
        <w:rPr>
          <w:rFonts w:asciiTheme="minorHAnsi" w:hAnsiTheme="minorHAnsi" w:cstheme="minorHAnsi"/>
          <w:lang w:val="en-GB"/>
        </w:rPr>
        <w:t xml:space="preserve">that </w:t>
      </w:r>
      <w:r w:rsidRPr="005E0923">
        <w:rPr>
          <w:rFonts w:asciiTheme="minorHAnsi" w:hAnsiTheme="minorHAnsi" w:cstheme="minorHAnsi"/>
          <w:lang w:val="en-GB"/>
        </w:rPr>
        <w:t xml:space="preserve">only CBD </w:t>
      </w:r>
      <w:r w:rsidR="007D324C">
        <w:rPr>
          <w:rFonts w:asciiTheme="minorHAnsi" w:hAnsiTheme="minorHAnsi" w:cstheme="minorHAnsi"/>
          <w:lang w:val="en-GB"/>
        </w:rPr>
        <w:t>w</w:t>
      </w:r>
      <w:r w:rsidRPr="005E0923">
        <w:rPr>
          <w:rFonts w:asciiTheme="minorHAnsi" w:hAnsiTheme="minorHAnsi" w:cstheme="minorHAnsi"/>
          <w:lang w:val="en-GB"/>
        </w:rPr>
        <w:t xml:space="preserve">as the effective agent ("pars pro </w:t>
      </w:r>
      <w:proofErr w:type="spellStart"/>
      <w:r w:rsidRPr="005E0923">
        <w:rPr>
          <w:rFonts w:asciiTheme="minorHAnsi" w:hAnsiTheme="minorHAnsi" w:cstheme="minorHAnsi"/>
          <w:lang w:val="en-GB"/>
        </w:rPr>
        <w:t>toto</w:t>
      </w:r>
      <w:proofErr w:type="spellEnd"/>
      <w:r w:rsidRPr="005E0923">
        <w:rPr>
          <w:rFonts w:asciiTheme="minorHAnsi" w:hAnsiTheme="minorHAnsi" w:cstheme="minorHAnsi"/>
          <w:lang w:val="en-GB"/>
        </w:rPr>
        <w:t>"). In fact, pure CBD (Epidyolex, &gt;98% pure CBD) and CBD oils (</w:t>
      </w:r>
      <w:r w:rsidR="007D324C">
        <w:rPr>
          <w:rFonts w:asciiTheme="minorHAnsi" w:hAnsiTheme="minorHAnsi" w:cstheme="minorHAnsi"/>
          <w:lang w:val="en-GB"/>
        </w:rPr>
        <w:t xml:space="preserve">hemp </w:t>
      </w:r>
      <w:r w:rsidRPr="005E0923">
        <w:rPr>
          <w:rFonts w:asciiTheme="minorHAnsi" w:hAnsiTheme="minorHAnsi" w:cstheme="minorHAnsi"/>
          <w:lang w:val="en-GB"/>
        </w:rPr>
        <w:t>extracts with up to 10% CBD) are completely different in that the latter contain other phytosubstances such as other cannabinoids, terpenes, phytophenols and other pharmacologically or physiologically active compounds widely distributed in nature. It is downright grotesque to complet</w:t>
      </w:r>
      <w:r w:rsidRPr="005E0923">
        <w:rPr>
          <w:rFonts w:asciiTheme="minorHAnsi" w:hAnsiTheme="minorHAnsi" w:cstheme="minorHAnsi"/>
          <w:lang w:val="en-GB"/>
        </w:rPr>
        <w:t>e</w:t>
      </w:r>
      <w:r w:rsidRPr="005E0923">
        <w:rPr>
          <w:rFonts w:asciiTheme="minorHAnsi" w:hAnsiTheme="minorHAnsi" w:cstheme="minorHAnsi"/>
          <w:lang w:val="en-GB"/>
        </w:rPr>
        <w:t>ly exclude these different compositions from the considerations and instead reduce them to the few percentages of CBD.</w:t>
      </w:r>
    </w:p>
    <w:p w14:paraId="54B23427" w14:textId="7F2A466B" w:rsidR="001F13A1" w:rsidRPr="005E0923" w:rsidRDefault="003E3E15" w:rsidP="00037B6F">
      <w:pPr>
        <w:jc w:val="both"/>
        <w:rPr>
          <w:rFonts w:asciiTheme="minorHAnsi" w:hAnsiTheme="minorHAnsi"/>
          <w:bCs/>
          <w:lang w:val="en-GB"/>
        </w:rPr>
      </w:pPr>
      <w:r w:rsidRPr="005E0923">
        <w:rPr>
          <w:rFonts w:asciiTheme="minorHAnsi" w:hAnsiTheme="minorHAnsi"/>
          <w:bCs/>
          <w:lang w:val="en-GB"/>
        </w:rPr>
        <w:t>The Borderline Guideline, MEDDEV 2.1/</w:t>
      </w:r>
      <w:r w:rsidR="00F965B9">
        <w:rPr>
          <w:rFonts w:asciiTheme="minorHAnsi" w:hAnsiTheme="minorHAnsi"/>
          <w:bCs/>
          <w:lang w:val="en-GB"/>
        </w:rPr>
        <w:t>3</w:t>
      </w:r>
      <w:r w:rsidRPr="005E0923">
        <w:rPr>
          <w:rFonts w:asciiTheme="minorHAnsi" w:hAnsiTheme="minorHAnsi"/>
          <w:bCs/>
          <w:lang w:val="en-GB"/>
        </w:rPr>
        <w:t xml:space="preserve">, rev.3, referred to by </w:t>
      </w:r>
      <w:r w:rsidRPr="005E0923">
        <w:rPr>
          <w:bCs/>
          <w:lang w:val="en-GB"/>
        </w:rPr>
        <w:t xml:space="preserve">the Cologne Administrative Court also points out that </w:t>
      </w:r>
      <w:r w:rsidRPr="005E0923">
        <w:rPr>
          <w:rFonts w:asciiTheme="minorHAnsi" w:hAnsiTheme="minorHAnsi"/>
          <w:bCs/>
          <w:lang w:val="en-GB"/>
        </w:rPr>
        <w:t>the property as a medicinal product must be determined in each individual case in accordance with the established case law of the European Court of Justice.</w:t>
      </w:r>
    </w:p>
    <w:p w14:paraId="538798B4" w14:textId="77777777" w:rsidR="001F13A1" w:rsidRPr="005E0923" w:rsidRDefault="003E3E15" w:rsidP="00037B6F">
      <w:pPr>
        <w:pStyle w:val="Listenabsatz"/>
        <w:numPr>
          <w:ilvl w:val="0"/>
          <w:numId w:val="4"/>
        </w:numPr>
        <w:jc w:val="both"/>
        <w:rPr>
          <w:rFonts w:asciiTheme="minorHAnsi" w:hAnsiTheme="minorHAnsi"/>
          <w:bCs/>
          <w:i/>
          <w:iCs/>
          <w:lang w:val="en-GB"/>
        </w:rPr>
      </w:pPr>
      <w:r w:rsidRPr="005E0923">
        <w:rPr>
          <w:rFonts w:asciiTheme="minorHAnsi" w:hAnsiTheme="minorHAnsi"/>
          <w:bCs/>
          <w:i/>
          <w:iCs/>
          <w:lang w:val="en-GB"/>
        </w:rPr>
        <w:t>Absorption of CBD through food</w:t>
      </w:r>
    </w:p>
    <w:p w14:paraId="13FA17BF" w14:textId="6288234B" w:rsidR="001F13A1" w:rsidRPr="005E0923" w:rsidRDefault="003E3E15" w:rsidP="00037B6F">
      <w:pPr>
        <w:jc w:val="both"/>
        <w:rPr>
          <w:bCs/>
          <w:lang w:val="en-GB"/>
        </w:rPr>
      </w:pPr>
      <w:r w:rsidRPr="005E0923">
        <w:rPr>
          <w:bCs/>
          <w:lang w:val="en-GB"/>
        </w:rPr>
        <w:t xml:space="preserve">In the </w:t>
      </w:r>
      <w:r w:rsidR="001A7D96">
        <w:rPr>
          <w:bCs/>
          <w:lang w:val="en-GB"/>
        </w:rPr>
        <w:t>“</w:t>
      </w:r>
      <w:r w:rsidRPr="005E0923">
        <w:rPr>
          <w:bCs/>
          <w:lang w:val="en-GB"/>
        </w:rPr>
        <w:t>garlic</w:t>
      </w:r>
      <w:r w:rsidR="001A7D96">
        <w:rPr>
          <w:bCs/>
          <w:lang w:val="en-GB"/>
        </w:rPr>
        <w:t>”</w:t>
      </w:r>
      <w:r w:rsidRPr="005E0923">
        <w:rPr>
          <w:bCs/>
          <w:lang w:val="en-GB"/>
        </w:rPr>
        <w:t xml:space="preserve"> decision, the ECJ further held that a garlic preparation whose effects on physiological functions do not exceed the effects that a food distorted in an appropriate quantity may have on those functions cannot be classified as a functional medicinal product.</w:t>
      </w:r>
      <w:r w:rsidRPr="005E0923">
        <w:rPr>
          <w:rStyle w:val="Funotenzeichen"/>
          <w:bCs/>
          <w:lang w:val="en-GB"/>
        </w:rPr>
        <w:footnoteReference w:id="23"/>
      </w:r>
    </w:p>
    <w:p w14:paraId="7C6DB281" w14:textId="0AB00E2B" w:rsidR="001F13A1" w:rsidRPr="005E0923" w:rsidRDefault="003E3E15" w:rsidP="00037B6F">
      <w:pPr>
        <w:jc w:val="both"/>
        <w:rPr>
          <w:rFonts w:eastAsia="Times New Roman" w:cs="Calibri"/>
          <w:lang w:val="en-GB"/>
        </w:rPr>
      </w:pPr>
      <w:r w:rsidRPr="005E0923">
        <w:rPr>
          <w:rFonts w:eastAsia="Times New Roman" w:cs="Calibri"/>
          <w:lang w:val="en-GB"/>
        </w:rPr>
        <w:t xml:space="preserve">First of all, the opinion of the </w:t>
      </w:r>
      <w:r w:rsidR="00A94603">
        <w:rPr>
          <w:rFonts w:eastAsia="Times New Roman" w:cs="Calibri"/>
          <w:lang w:val="en-GB"/>
        </w:rPr>
        <w:t>Administrative Court of</w:t>
      </w:r>
      <w:r w:rsidRPr="005E0923">
        <w:rPr>
          <w:rFonts w:eastAsia="Times New Roman" w:cs="Calibri"/>
          <w:lang w:val="en-GB"/>
        </w:rPr>
        <w:t xml:space="preserve"> Cologne is wrong, which even wants to deny </w:t>
      </w:r>
      <w:r w:rsidR="00A94603" w:rsidRPr="005E0923">
        <w:rPr>
          <w:rFonts w:eastAsia="Times New Roman" w:cs="Calibri"/>
          <w:lang w:val="en-GB"/>
        </w:rPr>
        <w:t xml:space="preserve">the food property </w:t>
      </w:r>
      <w:r w:rsidR="00A94603">
        <w:rPr>
          <w:rFonts w:eastAsia="Times New Roman" w:cs="Calibri"/>
          <w:lang w:val="en-GB"/>
        </w:rPr>
        <w:t xml:space="preserve">to </w:t>
      </w:r>
      <w:r w:rsidRPr="005E0923">
        <w:rPr>
          <w:rFonts w:eastAsia="Times New Roman" w:cs="Calibri"/>
          <w:lang w:val="en-GB"/>
        </w:rPr>
        <w:t xml:space="preserve">hemp extracts and "CBD", since </w:t>
      </w:r>
      <w:r w:rsidRPr="005E0923">
        <w:rPr>
          <w:rFonts w:cs="Calibri"/>
          <w:color w:val="2A2A34"/>
          <w:lang w:val="en-GB"/>
        </w:rPr>
        <w:t xml:space="preserve">a </w:t>
      </w:r>
      <w:r w:rsidRPr="005E0923">
        <w:rPr>
          <w:rFonts w:cs="Calibri"/>
          <w:color w:val="13141F"/>
          <w:lang w:val="en-GB"/>
        </w:rPr>
        <w:t xml:space="preserve">basic </w:t>
      </w:r>
      <w:r w:rsidRPr="005E0923">
        <w:rPr>
          <w:rFonts w:cs="Calibri"/>
          <w:color w:val="2A2A34"/>
          <w:lang w:val="en-GB"/>
        </w:rPr>
        <w:t>nutrient</w:t>
      </w:r>
      <w:r w:rsidRPr="005E0923">
        <w:rPr>
          <w:rFonts w:cs="Calibri"/>
          <w:color w:val="13141F"/>
          <w:lang w:val="en-GB"/>
        </w:rPr>
        <w:t xml:space="preserve"> function of CBD </w:t>
      </w:r>
      <w:r w:rsidR="00A94603">
        <w:rPr>
          <w:rFonts w:cs="Calibri"/>
          <w:color w:val="13141F"/>
          <w:lang w:val="en-GB"/>
        </w:rPr>
        <w:t>wa</w:t>
      </w:r>
      <w:r w:rsidRPr="005E0923">
        <w:rPr>
          <w:rFonts w:cs="Calibri"/>
          <w:color w:val="13141F"/>
          <w:lang w:val="en-GB"/>
        </w:rPr>
        <w:t xml:space="preserve">s </w:t>
      </w:r>
      <w:r w:rsidRPr="005E0923">
        <w:rPr>
          <w:rFonts w:cs="Calibri"/>
          <w:color w:val="2A2A34"/>
          <w:lang w:val="en-GB"/>
        </w:rPr>
        <w:t xml:space="preserve">neither </w:t>
      </w:r>
      <w:r w:rsidRPr="005E0923">
        <w:rPr>
          <w:rFonts w:cs="Calibri"/>
          <w:color w:val="13141F"/>
          <w:lang w:val="en-GB"/>
        </w:rPr>
        <w:t xml:space="preserve">known </w:t>
      </w:r>
      <w:r w:rsidRPr="005E0923">
        <w:rPr>
          <w:rFonts w:cs="Calibri"/>
          <w:color w:val="2A2A34"/>
          <w:lang w:val="en-GB"/>
        </w:rPr>
        <w:t xml:space="preserve">nor </w:t>
      </w:r>
      <w:r w:rsidRPr="005E0923">
        <w:rPr>
          <w:rFonts w:cs="Calibri"/>
          <w:color w:val="13141F"/>
          <w:lang w:val="en-GB"/>
        </w:rPr>
        <w:t>currently recognizable</w:t>
      </w:r>
      <w:r w:rsidR="00983D33">
        <w:rPr>
          <w:rFonts w:cs="Calibri"/>
          <w:color w:val="13141F"/>
          <w:lang w:val="en-GB"/>
        </w:rPr>
        <w:t>,</w:t>
      </w:r>
      <w:r w:rsidRPr="005E0923">
        <w:rPr>
          <w:rFonts w:cs="Calibri"/>
          <w:color w:val="13141F"/>
          <w:lang w:val="en-GB"/>
        </w:rPr>
        <w:t xml:space="preserve"> and CBD </w:t>
      </w:r>
      <w:r w:rsidRPr="005E0923">
        <w:rPr>
          <w:rFonts w:cs="Calibri"/>
          <w:color w:val="02030E"/>
          <w:lang w:val="en-GB"/>
        </w:rPr>
        <w:t xml:space="preserve">oils </w:t>
      </w:r>
      <w:r w:rsidRPr="005E0923">
        <w:rPr>
          <w:rFonts w:cs="Calibri"/>
          <w:color w:val="191823"/>
          <w:lang w:val="en-GB"/>
        </w:rPr>
        <w:t xml:space="preserve">or other </w:t>
      </w:r>
      <w:r w:rsidRPr="005E0923">
        <w:rPr>
          <w:rFonts w:cs="Calibri"/>
          <w:color w:val="02030E"/>
          <w:lang w:val="en-GB"/>
        </w:rPr>
        <w:t xml:space="preserve">foods </w:t>
      </w:r>
      <w:r w:rsidRPr="005E0923">
        <w:rPr>
          <w:rFonts w:cs="Calibri"/>
          <w:color w:val="191823"/>
          <w:lang w:val="en-GB"/>
        </w:rPr>
        <w:t xml:space="preserve">with </w:t>
      </w:r>
      <w:r w:rsidRPr="005E0923">
        <w:rPr>
          <w:rFonts w:cs="Calibri"/>
          <w:color w:val="02030E"/>
          <w:lang w:val="en-GB"/>
        </w:rPr>
        <w:t xml:space="preserve">enriched </w:t>
      </w:r>
      <w:r w:rsidRPr="005E0923">
        <w:rPr>
          <w:rFonts w:cs="Calibri"/>
          <w:color w:val="191823"/>
          <w:lang w:val="en-GB"/>
        </w:rPr>
        <w:t>CBD d</w:t>
      </w:r>
      <w:r w:rsidR="00A94603">
        <w:rPr>
          <w:rFonts w:cs="Calibri"/>
          <w:color w:val="191823"/>
          <w:lang w:val="en-GB"/>
        </w:rPr>
        <w:t>id</w:t>
      </w:r>
      <w:r w:rsidRPr="005E0923">
        <w:rPr>
          <w:rFonts w:cs="Calibri"/>
          <w:color w:val="191823"/>
          <w:lang w:val="en-GB"/>
        </w:rPr>
        <w:t xml:space="preserve"> not </w:t>
      </w:r>
      <w:r w:rsidR="005E0923" w:rsidRPr="005E0923">
        <w:rPr>
          <w:rFonts w:cs="Calibri"/>
          <w:color w:val="02030E"/>
          <w:lang w:val="en-GB"/>
        </w:rPr>
        <w:t>fulfil</w:t>
      </w:r>
      <w:r w:rsidRPr="005E0923">
        <w:rPr>
          <w:rFonts w:cs="Calibri"/>
          <w:color w:val="02030E"/>
          <w:lang w:val="en-GB"/>
        </w:rPr>
        <w:t xml:space="preserve"> </w:t>
      </w:r>
      <w:r w:rsidRPr="005E0923">
        <w:rPr>
          <w:rFonts w:cs="Calibri"/>
          <w:color w:val="191823"/>
          <w:lang w:val="en-GB"/>
        </w:rPr>
        <w:t xml:space="preserve">any </w:t>
      </w:r>
      <w:r w:rsidRPr="005E0923">
        <w:rPr>
          <w:rFonts w:cs="Calibri"/>
          <w:color w:val="02030E"/>
          <w:lang w:val="en-GB"/>
        </w:rPr>
        <w:t>of the basic</w:t>
      </w:r>
      <w:r w:rsidRPr="005E0923">
        <w:rPr>
          <w:rFonts w:cs="Calibri"/>
          <w:color w:val="191823"/>
          <w:lang w:val="en-GB"/>
        </w:rPr>
        <w:t xml:space="preserve"> functions of a food</w:t>
      </w:r>
      <w:r w:rsidRPr="005E0923">
        <w:rPr>
          <w:rFonts w:eastAsia="Times New Roman" w:cs="Calibri"/>
          <w:lang w:val="en-GB"/>
        </w:rPr>
        <w:t>.</w:t>
      </w:r>
      <w:r w:rsidRPr="005E0923">
        <w:rPr>
          <w:rStyle w:val="Funotenzeichen"/>
          <w:lang w:val="en-GB"/>
        </w:rPr>
        <w:footnoteReference w:id="24"/>
      </w:r>
    </w:p>
    <w:p w14:paraId="3F3EDD9D" w14:textId="078EEA14" w:rsidR="001F13A1" w:rsidRPr="00E21AE8" w:rsidRDefault="003E3E15" w:rsidP="00E43D77">
      <w:pPr>
        <w:ind w:left="705" w:hanging="705"/>
        <w:jc w:val="both"/>
        <w:rPr>
          <w:rFonts w:eastAsia="Times New Roman" w:cs="Calibri"/>
          <w:i/>
          <w:lang w:val="en-GB"/>
        </w:rPr>
      </w:pPr>
      <w:r w:rsidRPr="005E0923">
        <w:rPr>
          <w:rFonts w:eastAsia="Times New Roman" w:cs="Calibri"/>
          <w:lang w:val="en-GB"/>
        </w:rPr>
        <w:t xml:space="preserve">The term "foodstuff" is defined according to Art. </w:t>
      </w:r>
      <w:proofErr w:type="gramStart"/>
      <w:r w:rsidRPr="005E0923">
        <w:rPr>
          <w:rFonts w:eastAsia="Times New Roman" w:cs="Calibri"/>
          <w:lang w:val="en-GB"/>
        </w:rPr>
        <w:t>2 of the European Foodstuffs Directive (EC) No.178/2002</w:t>
      </w:r>
      <w:r w:rsidR="003265F0">
        <w:rPr>
          <w:rStyle w:val="Funotenzeichen"/>
          <w:rFonts w:eastAsia="Times New Roman" w:cs="Calibri"/>
          <w:lang w:val="en-GB"/>
        </w:rPr>
        <w:footnoteReference w:id="25"/>
      </w:r>
      <w:r w:rsidR="00D32D69" w:rsidRPr="005E0923">
        <w:rPr>
          <w:rFonts w:eastAsia="Times New Roman" w:cs="Calibri"/>
          <w:lang w:val="en-GB"/>
        </w:rPr>
        <w:t>.</w:t>
      </w:r>
      <w:proofErr w:type="gramEnd"/>
      <w:r w:rsidR="00D32D69" w:rsidRPr="005E0923">
        <w:rPr>
          <w:rFonts w:eastAsia="Times New Roman" w:cs="Calibri"/>
          <w:lang w:val="en-GB"/>
        </w:rPr>
        <w:t xml:space="preserve"> </w:t>
      </w:r>
      <w:r w:rsidR="00767C46">
        <w:rPr>
          <w:rFonts w:eastAsia="Times New Roman" w:cs="Calibri"/>
          <w:lang w:val="en-GB"/>
        </w:rPr>
        <w:t>F</w:t>
      </w:r>
      <w:r w:rsidRPr="005E0923">
        <w:rPr>
          <w:rFonts w:eastAsia="Times New Roman" w:cs="Calibri"/>
          <w:lang w:val="en-GB"/>
        </w:rPr>
        <w:t>oodstuffs are</w:t>
      </w:r>
      <w:r w:rsidR="00425D1A">
        <w:rPr>
          <w:i/>
          <w:lang w:val="en-GB"/>
        </w:rPr>
        <w:tab/>
        <w:t>a</w:t>
      </w:r>
      <w:r w:rsidR="003265F0" w:rsidRPr="00E21AE8">
        <w:rPr>
          <w:rFonts w:eastAsia="Times New Roman" w:cs="Calibri"/>
          <w:i/>
          <w:lang w:val="en-GB"/>
        </w:rPr>
        <w:t>ny substance or product, whether processed, partially pr</w:t>
      </w:r>
      <w:r w:rsidR="003265F0" w:rsidRPr="00E21AE8">
        <w:rPr>
          <w:rFonts w:eastAsia="Times New Roman" w:cs="Calibri"/>
          <w:i/>
          <w:lang w:val="en-GB"/>
        </w:rPr>
        <w:t>o</w:t>
      </w:r>
      <w:r w:rsidR="003265F0" w:rsidRPr="00E21AE8">
        <w:rPr>
          <w:rFonts w:eastAsia="Times New Roman" w:cs="Calibri"/>
          <w:i/>
          <w:lang w:val="en-GB"/>
        </w:rPr>
        <w:t>cessed or unprocessed, intended to be, or reasonably expected to be ingested by humans</w:t>
      </w:r>
      <w:r w:rsidR="00425D1A">
        <w:rPr>
          <w:rFonts w:eastAsia="Times New Roman" w:cs="Calibri"/>
          <w:i/>
          <w:lang w:val="en-GB"/>
        </w:rPr>
        <w:t>.</w:t>
      </w:r>
    </w:p>
    <w:p w14:paraId="69C8B57C" w14:textId="77777777" w:rsidR="001F13A1" w:rsidRPr="005E0923" w:rsidRDefault="003E3E15" w:rsidP="00037B6F">
      <w:pPr>
        <w:spacing w:after="0"/>
        <w:jc w:val="both"/>
        <w:rPr>
          <w:rFonts w:eastAsia="Times New Roman" w:cs="Calibri"/>
          <w:lang w:val="en-GB"/>
        </w:rPr>
      </w:pPr>
      <w:r w:rsidRPr="005E0923">
        <w:rPr>
          <w:rFonts w:eastAsia="Times New Roman" w:cs="Calibri"/>
          <w:lang w:val="en-GB"/>
        </w:rPr>
        <w:lastRenderedPageBreak/>
        <w:t>In principle, substances or products mean any kind of consumable or usable substance. They do not require a nutritional or enjoyment value, nor do they have to serve a specific nutritional or techn</w:t>
      </w:r>
      <w:r w:rsidRPr="005E0923">
        <w:rPr>
          <w:rFonts w:eastAsia="Times New Roman" w:cs="Calibri"/>
          <w:lang w:val="en-GB"/>
        </w:rPr>
        <w:t>o</w:t>
      </w:r>
      <w:r w:rsidRPr="005E0923">
        <w:rPr>
          <w:rFonts w:eastAsia="Times New Roman" w:cs="Calibri"/>
          <w:lang w:val="en-GB"/>
        </w:rPr>
        <w:t>logical purpose.</w:t>
      </w:r>
      <w:r w:rsidRPr="005E0923">
        <w:rPr>
          <w:rStyle w:val="Funotenzeichen"/>
          <w:lang w:val="en-GB"/>
        </w:rPr>
        <w:footnoteReference w:id="26"/>
      </w:r>
    </w:p>
    <w:p w14:paraId="53E75400" w14:textId="77777777" w:rsidR="007C011B" w:rsidRPr="005E0923" w:rsidRDefault="007C011B" w:rsidP="00037B6F">
      <w:pPr>
        <w:spacing w:after="0"/>
        <w:jc w:val="both"/>
        <w:rPr>
          <w:rFonts w:eastAsia="Times New Roman" w:cs="Calibri"/>
          <w:lang w:val="en-GB"/>
        </w:rPr>
      </w:pPr>
    </w:p>
    <w:p w14:paraId="2D7EA4D4" w14:textId="4DB977BA" w:rsidR="0078419D" w:rsidRPr="005E0923" w:rsidRDefault="003E3E15" w:rsidP="0078419D">
      <w:pPr>
        <w:spacing w:after="0"/>
        <w:rPr>
          <w:rFonts w:asciiTheme="minorHAnsi" w:eastAsia="Times New Roman" w:hAnsiTheme="minorHAnsi" w:cstheme="minorHAnsi"/>
          <w:lang w:val="en-GB"/>
        </w:rPr>
      </w:pPr>
      <w:r w:rsidRPr="005E0923">
        <w:rPr>
          <w:rFonts w:eastAsia="Times New Roman" w:cs="Calibri"/>
          <w:lang w:val="en-GB"/>
        </w:rPr>
        <w:t xml:space="preserve">This definition differs in two respects from previously applicable national definitions </w:t>
      </w:r>
      <w:r w:rsidR="005A70E1" w:rsidRPr="005E0923">
        <w:rPr>
          <w:rFonts w:eastAsia="Times New Roman" w:cs="Calibri"/>
          <w:lang w:val="en-GB"/>
        </w:rPr>
        <w:t>(such as in Ge</w:t>
      </w:r>
      <w:r w:rsidR="005A70E1" w:rsidRPr="005E0923">
        <w:rPr>
          <w:rFonts w:eastAsia="Times New Roman" w:cs="Calibri"/>
          <w:lang w:val="en-GB"/>
        </w:rPr>
        <w:t>r</w:t>
      </w:r>
      <w:r w:rsidR="005A70E1" w:rsidRPr="005E0923">
        <w:rPr>
          <w:rFonts w:eastAsia="Times New Roman" w:cs="Calibri"/>
          <w:lang w:val="en-GB"/>
        </w:rPr>
        <w:t>many)</w:t>
      </w:r>
      <w:r w:rsidRPr="005E0923">
        <w:rPr>
          <w:rFonts w:eastAsia="Times New Roman" w:cs="Calibri"/>
          <w:lang w:val="en-GB"/>
        </w:rPr>
        <w:t xml:space="preserve">, which excluded substances that are predominantly intended to be consumed for purposes other than </w:t>
      </w:r>
      <w:r w:rsidR="003265F0">
        <w:rPr>
          <w:rFonts w:eastAsia="Times New Roman" w:cs="Calibri"/>
          <w:lang w:val="en-GB"/>
        </w:rPr>
        <w:t>nutrition</w:t>
      </w:r>
      <w:r w:rsidRPr="005E0923">
        <w:rPr>
          <w:rFonts w:eastAsia="Times New Roman" w:cs="Calibri"/>
          <w:lang w:val="en-GB"/>
        </w:rPr>
        <w:t xml:space="preserve"> or pleasure. Foods now include not only substances that are objectively inten</w:t>
      </w:r>
      <w:r w:rsidRPr="005E0923">
        <w:rPr>
          <w:rFonts w:eastAsia="Times New Roman" w:cs="Calibri"/>
          <w:lang w:val="en-GB"/>
        </w:rPr>
        <w:t>d</w:t>
      </w:r>
      <w:r w:rsidRPr="005E0923">
        <w:rPr>
          <w:rFonts w:eastAsia="Times New Roman" w:cs="Calibri"/>
          <w:lang w:val="en-GB"/>
        </w:rPr>
        <w:t>ed to be consumed, but also those that "may reasonably be expected to be consumed." Thus, the previous characteristics are extended to such substances that are objectively not primarily intended for consumption. In addition, when determining the characteristics of a food, it is no longer i</w:t>
      </w:r>
      <w:r w:rsidRPr="005E0923">
        <w:rPr>
          <w:rFonts w:eastAsia="Times New Roman" w:cs="Calibri"/>
          <w:lang w:val="en-GB"/>
        </w:rPr>
        <w:t>m</w:t>
      </w:r>
      <w:r w:rsidRPr="005E0923">
        <w:rPr>
          <w:rFonts w:eastAsia="Times New Roman" w:cs="Calibri"/>
          <w:lang w:val="en-GB"/>
        </w:rPr>
        <w:t>portant that they be suitable for nutrition or consumption.</w:t>
      </w:r>
      <w:r w:rsidRPr="005E0923">
        <w:rPr>
          <w:rStyle w:val="Funotenzeichen"/>
          <w:lang w:val="en-GB"/>
        </w:rPr>
        <w:footnoteReference w:id="27"/>
      </w:r>
      <w:r w:rsidR="0078419D" w:rsidRPr="005E0923">
        <w:rPr>
          <w:rFonts w:asciiTheme="minorHAnsi" w:hAnsiTheme="minorHAnsi" w:cstheme="minorHAnsi"/>
          <w:lang w:val="en-GB"/>
        </w:rPr>
        <w:t xml:space="preserve"> An example would be dietary </w:t>
      </w:r>
      <w:r w:rsidR="005E0923" w:rsidRPr="005E0923">
        <w:rPr>
          <w:rFonts w:asciiTheme="minorHAnsi" w:hAnsiTheme="minorHAnsi" w:cstheme="minorHAnsi"/>
          <w:lang w:val="en-GB"/>
        </w:rPr>
        <w:t>fibre</w:t>
      </w:r>
      <w:r w:rsidR="0078419D" w:rsidRPr="005E0923">
        <w:rPr>
          <w:rFonts w:asciiTheme="minorHAnsi" w:hAnsiTheme="minorHAnsi" w:cstheme="minorHAnsi"/>
          <w:lang w:val="en-GB"/>
        </w:rPr>
        <w:t>, which is known to have no nutritional or enjoyment value.</w:t>
      </w:r>
    </w:p>
    <w:p w14:paraId="7A535A7F" w14:textId="77777777" w:rsidR="0078419D" w:rsidRPr="005E0923" w:rsidRDefault="0078419D" w:rsidP="0078419D">
      <w:pPr>
        <w:spacing w:after="0"/>
        <w:rPr>
          <w:rFonts w:asciiTheme="minorHAnsi" w:eastAsia="Times New Roman" w:hAnsiTheme="minorHAnsi" w:cstheme="minorHAnsi"/>
          <w:lang w:val="en-GB"/>
        </w:rPr>
      </w:pPr>
    </w:p>
    <w:p w14:paraId="6E861601" w14:textId="5328BB63" w:rsidR="0078419D" w:rsidRPr="005E0923" w:rsidRDefault="0078419D" w:rsidP="0078419D">
      <w:pPr>
        <w:spacing w:after="0"/>
        <w:rPr>
          <w:rFonts w:asciiTheme="minorHAnsi" w:eastAsia="Times New Roman" w:hAnsiTheme="minorHAnsi" w:cstheme="minorHAnsi"/>
          <w:lang w:val="en-GB"/>
        </w:rPr>
      </w:pPr>
      <w:r w:rsidRPr="005E0923">
        <w:rPr>
          <w:rFonts w:asciiTheme="minorHAnsi" w:eastAsia="Times New Roman" w:hAnsiTheme="minorHAnsi" w:cstheme="minorHAnsi"/>
          <w:lang w:val="en-GB"/>
        </w:rPr>
        <w:t>Therefore, CBD in the sense of European food law is an "other substance with a nutritional or physi</w:t>
      </w:r>
      <w:r w:rsidRPr="005E0923">
        <w:rPr>
          <w:rFonts w:asciiTheme="minorHAnsi" w:eastAsia="Times New Roman" w:hAnsiTheme="minorHAnsi" w:cstheme="minorHAnsi"/>
          <w:lang w:val="en-GB"/>
        </w:rPr>
        <w:t>o</w:t>
      </w:r>
      <w:r w:rsidRPr="005E0923">
        <w:rPr>
          <w:rFonts w:asciiTheme="minorHAnsi" w:eastAsia="Times New Roman" w:hAnsiTheme="minorHAnsi" w:cstheme="minorHAnsi"/>
          <w:lang w:val="en-GB"/>
        </w:rPr>
        <w:t xml:space="preserve">logical effect" as defined in Art. 2 of the Supplement </w:t>
      </w:r>
      <w:proofErr w:type="gramStart"/>
      <w:r w:rsidRPr="005E0923">
        <w:rPr>
          <w:rFonts w:asciiTheme="minorHAnsi" w:eastAsia="Times New Roman" w:hAnsiTheme="minorHAnsi" w:cstheme="minorHAnsi"/>
          <w:lang w:val="en-GB"/>
        </w:rPr>
        <w:t>Directive</w:t>
      </w:r>
      <w:r w:rsidRPr="005E0923">
        <w:rPr>
          <w:rStyle w:val="Funotenzeichen"/>
          <w:rFonts w:asciiTheme="minorHAnsi" w:eastAsia="Times New Roman" w:hAnsiTheme="minorHAnsi" w:cstheme="minorHAnsi"/>
          <w:lang w:val="en-GB"/>
        </w:rPr>
        <w:footnoteReference w:id="28"/>
      </w:r>
      <w:r w:rsidRPr="005E0923">
        <w:rPr>
          <w:rFonts w:asciiTheme="minorHAnsi" w:eastAsia="Times New Roman" w:hAnsiTheme="minorHAnsi" w:cstheme="minorHAnsi"/>
          <w:lang w:val="en-GB"/>
        </w:rPr>
        <w:t>,</w:t>
      </w:r>
      <w:proofErr w:type="gramEnd"/>
      <w:r w:rsidRPr="005E0923">
        <w:rPr>
          <w:rFonts w:asciiTheme="minorHAnsi" w:eastAsia="Times New Roman" w:hAnsiTheme="minorHAnsi" w:cstheme="minorHAnsi"/>
          <w:lang w:val="en-GB"/>
        </w:rPr>
        <w:t xml:space="preserve"> or in the same sense an "other su</w:t>
      </w:r>
      <w:r w:rsidRPr="005E0923">
        <w:rPr>
          <w:rFonts w:asciiTheme="minorHAnsi" w:eastAsia="Times New Roman" w:hAnsiTheme="minorHAnsi" w:cstheme="minorHAnsi"/>
          <w:lang w:val="en-GB"/>
        </w:rPr>
        <w:t>b</w:t>
      </w:r>
      <w:r w:rsidRPr="005E0923">
        <w:rPr>
          <w:rFonts w:asciiTheme="minorHAnsi" w:eastAsia="Times New Roman" w:hAnsiTheme="minorHAnsi" w:cstheme="minorHAnsi"/>
          <w:lang w:val="en-GB"/>
        </w:rPr>
        <w:t>stance" as defined in Art. 2.2. of the Regulation "on the addition of vitamins and minerals and of ce</w:t>
      </w:r>
      <w:r w:rsidRPr="005E0923">
        <w:rPr>
          <w:rFonts w:asciiTheme="minorHAnsi" w:eastAsia="Times New Roman" w:hAnsiTheme="minorHAnsi" w:cstheme="minorHAnsi"/>
          <w:lang w:val="en-GB"/>
        </w:rPr>
        <w:t>r</w:t>
      </w:r>
      <w:r w:rsidRPr="005E0923">
        <w:rPr>
          <w:rFonts w:asciiTheme="minorHAnsi" w:eastAsia="Times New Roman" w:hAnsiTheme="minorHAnsi" w:cstheme="minorHAnsi"/>
          <w:lang w:val="en-GB"/>
        </w:rPr>
        <w:t>tain other substances to foods".</w:t>
      </w:r>
      <w:r w:rsidRPr="005E0923">
        <w:rPr>
          <w:rStyle w:val="Funotenzeichen"/>
          <w:rFonts w:asciiTheme="minorHAnsi" w:eastAsia="Times New Roman" w:hAnsiTheme="minorHAnsi" w:cstheme="minorHAnsi"/>
          <w:lang w:val="en-GB"/>
        </w:rPr>
        <w:footnoteReference w:id="29"/>
      </w:r>
      <w:r w:rsidRPr="005E0923">
        <w:rPr>
          <w:rFonts w:asciiTheme="minorHAnsi" w:eastAsia="Times New Roman" w:hAnsiTheme="minorHAnsi" w:cstheme="minorHAnsi"/>
          <w:lang w:val="en-GB"/>
        </w:rPr>
        <w:t xml:space="preserve"> </w:t>
      </w:r>
    </w:p>
    <w:p w14:paraId="2EA41C68" w14:textId="77777777" w:rsidR="007C011B" w:rsidRPr="005E0923" w:rsidRDefault="007C011B" w:rsidP="00037B6F">
      <w:pPr>
        <w:spacing w:after="0"/>
        <w:jc w:val="both"/>
        <w:rPr>
          <w:rFonts w:eastAsia="Times New Roman" w:cs="Calibri"/>
          <w:lang w:val="en-GB"/>
        </w:rPr>
      </w:pPr>
    </w:p>
    <w:p w14:paraId="68E284D7" w14:textId="5611768A" w:rsidR="001F13A1" w:rsidRPr="005E0923" w:rsidRDefault="003E3E15" w:rsidP="00037B6F">
      <w:pPr>
        <w:spacing w:after="0"/>
        <w:jc w:val="both"/>
        <w:rPr>
          <w:rFonts w:eastAsia="Times New Roman" w:cs="Calibri"/>
          <w:lang w:val="en-GB"/>
        </w:rPr>
      </w:pPr>
      <w:r w:rsidRPr="005E0923">
        <w:rPr>
          <w:rFonts w:eastAsia="Times New Roman" w:cs="Calibri"/>
          <w:lang w:val="en-GB"/>
        </w:rPr>
        <w:t>Hemp extracts have a similar function in foodstuffs as other plant extracts, for example hop extracts, which are used in beers and lemonades, for example for flavo</w:t>
      </w:r>
      <w:r w:rsidR="005E0923">
        <w:rPr>
          <w:rFonts w:eastAsia="Times New Roman" w:cs="Calibri"/>
          <w:lang w:val="en-GB"/>
        </w:rPr>
        <w:t>u</w:t>
      </w:r>
      <w:r w:rsidRPr="005E0923">
        <w:rPr>
          <w:rFonts w:eastAsia="Times New Roman" w:cs="Calibri"/>
          <w:lang w:val="en-GB"/>
        </w:rPr>
        <w:t>ring and preservation. Nutritional or other physiological functions (</w:t>
      </w:r>
      <w:r w:rsidR="00425D1A" w:rsidRPr="005E0923">
        <w:rPr>
          <w:rFonts w:eastAsia="Times New Roman" w:cs="Calibri"/>
          <w:lang w:val="en-GB"/>
        </w:rPr>
        <w:t>e.g.,</w:t>
      </w:r>
      <w:r w:rsidRPr="005E0923">
        <w:rPr>
          <w:rFonts w:eastAsia="Times New Roman" w:cs="Calibri"/>
          <w:lang w:val="en-GB"/>
        </w:rPr>
        <w:t xml:space="preserve"> antioxidant properties) are basically irrelevant, as mentioned above. Botanical proximity to pharmaceutical formulations also plays no role. Plants such as hops, chamomile, coffee, tea, etc. do contain pharmacologically active substances, yet </w:t>
      </w:r>
      <w:r w:rsidR="002B78CA" w:rsidRPr="005E0923">
        <w:rPr>
          <w:rFonts w:eastAsia="Times New Roman" w:cs="Calibri"/>
          <w:lang w:val="en-GB"/>
        </w:rPr>
        <w:t xml:space="preserve">they are primarily used </w:t>
      </w:r>
      <w:r w:rsidRPr="005E0923">
        <w:rPr>
          <w:rFonts w:eastAsia="Times New Roman" w:cs="Calibri"/>
          <w:lang w:val="en-GB"/>
        </w:rPr>
        <w:t>as foodstuffs. Consequently, an isolate such as CBD is to be treated similarly to bisabolol, the active ingredient in chamomile (</w:t>
      </w:r>
      <w:r w:rsidRPr="005E0923">
        <w:rPr>
          <w:rFonts w:eastAsia="Times New Roman" w:cs="Calibri"/>
          <w:i/>
          <w:lang w:val="en-GB"/>
        </w:rPr>
        <w:t>Matricaria chamomilla</w:t>
      </w:r>
      <w:r w:rsidRPr="005E0923">
        <w:rPr>
          <w:rFonts w:eastAsia="Times New Roman" w:cs="Calibri"/>
          <w:lang w:val="en-GB"/>
        </w:rPr>
        <w:t xml:space="preserve">), which is primarily used in cosmetics, </w:t>
      </w:r>
      <w:r w:rsidR="00157CC9">
        <w:rPr>
          <w:rFonts w:eastAsia="Times New Roman" w:cs="Calibri"/>
          <w:lang w:val="en-GB"/>
        </w:rPr>
        <w:t xml:space="preserve">to </w:t>
      </w:r>
      <w:r w:rsidRPr="005E0923">
        <w:rPr>
          <w:rFonts w:eastAsia="Times New Roman" w:cs="Calibri"/>
          <w:lang w:val="en-GB"/>
        </w:rPr>
        <w:t>ca</w:t>
      </w:r>
      <w:r w:rsidRPr="005E0923">
        <w:rPr>
          <w:rFonts w:eastAsia="Times New Roman" w:cs="Calibri"/>
          <w:lang w:val="en-GB"/>
        </w:rPr>
        <w:t>f</w:t>
      </w:r>
      <w:r w:rsidRPr="005E0923">
        <w:rPr>
          <w:rFonts w:eastAsia="Times New Roman" w:cs="Calibri"/>
          <w:lang w:val="en-GB"/>
        </w:rPr>
        <w:t>feine, the stimulating active ingredient in coffee (</w:t>
      </w:r>
      <w:r w:rsidRPr="005E0923">
        <w:rPr>
          <w:rFonts w:eastAsia="Times New Roman" w:cs="Calibri"/>
          <w:i/>
          <w:lang w:val="en-GB"/>
        </w:rPr>
        <w:t xml:space="preserve">Coffea </w:t>
      </w:r>
      <w:r w:rsidRPr="005E0923">
        <w:rPr>
          <w:rFonts w:eastAsia="Times New Roman" w:cs="Calibri"/>
          <w:lang w:val="en-GB"/>
        </w:rPr>
        <w:t>spp</w:t>
      </w:r>
      <w:r w:rsidR="00157CC9">
        <w:rPr>
          <w:rFonts w:eastAsia="Times New Roman" w:cs="Calibri"/>
          <w:lang w:val="en-GB"/>
        </w:rPr>
        <w:t>.</w:t>
      </w:r>
      <w:r w:rsidRPr="005E0923">
        <w:rPr>
          <w:rFonts w:eastAsia="Times New Roman" w:cs="Calibri"/>
          <w:i/>
          <w:lang w:val="en-GB"/>
        </w:rPr>
        <w:t xml:space="preserve">) </w:t>
      </w:r>
      <w:r w:rsidRPr="005E0923">
        <w:rPr>
          <w:rFonts w:eastAsia="Times New Roman" w:cs="Calibri"/>
          <w:lang w:val="en-GB"/>
        </w:rPr>
        <w:t>and</w:t>
      </w:r>
      <w:r w:rsidR="00157CC9">
        <w:rPr>
          <w:rFonts w:eastAsia="Times New Roman" w:cs="Calibri"/>
          <w:lang w:val="en-GB"/>
        </w:rPr>
        <w:t xml:space="preserve"> to</w:t>
      </w:r>
      <w:r w:rsidRPr="005E0923">
        <w:rPr>
          <w:rFonts w:eastAsia="Times New Roman" w:cs="Calibri"/>
          <w:lang w:val="en-GB"/>
        </w:rPr>
        <w:t xml:space="preserve"> tea (</w:t>
      </w:r>
      <w:r w:rsidRPr="005E0923">
        <w:rPr>
          <w:rFonts w:eastAsia="Times New Roman" w:cs="Calibri"/>
          <w:i/>
          <w:lang w:val="en-GB"/>
        </w:rPr>
        <w:t xml:space="preserve">Camellia sinensis), </w:t>
      </w:r>
      <w:r w:rsidRPr="005E0923">
        <w:rPr>
          <w:rFonts w:eastAsia="Times New Roman" w:cs="Calibri"/>
          <w:lang w:val="en-GB"/>
        </w:rPr>
        <w:t>or cu</w:t>
      </w:r>
      <w:r w:rsidRPr="005E0923">
        <w:rPr>
          <w:rFonts w:eastAsia="Times New Roman" w:cs="Calibri"/>
          <w:lang w:val="en-GB"/>
        </w:rPr>
        <w:t>r</w:t>
      </w:r>
      <w:r w:rsidRPr="005E0923">
        <w:rPr>
          <w:rFonts w:eastAsia="Times New Roman" w:cs="Calibri"/>
          <w:lang w:val="en-GB"/>
        </w:rPr>
        <w:t>cumin, the active ingredient in the rhizome of turmeric (</w:t>
      </w:r>
      <w:r w:rsidRPr="005E0923">
        <w:rPr>
          <w:rFonts w:eastAsia="Times New Roman" w:cs="Calibri"/>
          <w:i/>
          <w:iCs/>
          <w:lang w:val="en-GB"/>
        </w:rPr>
        <w:t>Curcuma longa</w:t>
      </w:r>
      <w:r w:rsidRPr="005E0923">
        <w:rPr>
          <w:rFonts w:eastAsia="Times New Roman" w:cs="Calibri"/>
          <w:lang w:val="en-GB"/>
        </w:rPr>
        <w:t>), which is primarily used in food, but also in pharmaceuticals</w:t>
      </w:r>
      <w:r w:rsidR="00157CC9">
        <w:rPr>
          <w:rFonts w:eastAsia="Times New Roman" w:cs="Calibri"/>
          <w:lang w:val="en-GB"/>
        </w:rPr>
        <w:t>-</w:t>
      </w:r>
      <w:r w:rsidRPr="005E0923">
        <w:rPr>
          <w:rFonts w:eastAsia="Times New Roman" w:cs="Calibri"/>
          <w:lang w:val="en-GB"/>
        </w:rPr>
        <w:t>.</w:t>
      </w:r>
      <w:r w:rsidR="00182376" w:rsidRPr="005E0923">
        <w:rPr>
          <w:rStyle w:val="Funotenzeichen"/>
          <w:rFonts w:eastAsia="Times New Roman" w:cs="Calibri"/>
          <w:lang w:val="en-GB"/>
        </w:rPr>
        <w:footnoteReference w:id="30"/>
      </w:r>
      <w:r w:rsidR="00157CC9">
        <w:rPr>
          <w:rFonts w:eastAsia="Times New Roman" w:cs="Calibri"/>
          <w:lang w:val="en-GB"/>
        </w:rPr>
        <w:t>.</w:t>
      </w:r>
    </w:p>
    <w:p w14:paraId="550F1BBF" w14:textId="77777777" w:rsidR="004C0DAD" w:rsidRPr="005E0923" w:rsidRDefault="004C0DAD" w:rsidP="00037B6F">
      <w:pPr>
        <w:spacing w:after="0"/>
        <w:jc w:val="both"/>
        <w:rPr>
          <w:bCs/>
          <w:color w:val="00B050"/>
          <w:lang w:val="en-GB"/>
        </w:rPr>
      </w:pPr>
    </w:p>
    <w:p w14:paraId="3FA860F4" w14:textId="5A19C18E" w:rsidR="001F13A1" w:rsidRPr="005E0923" w:rsidRDefault="003E3E15" w:rsidP="00037B6F">
      <w:pPr>
        <w:jc w:val="both"/>
        <w:rPr>
          <w:bCs/>
          <w:lang w:val="en-GB"/>
        </w:rPr>
      </w:pPr>
      <w:r w:rsidRPr="005E0923">
        <w:rPr>
          <w:bCs/>
          <w:lang w:val="en-GB"/>
        </w:rPr>
        <w:t xml:space="preserve">CBD can </w:t>
      </w:r>
      <w:r w:rsidR="00FE5D7F" w:rsidRPr="005E0923">
        <w:rPr>
          <w:bCs/>
          <w:lang w:val="en-GB"/>
        </w:rPr>
        <w:t xml:space="preserve">also </w:t>
      </w:r>
      <w:r w:rsidRPr="005E0923">
        <w:rPr>
          <w:bCs/>
          <w:lang w:val="en-GB"/>
        </w:rPr>
        <w:t>certainly be absorbed through the normal diet.</w:t>
      </w:r>
      <w:r w:rsidR="00470CDA" w:rsidRPr="005E0923">
        <w:rPr>
          <w:rFonts w:asciiTheme="minorHAnsi" w:hAnsiTheme="minorHAnsi" w:cstheme="minorHAnsi"/>
          <w:color w:val="FF0000"/>
          <w:lang w:val="en-GB"/>
        </w:rPr>
        <w:t xml:space="preserve"> </w:t>
      </w:r>
      <w:r w:rsidR="00470CDA" w:rsidRPr="005E0923">
        <w:rPr>
          <w:rFonts w:asciiTheme="minorHAnsi" w:hAnsiTheme="minorHAnsi" w:cstheme="minorHAnsi"/>
          <w:lang w:val="en-GB"/>
        </w:rPr>
        <w:t xml:space="preserve">This also applies </w:t>
      </w:r>
      <w:r w:rsidR="00470CDA" w:rsidRPr="00DE5E29">
        <w:rPr>
          <w:rFonts w:asciiTheme="minorHAnsi" w:hAnsiTheme="minorHAnsi" w:cstheme="minorHAnsi"/>
          <w:lang w:val="en-GB"/>
        </w:rPr>
        <w:t>to</w:t>
      </w:r>
      <w:r w:rsidR="008D1A87" w:rsidRPr="00DE5E29">
        <w:rPr>
          <w:rFonts w:asciiTheme="minorHAnsi" w:hAnsiTheme="minorHAnsi" w:cstheme="minorHAnsi"/>
          <w:lang w:val="en-GB"/>
        </w:rPr>
        <w:t xml:space="preserve"> hempseed oil and hemp </w:t>
      </w:r>
      <w:r w:rsidR="00470CDA" w:rsidRPr="00DE5E29">
        <w:rPr>
          <w:rFonts w:asciiTheme="minorHAnsi" w:hAnsiTheme="minorHAnsi" w:cstheme="minorHAnsi"/>
          <w:lang w:val="en-GB"/>
        </w:rPr>
        <w:t>tea.</w:t>
      </w:r>
      <w:r w:rsidRPr="00DE5E29">
        <w:rPr>
          <w:bCs/>
          <w:lang w:val="en-GB"/>
        </w:rPr>
        <w:t xml:space="preserve"> </w:t>
      </w:r>
      <w:r w:rsidR="008A6901" w:rsidRPr="00DE5E29">
        <w:rPr>
          <w:lang w:val="en-GB"/>
        </w:rPr>
        <w:t>CBD and its precursor cannabidiolic acid (CBDA) are the most important cannabinoids in</w:t>
      </w:r>
      <w:r w:rsidR="008A6901" w:rsidRPr="005E0923">
        <w:rPr>
          <w:lang w:val="en-GB"/>
        </w:rPr>
        <w:t xml:space="preserve"> commercial hemp, which was probably influenced by the targeted reduction </w:t>
      </w:r>
      <w:r w:rsidR="005E17D7">
        <w:rPr>
          <w:lang w:val="en-GB"/>
        </w:rPr>
        <w:t xml:space="preserve">by </w:t>
      </w:r>
      <w:r w:rsidR="005E17D7" w:rsidRPr="005E0923">
        <w:rPr>
          <w:lang w:val="en-GB"/>
        </w:rPr>
        <w:t xml:space="preserve">breeding </w:t>
      </w:r>
      <w:r w:rsidR="008A6901" w:rsidRPr="005E0923">
        <w:rPr>
          <w:lang w:val="en-GB"/>
        </w:rPr>
        <w:t>of the ps</w:t>
      </w:r>
      <w:r w:rsidR="008A6901" w:rsidRPr="005E0923">
        <w:rPr>
          <w:lang w:val="en-GB"/>
        </w:rPr>
        <w:t>y</w:t>
      </w:r>
      <w:r w:rsidR="008A6901" w:rsidRPr="005E0923">
        <w:rPr>
          <w:lang w:val="en-GB"/>
        </w:rPr>
        <w:t>choactive Δ9-tetra-hydrocannabinol (THC) and its acid precursor THCA</w:t>
      </w:r>
      <w:r w:rsidR="00440910" w:rsidRPr="005E0923">
        <w:rPr>
          <w:rStyle w:val="Funotenzeichen"/>
          <w:lang w:val="en-GB"/>
        </w:rPr>
        <w:footnoteReference w:id="31"/>
      </w:r>
      <w:r w:rsidR="008A6901" w:rsidRPr="005E0923">
        <w:rPr>
          <w:lang w:val="en-GB"/>
        </w:rPr>
        <w:t xml:space="preserve">. It is known that CBD has </w:t>
      </w:r>
      <w:r w:rsidR="008A6901" w:rsidRPr="005E0923">
        <w:rPr>
          <w:lang w:val="en-GB"/>
        </w:rPr>
        <w:lastRenderedPageBreak/>
        <w:t>similar physicochemical properties to THC and that THC is already present in foods such as hemp seeds, hemp seed oil, and hemp leaf tea, although often in the ppm range</w:t>
      </w:r>
      <w:r w:rsidR="00440910" w:rsidRPr="005E0923">
        <w:rPr>
          <w:rStyle w:val="Funotenzeichen"/>
          <w:lang w:val="en-GB"/>
        </w:rPr>
        <w:footnoteReference w:id="32"/>
      </w:r>
      <w:r w:rsidR="008A6901" w:rsidRPr="005E0923">
        <w:rPr>
          <w:lang w:val="en-GB"/>
        </w:rPr>
        <w:t xml:space="preserve"> </w:t>
      </w:r>
      <w:r w:rsidR="005E17D7" w:rsidRPr="005E0923">
        <w:rPr>
          <w:lang w:val="en-GB"/>
        </w:rPr>
        <w:t>only</w:t>
      </w:r>
      <w:r w:rsidR="008A6901" w:rsidRPr="005E0923">
        <w:rPr>
          <w:lang w:val="en-GB"/>
        </w:rPr>
        <w:t xml:space="preserve">. Due to the higher concentration of CBD/CBDA compared to THC/THCA in industrial hemp (about 25-fold according to experiments by </w:t>
      </w:r>
      <w:proofErr w:type="spellStart"/>
      <w:r w:rsidR="008A6901" w:rsidRPr="005E0923">
        <w:rPr>
          <w:lang w:val="en-GB"/>
        </w:rPr>
        <w:t>Knezevic</w:t>
      </w:r>
      <w:proofErr w:type="spellEnd"/>
      <w:r w:rsidR="008A6901" w:rsidRPr="005E0923">
        <w:rPr>
          <w:lang w:val="en-GB"/>
        </w:rPr>
        <w:t xml:space="preserve"> </w:t>
      </w:r>
      <w:r w:rsidR="008A6901" w:rsidRPr="005E0923">
        <w:rPr>
          <w:i/>
          <w:iCs/>
          <w:lang w:val="en-GB"/>
        </w:rPr>
        <w:t>et al. (</w:t>
      </w:r>
      <w:r w:rsidR="008A6901" w:rsidRPr="005E0923">
        <w:rPr>
          <w:lang w:val="en-GB"/>
        </w:rPr>
        <w:t>2021)</w:t>
      </w:r>
      <w:r w:rsidR="00440910" w:rsidRPr="005E0923">
        <w:rPr>
          <w:rStyle w:val="Funotenzeichen"/>
          <w:lang w:val="en-GB"/>
        </w:rPr>
        <w:footnoteReference w:id="33"/>
      </w:r>
      <w:r w:rsidR="008A6901" w:rsidRPr="005E0923">
        <w:rPr>
          <w:lang w:val="en-GB"/>
        </w:rPr>
        <w:t xml:space="preserve"> ), it must be assumed that natural CBD exposure via food is </w:t>
      </w:r>
      <w:r w:rsidR="005E0923">
        <w:rPr>
          <w:lang w:val="en-GB"/>
        </w:rPr>
        <w:t>substantially</w:t>
      </w:r>
      <w:r w:rsidR="008A6901" w:rsidRPr="005E0923">
        <w:rPr>
          <w:lang w:val="en-GB"/>
        </w:rPr>
        <w:t xml:space="preserve"> higher than that of THC. </w:t>
      </w:r>
    </w:p>
    <w:p w14:paraId="399C4011" w14:textId="2EA34AD2" w:rsidR="001F13A1" w:rsidRPr="005E0923" w:rsidRDefault="003E3E15" w:rsidP="00037B6F">
      <w:pPr>
        <w:jc w:val="both"/>
        <w:rPr>
          <w:bCs/>
          <w:lang w:val="en-GB"/>
        </w:rPr>
      </w:pPr>
      <w:r w:rsidRPr="005E0923">
        <w:rPr>
          <w:bCs/>
          <w:lang w:val="en-GB"/>
        </w:rPr>
        <w:t xml:space="preserve">The </w:t>
      </w:r>
      <w:r w:rsidR="00194EE8" w:rsidRPr="005E0923">
        <w:rPr>
          <w:bCs/>
          <w:lang w:val="en-GB"/>
        </w:rPr>
        <w:t xml:space="preserve">classification of </w:t>
      </w:r>
      <w:r w:rsidRPr="005E0923">
        <w:rPr>
          <w:bCs/>
          <w:lang w:val="en-GB"/>
        </w:rPr>
        <w:t xml:space="preserve">a product as a drug </w:t>
      </w:r>
      <w:r w:rsidR="00194EE8" w:rsidRPr="005E0923">
        <w:rPr>
          <w:bCs/>
          <w:lang w:val="en-GB"/>
        </w:rPr>
        <w:t xml:space="preserve">must </w:t>
      </w:r>
      <w:r w:rsidR="00645C76" w:rsidRPr="005E0923">
        <w:rPr>
          <w:bCs/>
          <w:lang w:val="en-GB"/>
        </w:rPr>
        <w:t xml:space="preserve">therefore </w:t>
      </w:r>
      <w:r w:rsidR="00194EE8" w:rsidRPr="005E0923">
        <w:rPr>
          <w:bCs/>
          <w:lang w:val="en-GB"/>
        </w:rPr>
        <w:t xml:space="preserve">be </w:t>
      </w:r>
      <w:r w:rsidRPr="005E0923">
        <w:rPr>
          <w:bCs/>
          <w:lang w:val="en-GB"/>
        </w:rPr>
        <w:t xml:space="preserve">made separately in </w:t>
      </w:r>
      <w:r w:rsidR="00194EE8" w:rsidRPr="005E0923">
        <w:rPr>
          <w:bCs/>
          <w:lang w:val="en-GB"/>
        </w:rPr>
        <w:t>each individual case.</w:t>
      </w:r>
      <w:r w:rsidRPr="005E0923">
        <w:rPr>
          <w:bCs/>
          <w:lang w:val="en-GB"/>
        </w:rPr>
        <w:t xml:space="preserve"> The therapeutic efficacy must be scientifically established. The </w:t>
      </w:r>
      <w:r w:rsidR="00194EE8" w:rsidRPr="005E0923">
        <w:rPr>
          <w:bCs/>
          <w:lang w:val="en-GB"/>
        </w:rPr>
        <w:t xml:space="preserve">dosage of the active ingredients </w:t>
      </w:r>
      <w:r w:rsidR="00FD1ABF">
        <w:rPr>
          <w:bCs/>
          <w:lang w:val="en-GB"/>
        </w:rPr>
        <w:t>of</w:t>
      </w:r>
      <w:r w:rsidR="00194EE8" w:rsidRPr="005E0923">
        <w:rPr>
          <w:bCs/>
          <w:lang w:val="en-GB"/>
        </w:rPr>
        <w:t xml:space="preserve"> a product is the most important criterion for distinguishing medicinal products from </w:t>
      </w:r>
      <w:r w:rsidRPr="005E0923">
        <w:rPr>
          <w:bCs/>
          <w:lang w:val="en-GB"/>
        </w:rPr>
        <w:t>foodstuffs</w:t>
      </w:r>
      <w:r w:rsidRPr="005E0923">
        <w:rPr>
          <w:rStyle w:val="Funotenzeichen"/>
          <w:bCs/>
          <w:lang w:val="en-GB"/>
        </w:rPr>
        <w:footnoteReference w:id="34"/>
      </w:r>
      <w:r w:rsidR="00FD1ABF">
        <w:rPr>
          <w:bCs/>
          <w:lang w:val="en-GB"/>
        </w:rPr>
        <w:t>.</w:t>
      </w:r>
    </w:p>
    <w:p w14:paraId="3A529455" w14:textId="0C95C649" w:rsidR="001F13A1" w:rsidRPr="005E0923" w:rsidRDefault="003E3E15" w:rsidP="00037B6F">
      <w:pPr>
        <w:jc w:val="both"/>
        <w:rPr>
          <w:bCs/>
          <w:lang w:val="en-GB"/>
        </w:rPr>
      </w:pPr>
      <w:proofErr w:type="gramStart"/>
      <w:r w:rsidRPr="005E0923">
        <w:rPr>
          <w:bCs/>
          <w:lang w:val="en-GB"/>
        </w:rPr>
        <w:t xml:space="preserve">The case </w:t>
      </w:r>
      <w:r w:rsidR="00BF03FE" w:rsidRPr="005E0923">
        <w:rPr>
          <w:bCs/>
          <w:lang w:val="en-GB"/>
        </w:rPr>
        <w:t xml:space="preserve">of doubt </w:t>
      </w:r>
      <w:r w:rsidRPr="005E0923">
        <w:rPr>
          <w:bCs/>
          <w:lang w:val="en-GB"/>
        </w:rPr>
        <w:t>provision of the</w:t>
      </w:r>
      <w:r w:rsidR="00FD1ABF">
        <w:rPr>
          <w:bCs/>
          <w:lang w:val="en-GB"/>
        </w:rPr>
        <w:t xml:space="preserve"> Art.</w:t>
      </w:r>
      <w:proofErr w:type="gramEnd"/>
      <w:r w:rsidR="00FD1ABF">
        <w:rPr>
          <w:bCs/>
          <w:lang w:val="en-GB"/>
        </w:rPr>
        <w:t xml:space="preserve"> </w:t>
      </w:r>
      <w:proofErr w:type="gramStart"/>
      <w:r w:rsidR="00FD1ABF">
        <w:rPr>
          <w:bCs/>
          <w:lang w:val="en-GB"/>
        </w:rPr>
        <w:t>2, 2.</w:t>
      </w:r>
      <w:proofErr w:type="gramEnd"/>
      <w:r w:rsidR="00FD1ABF">
        <w:rPr>
          <w:bCs/>
          <w:lang w:val="en-GB"/>
        </w:rPr>
        <w:t xml:space="preserve"> </w:t>
      </w:r>
      <w:proofErr w:type="gramStart"/>
      <w:r w:rsidR="00FD1ABF">
        <w:rPr>
          <w:bCs/>
          <w:lang w:val="en-GB"/>
        </w:rPr>
        <w:t>of</w:t>
      </w:r>
      <w:proofErr w:type="gramEnd"/>
      <w:r w:rsidR="00FD1ABF">
        <w:rPr>
          <w:bCs/>
          <w:lang w:val="en-GB"/>
        </w:rPr>
        <w:t xml:space="preserve"> the</w:t>
      </w:r>
      <w:r w:rsidRPr="005E0923">
        <w:rPr>
          <w:bCs/>
          <w:lang w:val="en-GB"/>
        </w:rPr>
        <w:t xml:space="preserve"> European Medicines Directive</w:t>
      </w:r>
      <w:r w:rsidR="00FD1ABF">
        <w:rPr>
          <w:bCs/>
          <w:lang w:val="en-GB"/>
        </w:rPr>
        <w:t xml:space="preserve"> 2001/83/EC</w:t>
      </w:r>
      <w:r w:rsidRPr="005E0923">
        <w:rPr>
          <w:bCs/>
          <w:lang w:val="en-GB"/>
        </w:rPr>
        <w:t xml:space="preserve">, is also irrelevant in the present case. </w:t>
      </w:r>
      <w:r w:rsidR="00671B92" w:rsidRPr="005E0923">
        <w:rPr>
          <w:bCs/>
          <w:lang w:val="en-GB"/>
        </w:rPr>
        <w:t xml:space="preserve">This is because, according to the </w:t>
      </w:r>
      <w:r w:rsidR="00FD1ABF" w:rsidRPr="005E0923">
        <w:rPr>
          <w:bCs/>
          <w:lang w:val="en-GB"/>
        </w:rPr>
        <w:t xml:space="preserve">ECJ </w:t>
      </w:r>
      <w:r w:rsidR="00671B92" w:rsidRPr="005E0923">
        <w:rPr>
          <w:bCs/>
          <w:lang w:val="en-GB"/>
        </w:rPr>
        <w:t xml:space="preserve">case law, this rule on cases of doubt only applies if the product in question </w:t>
      </w:r>
      <w:r w:rsidR="005E0923" w:rsidRPr="005E0923">
        <w:rPr>
          <w:bCs/>
          <w:lang w:val="en-GB"/>
        </w:rPr>
        <w:t>fulfils</w:t>
      </w:r>
      <w:r w:rsidR="00671B92" w:rsidRPr="005E0923">
        <w:rPr>
          <w:bCs/>
          <w:lang w:val="en-GB"/>
        </w:rPr>
        <w:t xml:space="preserve"> the requirements of a medicinal product</w:t>
      </w:r>
      <w:r w:rsidR="007C011B" w:rsidRPr="005E0923">
        <w:rPr>
          <w:bCs/>
          <w:lang w:val="en-GB"/>
        </w:rPr>
        <w:t>, which</w:t>
      </w:r>
      <w:r w:rsidR="00FD1ABF" w:rsidRPr="00FD1ABF">
        <w:rPr>
          <w:bCs/>
          <w:lang w:val="en-GB"/>
        </w:rPr>
        <w:t xml:space="preserve"> </w:t>
      </w:r>
      <w:r w:rsidR="00FD1ABF">
        <w:rPr>
          <w:bCs/>
          <w:lang w:val="en-GB"/>
        </w:rPr>
        <w:t>it obviously does</w:t>
      </w:r>
      <w:r w:rsidR="00FD1ABF" w:rsidRPr="005E0923">
        <w:rPr>
          <w:bCs/>
          <w:lang w:val="en-GB"/>
        </w:rPr>
        <w:t>n</w:t>
      </w:r>
      <w:r w:rsidR="00FD1ABF">
        <w:rPr>
          <w:bCs/>
          <w:lang w:val="en-GB"/>
        </w:rPr>
        <w:t>’</w:t>
      </w:r>
      <w:r w:rsidR="00FD1ABF" w:rsidRPr="005E0923">
        <w:rPr>
          <w:bCs/>
          <w:lang w:val="en-GB"/>
        </w:rPr>
        <w:t>t</w:t>
      </w:r>
      <w:r w:rsidR="007C011B" w:rsidRPr="005E0923">
        <w:rPr>
          <w:bCs/>
          <w:lang w:val="en-GB"/>
        </w:rPr>
        <w:t xml:space="preserve">. The </w:t>
      </w:r>
      <w:r w:rsidR="00671B92" w:rsidRPr="005E0923">
        <w:rPr>
          <w:bCs/>
          <w:lang w:val="en-GB"/>
        </w:rPr>
        <w:t xml:space="preserve">question of whether a pharmacological effect is present must not be left open by applying the rule on </w:t>
      </w:r>
      <w:r w:rsidR="000246DA" w:rsidRPr="005E0923">
        <w:rPr>
          <w:bCs/>
          <w:lang w:val="en-GB"/>
        </w:rPr>
        <w:t>cases</w:t>
      </w:r>
      <w:r w:rsidR="00671B92" w:rsidRPr="005E0923">
        <w:rPr>
          <w:bCs/>
          <w:lang w:val="en-GB"/>
        </w:rPr>
        <w:t xml:space="preserve"> of doubt.</w:t>
      </w:r>
      <w:r w:rsidR="00671B92" w:rsidRPr="005E0923">
        <w:rPr>
          <w:rStyle w:val="Funotenzeichen"/>
          <w:bCs/>
          <w:lang w:val="en-GB"/>
        </w:rPr>
        <w:footnoteReference w:id="35"/>
      </w:r>
      <w:r w:rsidR="00AF464D">
        <w:rPr>
          <w:bCs/>
          <w:lang w:val="en-GB"/>
        </w:rPr>
        <w:t xml:space="preserve"> </w:t>
      </w:r>
      <w:r w:rsidR="00B71D44">
        <w:rPr>
          <w:rStyle w:val="Funotenzeichen"/>
          <w:bCs/>
          <w:lang w:val="en-GB"/>
        </w:rPr>
        <w:footnoteReference w:id="36"/>
      </w:r>
    </w:p>
    <w:p w14:paraId="0D1157A6" w14:textId="77777777" w:rsidR="001F13A1" w:rsidRPr="005E0923" w:rsidRDefault="003E3E15" w:rsidP="00037B6F">
      <w:pPr>
        <w:pStyle w:val="Listenabsatz"/>
        <w:numPr>
          <w:ilvl w:val="0"/>
          <w:numId w:val="4"/>
        </w:numPr>
        <w:jc w:val="both"/>
        <w:rPr>
          <w:bCs/>
          <w:lang w:val="en-GB"/>
        </w:rPr>
      </w:pPr>
      <w:r w:rsidRPr="005E0923">
        <w:rPr>
          <w:bCs/>
          <w:lang w:val="en-GB"/>
        </w:rPr>
        <w:t>Distribution of the burden of proof</w:t>
      </w:r>
    </w:p>
    <w:p w14:paraId="6D5C3BD1" w14:textId="77777777" w:rsidR="001F13A1" w:rsidRPr="005E0923" w:rsidRDefault="003E3E15" w:rsidP="00037B6F">
      <w:pPr>
        <w:jc w:val="both"/>
        <w:rPr>
          <w:bCs/>
          <w:lang w:val="en-GB"/>
        </w:rPr>
      </w:pPr>
      <w:r w:rsidRPr="005E0923">
        <w:rPr>
          <w:bCs/>
          <w:lang w:val="en-GB"/>
        </w:rPr>
        <w:t xml:space="preserve">According to the ECJ and the previously cited Borderline Directive, the decision as to whether a product is a medicinal product or not must be made in each individual case. All characteristics of the product must be taken into account, in particular its pharmacological properties. These properties must </w:t>
      </w:r>
      <w:r w:rsidR="008508A5" w:rsidRPr="005E0923">
        <w:rPr>
          <w:bCs/>
          <w:lang w:val="en-GB"/>
        </w:rPr>
        <w:t>demonstrably and appreciably correct or influence physiological functions by a pharmacological action.</w:t>
      </w:r>
      <w:r w:rsidR="008508A5" w:rsidRPr="005E0923">
        <w:rPr>
          <w:rStyle w:val="Funotenzeichen"/>
          <w:bCs/>
          <w:lang w:val="en-GB"/>
        </w:rPr>
        <w:footnoteReference w:id="37"/>
      </w:r>
      <w:r w:rsidR="008508A5" w:rsidRPr="005E0923">
        <w:rPr>
          <w:bCs/>
          <w:lang w:val="en-GB"/>
        </w:rPr>
        <w:t xml:space="preserve"> If there is only a mere suspicion that a product has a pharmacological effect, it cannot be classified as a medicinal product. </w:t>
      </w:r>
      <w:r w:rsidR="008508A5" w:rsidRPr="005E0923">
        <w:rPr>
          <w:rStyle w:val="Funotenzeichen"/>
          <w:bCs/>
          <w:lang w:val="en-GB"/>
        </w:rPr>
        <w:footnoteReference w:id="38"/>
      </w:r>
    </w:p>
    <w:p w14:paraId="066FA9D4" w14:textId="77777777" w:rsidR="001F13A1" w:rsidRPr="005E0923" w:rsidRDefault="003E3E15" w:rsidP="00037B6F">
      <w:pPr>
        <w:jc w:val="both"/>
        <w:rPr>
          <w:bCs/>
          <w:lang w:val="en-GB"/>
        </w:rPr>
      </w:pPr>
      <w:r w:rsidRPr="005E0923">
        <w:rPr>
          <w:bCs/>
          <w:lang w:val="en-GB"/>
        </w:rPr>
        <w:t xml:space="preserve">The Cologne Administrative Court makes a different assessment of the burden of proof. According to this, it is up to the entrepreneur to fully and comprehensibly demonstrate the properties of the product he has placed on the market. Only in exceptional cases will it be possible for the authorities to positively determine the qualification of a product as a functional drug without the cooperation of the entrepreneur. The entrepreneur is in control of his product in all its properties, especially in its </w:t>
      </w:r>
      <w:r w:rsidRPr="005E0923">
        <w:rPr>
          <w:bCs/>
          <w:lang w:val="en-GB"/>
        </w:rPr>
        <w:lastRenderedPageBreak/>
        <w:t>composition and mode of action, so that it is up to him to eliminate any remaining ambiguities by submitting appropriate data material.</w:t>
      </w:r>
      <w:r w:rsidRPr="005E0923">
        <w:rPr>
          <w:rStyle w:val="Funotenzeichen"/>
          <w:bCs/>
          <w:lang w:val="en-GB"/>
        </w:rPr>
        <w:footnoteReference w:id="39"/>
      </w:r>
    </w:p>
    <w:p w14:paraId="04D2E8E2" w14:textId="140FD135" w:rsidR="001F13A1" w:rsidRPr="005E0923" w:rsidRDefault="00D22BF4" w:rsidP="00037B6F">
      <w:pPr>
        <w:jc w:val="both"/>
        <w:rPr>
          <w:bCs/>
          <w:lang w:val="en-GB"/>
        </w:rPr>
      </w:pPr>
      <w:r>
        <w:rPr>
          <w:bCs/>
          <w:lang w:val="en-GB"/>
        </w:rPr>
        <w:t>In case of the CBD oils in question, t</w:t>
      </w:r>
      <w:r w:rsidR="003E3E15" w:rsidRPr="005E0923">
        <w:rPr>
          <w:bCs/>
          <w:lang w:val="en-GB"/>
        </w:rPr>
        <w:t xml:space="preserve">he Administrative Court, together with the BfArM, </w:t>
      </w:r>
      <w:r w:rsidR="00E66848" w:rsidRPr="00E66848">
        <w:rPr>
          <w:bCs/>
          <w:lang w:val="en-GB"/>
        </w:rPr>
        <w:t>merely pr</w:t>
      </w:r>
      <w:r w:rsidR="00E66848" w:rsidRPr="00E66848">
        <w:rPr>
          <w:bCs/>
          <w:lang w:val="en-GB"/>
        </w:rPr>
        <w:t>e</w:t>
      </w:r>
      <w:r w:rsidR="00E66848" w:rsidRPr="00E66848">
        <w:rPr>
          <w:bCs/>
          <w:lang w:val="en-GB"/>
        </w:rPr>
        <w:t>sumes that a medicinal product is at hand</w:t>
      </w:r>
      <w:r w:rsidR="00E66848">
        <w:rPr>
          <w:bCs/>
          <w:lang w:val="en-GB"/>
        </w:rPr>
        <w:t xml:space="preserve"> here</w:t>
      </w:r>
      <w:r w:rsidR="00E66848" w:rsidRPr="00E66848">
        <w:rPr>
          <w:bCs/>
          <w:lang w:val="en-GB"/>
        </w:rPr>
        <w:t>.</w:t>
      </w:r>
    </w:p>
    <w:p w14:paraId="2A3CE8CA" w14:textId="13303BB3" w:rsidR="001F13A1" w:rsidRPr="005E0923" w:rsidRDefault="00D16F13" w:rsidP="00037B6F">
      <w:pPr>
        <w:jc w:val="both"/>
        <w:rPr>
          <w:bCs/>
          <w:lang w:val="en-GB"/>
        </w:rPr>
      </w:pPr>
      <w:r>
        <w:rPr>
          <w:bCs/>
          <w:lang w:val="en-GB"/>
        </w:rPr>
        <w:t>A</w:t>
      </w:r>
      <w:r w:rsidRPr="005E0923">
        <w:rPr>
          <w:bCs/>
          <w:lang w:val="en-GB"/>
        </w:rPr>
        <w:t>ccording to the principles of the ECJ case law and the German Federal Administrative Court,</w:t>
      </w:r>
      <w:r>
        <w:rPr>
          <w:bCs/>
          <w:lang w:val="en-GB"/>
        </w:rPr>
        <w:t xml:space="preserve"> t</w:t>
      </w:r>
      <w:r w:rsidR="003E3E15" w:rsidRPr="005E0923">
        <w:rPr>
          <w:bCs/>
          <w:lang w:val="en-GB"/>
        </w:rPr>
        <w:t xml:space="preserve">he reference to approved comparative preparations and the express statement that the preparation is dosed below the threshold of therapeutic success should not be sufficient, to assume a functional medicinal product </w:t>
      </w:r>
      <w:r w:rsidR="00C54C96" w:rsidRPr="005E0923">
        <w:rPr>
          <w:bCs/>
          <w:lang w:val="en-GB"/>
        </w:rPr>
        <w:t xml:space="preserve">with appreciable pharmacological </w:t>
      </w:r>
      <w:r w:rsidR="00425D1A" w:rsidRPr="005E0923">
        <w:rPr>
          <w:bCs/>
          <w:lang w:val="en-GB"/>
        </w:rPr>
        <w:t>effects</w:t>
      </w:r>
      <w:r w:rsidR="00425D1A">
        <w:rPr>
          <w:bCs/>
          <w:lang w:val="en-GB"/>
        </w:rPr>
        <w:t>. Such</w:t>
      </w:r>
      <w:r>
        <w:rPr>
          <w:bCs/>
          <w:lang w:val="en-GB"/>
        </w:rPr>
        <w:t xml:space="preserve"> an assumption would have</w:t>
      </w:r>
      <w:r w:rsidR="003E3E15" w:rsidRPr="005E0923">
        <w:rPr>
          <w:bCs/>
          <w:lang w:val="en-GB"/>
        </w:rPr>
        <w:t xml:space="preserve"> far-reaching consequences for the marketability of the corresponding product category in Germany with regard to the </w:t>
      </w:r>
      <w:r w:rsidR="00B60649" w:rsidRPr="005E0923">
        <w:rPr>
          <w:bCs/>
          <w:lang w:val="en-GB"/>
        </w:rPr>
        <w:t xml:space="preserve">entire </w:t>
      </w:r>
      <w:r w:rsidR="003E3E15" w:rsidRPr="005E0923">
        <w:rPr>
          <w:bCs/>
          <w:lang w:val="en-GB"/>
        </w:rPr>
        <w:t xml:space="preserve">free movement of goods in the </w:t>
      </w:r>
      <w:r w:rsidR="00B60649" w:rsidRPr="005E0923">
        <w:rPr>
          <w:bCs/>
          <w:lang w:val="en-GB"/>
        </w:rPr>
        <w:t>EU.</w:t>
      </w:r>
      <w:r w:rsidR="00684D02" w:rsidRPr="005E0923">
        <w:rPr>
          <w:bCs/>
          <w:lang w:val="en-GB"/>
        </w:rPr>
        <w:t xml:space="preserve"> No appreciable influence on physiological functions has been scientifically </w:t>
      </w:r>
      <w:r>
        <w:rPr>
          <w:bCs/>
          <w:lang w:val="en-GB"/>
        </w:rPr>
        <w:t xml:space="preserve">and </w:t>
      </w:r>
      <w:r w:rsidR="00684D02" w:rsidRPr="005E0923">
        <w:rPr>
          <w:bCs/>
          <w:lang w:val="en-GB"/>
        </w:rPr>
        <w:t xml:space="preserve">plausibly demonstrated, nor has </w:t>
      </w:r>
      <w:r w:rsidRPr="005E0923">
        <w:rPr>
          <w:bCs/>
          <w:lang w:val="en-GB"/>
        </w:rPr>
        <w:t xml:space="preserve">been taken into account </w:t>
      </w:r>
      <w:r w:rsidR="00684D02" w:rsidRPr="005E0923">
        <w:rPr>
          <w:bCs/>
          <w:lang w:val="en-GB"/>
        </w:rPr>
        <w:t xml:space="preserve">the principle of proportionality, </w:t>
      </w:r>
      <w:r w:rsidR="000C0A77">
        <w:rPr>
          <w:bCs/>
          <w:lang w:val="en-GB"/>
        </w:rPr>
        <w:t>or</w:t>
      </w:r>
      <w:r w:rsidR="00684D02" w:rsidRPr="005E0923">
        <w:rPr>
          <w:bCs/>
          <w:lang w:val="en-GB"/>
        </w:rPr>
        <w:t xml:space="preserve"> the </w:t>
      </w:r>
      <w:r w:rsidR="000C0A77">
        <w:rPr>
          <w:bCs/>
          <w:lang w:val="en-GB"/>
        </w:rPr>
        <w:t>risks</w:t>
      </w:r>
      <w:r w:rsidR="00684D02" w:rsidRPr="005E0923">
        <w:rPr>
          <w:bCs/>
          <w:lang w:val="en-GB"/>
        </w:rPr>
        <w:t xml:space="preserve"> to public </w:t>
      </w:r>
      <w:r w:rsidR="00425D1A" w:rsidRPr="005E0923">
        <w:rPr>
          <w:bCs/>
          <w:lang w:val="en-GB"/>
        </w:rPr>
        <w:t>health been</w:t>
      </w:r>
      <w:r w:rsidR="00684D02" w:rsidRPr="005E0923">
        <w:rPr>
          <w:bCs/>
          <w:lang w:val="en-GB"/>
        </w:rPr>
        <w:t xml:space="preserve"> dealt with in detail.</w:t>
      </w:r>
    </w:p>
    <w:p w14:paraId="7DBB5A2E" w14:textId="26742F36" w:rsidR="001F13A1" w:rsidRPr="005E0923" w:rsidRDefault="003E3E15" w:rsidP="00037B6F">
      <w:pPr>
        <w:jc w:val="both"/>
        <w:rPr>
          <w:bCs/>
          <w:lang w:val="en-GB"/>
        </w:rPr>
      </w:pPr>
      <w:r w:rsidRPr="005E0923">
        <w:rPr>
          <w:bCs/>
          <w:lang w:val="en-GB"/>
        </w:rPr>
        <w:t xml:space="preserve">Admittedly, it may be </w:t>
      </w:r>
      <w:r w:rsidR="0055229A" w:rsidRPr="005E0923">
        <w:rPr>
          <w:bCs/>
          <w:lang w:val="en-GB"/>
        </w:rPr>
        <w:t>a</w:t>
      </w:r>
      <w:r w:rsidR="00743685" w:rsidRPr="005E0923">
        <w:rPr>
          <w:bCs/>
          <w:lang w:val="en-GB"/>
        </w:rPr>
        <w:t xml:space="preserve"> considerable challenge for </w:t>
      </w:r>
      <w:r w:rsidRPr="005E0923">
        <w:rPr>
          <w:bCs/>
          <w:lang w:val="en-GB"/>
        </w:rPr>
        <w:t xml:space="preserve">the authority to </w:t>
      </w:r>
      <w:r w:rsidR="00743685" w:rsidRPr="005E0923">
        <w:rPr>
          <w:bCs/>
          <w:lang w:val="en-GB"/>
        </w:rPr>
        <w:t xml:space="preserve">scientifically </w:t>
      </w:r>
      <w:r w:rsidR="00275832">
        <w:rPr>
          <w:bCs/>
          <w:lang w:val="en-GB"/>
        </w:rPr>
        <w:t xml:space="preserve">and </w:t>
      </w:r>
      <w:r w:rsidR="00743685" w:rsidRPr="005E0923">
        <w:rPr>
          <w:bCs/>
          <w:lang w:val="en-GB"/>
        </w:rPr>
        <w:t>plausibly dete</w:t>
      </w:r>
      <w:r w:rsidR="00743685" w:rsidRPr="005E0923">
        <w:rPr>
          <w:bCs/>
          <w:lang w:val="en-GB"/>
        </w:rPr>
        <w:t>r</w:t>
      </w:r>
      <w:r w:rsidR="00743685" w:rsidRPr="005E0923">
        <w:rPr>
          <w:bCs/>
          <w:lang w:val="en-GB"/>
        </w:rPr>
        <w:t xml:space="preserve">mine the appreciable pharmacological effect in each individual case. And it may be </w:t>
      </w:r>
      <w:r w:rsidRPr="005E0923">
        <w:rPr>
          <w:bCs/>
          <w:lang w:val="en-GB"/>
        </w:rPr>
        <w:t xml:space="preserve">easier to merely refer to the existence of </w:t>
      </w:r>
      <w:r w:rsidR="00573394" w:rsidRPr="005E0923">
        <w:rPr>
          <w:bCs/>
          <w:lang w:val="en-GB"/>
        </w:rPr>
        <w:t xml:space="preserve">pharmacological </w:t>
      </w:r>
      <w:r w:rsidRPr="005E0923">
        <w:rPr>
          <w:bCs/>
          <w:lang w:val="en-GB"/>
        </w:rPr>
        <w:t xml:space="preserve">effects in the case of an existing reference preparation, without scientifically clearly determining the specific </w:t>
      </w:r>
      <w:r w:rsidR="00573394" w:rsidRPr="005E0923">
        <w:rPr>
          <w:bCs/>
          <w:lang w:val="en-GB"/>
        </w:rPr>
        <w:t xml:space="preserve">dosage for </w:t>
      </w:r>
      <w:r w:rsidRPr="005E0923">
        <w:rPr>
          <w:bCs/>
          <w:lang w:val="en-GB"/>
        </w:rPr>
        <w:t xml:space="preserve">therapeutic success </w:t>
      </w:r>
      <w:r w:rsidR="008949A0" w:rsidRPr="005E0923">
        <w:rPr>
          <w:bCs/>
          <w:lang w:val="en-GB"/>
        </w:rPr>
        <w:t xml:space="preserve">and thus for the </w:t>
      </w:r>
      <w:r w:rsidR="00BF03FE" w:rsidRPr="005E0923">
        <w:rPr>
          <w:bCs/>
          <w:lang w:val="en-GB"/>
        </w:rPr>
        <w:t>qualification as a medicine</w:t>
      </w:r>
      <w:r w:rsidR="008949A0" w:rsidRPr="005E0923">
        <w:rPr>
          <w:bCs/>
          <w:lang w:val="en-GB"/>
        </w:rPr>
        <w:t xml:space="preserve">. </w:t>
      </w:r>
      <w:r w:rsidRPr="005E0923">
        <w:rPr>
          <w:bCs/>
          <w:lang w:val="en-GB"/>
        </w:rPr>
        <w:t xml:space="preserve">In order to </w:t>
      </w:r>
      <w:r w:rsidR="00483D38" w:rsidRPr="005E0923">
        <w:rPr>
          <w:bCs/>
          <w:lang w:val="en-GB"/>
        </w:rPr>
        <w:t xml:space="preserve">meet </w:t>
      </w:r>
      <w:r w:rsidRPr="005E0923">
        <w:rPr>
          <w:bCs/>
          <w:lang w:val="en-GB"/>
        </w:rPr>
        <w:t xml:space="preserve">all the </w:t>
      </w:r>
      <w:r w:rsidR="00483D38" w:rsidRPr="005E0923">
        <w:rPr>
          <w:bCs/>
          <w:lang w:val="en-GB"/>
        </w:rPr>
        <w:t xml:space="preserve">legal </w:t>
      </w:r>
      <w:r w:rsidRPr="005E0923">
        <w:rPr>
          <w:bCs/>
          <w:lang w:val="en-GB"/>
        </w:rPr>
        <w:t xml:space="preserve">requirements mentioned, </w:t>
      </w:r>
      <w:r w:rsidR="00483D38" w:rsidRPr="005E0923">
        <w:rPr>
          <w:bCs/>
          <w:lang w:val="en-GB"/>
        </w:rPr>
        <w:t xml:space="preserve">however, it must also be possible to prove </w:t>
      </w:r>
      <w:r w:rsidR="008F70F4">
        <w:rPr>
          <w:bCs/>
          <w:lang w:val="en-GB"/>
        </w:rPr>
        <w:t xml:space="preserve">appreciable </w:t>
      </w:r>
      <w:r w:rsidR="00483D38" w:rsidRPr="005E0923">
        <w:rPr>
          <w:bCs/>
          <w:lang w:val="en-GB"/>
        </w:rPr>
        <w:t xml:space="preserve">efficacy </w:t>
      </w:r>
      <w:r w:rsidR="00573394" w:rsidRPr="005E0923">
        <w:rPr>
          <w:bCs/>
          <w:lang w:val="en-GB"/>
        </w:rPr>
        <w:t>in the specific dosage</w:t>
      </w:r>
      <w:r w:rsidR="00483D38" w:rsidRPr="005E0923">
        <w:rPr>
          <w:bCs/>
          <w:lang w:val="en-GB"/>
        </w:rPr>
        <w:t xml:space="preserve"> </w:t>
      </w:r>
      <w:r w:rsidR="008F70F4">
        <w:rPr>
          <w:bCs/>
          <w:lang w:val="en-GB"/>
        </w:rPr>
        <w:t>that</w:t>
      </w:r>
      <w:r w:rsidR="0055229A" w:rsidRPr="005E0923">
        <w:rPr>
          <w:bCs/>
          <w:lang w:val="en-GB"/>
        </w:rPr>
        <w:t xml:space="preserve"> goes beyond </w:t>
      </w:r>
      <w:r w:rsidR="00483D38" w:rsidRPr="005E0923">
        <w:rPr>
          <w:bCs/>
          <w:lang w:val="en-GB"/>
        </w:rPr>
        <w:t xml:space="preserve">any </w:t>
      </w:r>
      <w:r w:rsidR="00A67704" w:rsidRPr="005E0923">
        <w:rPr>
          <w:bCs/>
          <w:lang w:val="en-GB"/>
        </w:rPr>
        <w:t>pharmac</w:t>
      </w:r>
      <w:r w:rsidR="00A67704" w:rsidRPr="005E0923">
        <w:rPr>
          <w:bCs/>
          <w:lang w:val="en-GB"/>
        </w:rPr>
        <w:t>o</w:t>
      </w:r>
      <w:r w:rsidR="00A67704" w:rsidRPr="005E0923">
        <w:rPr>
          <w:bCs/>
          <w:lang w:val="en-GB"/>
        </w:rPr>
        <w:t xml:space="preserve">logical </w:t>
      </w:r>
      <w:r w:rsidR="0055229A" w:rsidRPr="005E0923">
        <w:rPr>
          <w:bCs/>
          <w:lang w:val="en-GB"/>
        </w:rPr>
        <w:t xml:space="preserve">effect, </w:t>
      </w:r>
      <w:r w:rsidR="00A67704" w:rsidRPr="0020020E">
        <w:rPr>
          <w:bCs/>
          <w:lang w:val="en-GB"/>
        </w:rPr>
        <w:t>no matter how small</w:t>
      </w:r>
      <w:r w:rsidR="008F70F4" w:rsidRPr="00E21AE8">
        <w:rPr>
          <w:bCs/>
          <w:lang w:val="en-GB"/>
        </w:rPr>
        <w:t>.</w:t>
      </w:r>
      <w:r w:rsidR="00A67704" w:rsidRPr="0020020E">
        <w:rPr>
          <w:bCs/>
          <w:lang w:val="en-GB"/>
        </w:rPr>
        <w:t xml:space="preserve"> </w:t>
      </w:r>
      <w:proofErr w:type="gramStart"/>
      <w:r w:rsidR="008F70F4" w:rsidRPr="00E21AE8">
        <w:rPr>
          <w:bCs/>
          <w:lang w:val="en-GB"/>
        </w:rPr>
        <w:t>B</w:t>
      </w:r>
      <w:r w:rsidR="002764D1" w:rsidRPr="0020020E">
        <w:rPr>
          <w:bCs/>
          <w:lang w:val="en-GB"/>
        </w:rPr>
        <w:t xml:space="preserve">ecause </w:t>
      </w:r>
      <w:r w:rsidR="00B60649" w:rsidRPr="00D4254D">
        <w:rPr>
          <w:bCs/>
          <w:lang w:val="en-GB"/>
        </w:rPr>
        <w:t xml:space="preserve">at the latest with </w:t>
      </w:r>
      <w:r w:rsidR="002764D1" w:rsidRPr="00893BD1">
        <w:rPr>
          <w:bCs/>
          <w:lang w:val="en-GB"/>
        </w:rPr>
        <w:t>a therapeutic effect the bo</w:t>
      </w:r>
      <w:r w:rsidR="002764D1" w:rsidRPr="00C24A8D">
        <w:rPr>
          <w:bCs/>
          <w:lang w:val="en-GB"/>
        </w:rPr>
        <w:t>r</w:t>
      </w:r>
      <w:r w:rsidR="002764D1" w:rsidRPr="009A2265">
        <w:rPr>
          <w:bCs/>
          <w:lang w:val="en-GB"/>
        </w:rPr>
        <w:t xml:space="preserve">der to the </w:t>
      </w:r>
      <w:r w:rsidR="008F70F4" w:rsidRPr="00E21AE8">
        <w:rPr>
          <w:bCs/>
          <w:lang w:val="en-GB"/>
        </w:rPr>
        <w:t>significant</w:t>
      </w:r>
      <w:r w:rsidR="002764D1" w:rsidRPr="0020020E">
        <w:rPr>
          <w:bCs/>
          <w:lang w:val="en-GB"/>
        </w:rPr>
        <w:t xml:space="preserve"> influence is crossed</w:t>
      </w:r>
      <w:r w:rsidR="002764D1" w:rsidRPr="00D4254D">
        <w:rPr>
          <w:bCs/>
          <w:lang w:val="en-GB"/>
        </w:rPr>
        <w:t>.</w:t>
      </w:r>
      <w:proofErr w:type="gramEnd"/>
      <w:r w:rsidR="002764D1" w:rsidRPr="00D4254D">
        <w:rPr>
          <w:bCs/>
          <w:lang w:val="en-GB"/>
        </w:rPr>
        <w:t xml:space="preserve"> </w:t>
      </w:r>
      <w:r w:rsidR="00483D38" w:rsidRPr="00893BD1">
        <w:rPr>
          <w:bCs/>
          <w:lang w:val="en-GB"/>
        </w:rPr>
        <w:t>Otherwise</w:t>
      </w:r>
      <w:r w:rsidR="00483D38" w:rsidRPr="005E0923">
        <w:rPr>
          <w:bCs/>
          <w:lang w:val="en-GB"/>
        </w:rPr>
        <w:t xml:space="preserve">, many foodstuffs legally available on the market (such as </w:t>
      </w:r>
      <w:r w:rsidR="00614C80" w:rsidRPr="005E0923">
        <w:rPr>
          <w:bCs/>
          <w:lang w:val="en-GB"/>
        </w:rPr>
        <w:t xml:space="preserve">coffee, </w:t>
      </w:r>
      <w:r w:rsidR="001B2691" w:rsidRPr="005E0923">
        <w:rPr>
          <w:bCs/>
          <w:lang w:val="en-GB"/>
        </w:rPr>
        <w:t>cinnamon and sage</w:t>
      </w:r>
      <w:r w:rsidR="00C6293F" w:rsidRPr="005E0923">
        <w:rPr>
          <w:bCs/>
          <w:i/>
          <w:iCs/>
          <w:lang w:val="en-GB"/>
        </w:rPr>
        <w:t>, etc.</w:t>
      </w:r>
      <w:r w:rsidR="00483D38" w:rsidRPr="005E0923">
        <w:rPr>
          <w:bCs/>
          <w:lang w:val="en-GB"/>
        </w:rPr>
        <w:t>) would also have to be classified as medicinal products and wit</w:t>
      </w:r>
      <w:r w:rsidR="00483D38" w:rsidRPr="005E0923">
        <w:rPr>
          <w:bCs/>
          <w:lang w:val="en-GB"/>
        </w:rPr>
        <w:t>h</w:t>
      </w:r>
      <w:r w:rsidR="00483D38" w:rsidRPr="005E0923">
        <w:rPr>
          <w:bCs/>
          <w:lang w:val="en-GB"/>
        </w:rPr>
        <w:t xml:space="preserve">drawn from the market as an undesirable consequence. </w:t>
      </w:r>
      <w:r w:rsidR="005842D1" w:rsidRPr="005E0923">
        <w:rPr>
          <w:bCs/>
          <w:lang w:val="en-GB"/>
        </w:rPr>
        <w:t xml:space="preserve">Scientific delimitation criteria </w:t>
      </w:r>
      <w:r w:rsidR="00827D96" w:rsidRPr="005E0923">
        <w:rPr>
          <w:bCs/>
          <w:lang w:val="en-GB"/>
        </w:rPr>
        <w:t xml:space="preserve">for a harmless daily dose on a </w:t>
      </w:r>
      <w:r w:rsidR="005842D1" w:rsidRPr="005E0923">
        <w:rPr>
          <w:bCs/>
          <w:lang w:val="en-GB"/>
        </w:rPr>
        <w:t xml:space="preserve">toxicological basis </w:t>
      </w:r>
      <w:r w:rsidR="00827D96" w:rsidRPr="005E0923">
        <w:rPr>
          <w:bCs/>
          <w:lang w:val="en-GB"/>
        </w:rPr>
        <w:t>already exist for this purpose.</w:t>
      </w:r>
    </w:p>
    <w:p w14:paraId="177F9DE2" w14:textId="77777777" w:rsidR="001F13A1" w:rsidRPr="005E0923" w:rsidRDefault="003E3E15" w:rsidP="00037B6F">
      <w:pPr>
        <w:pStyle w:val="Listenabsatz"/>
        <w:numPr>
          <w:ilvl w:val="0"/>
          <w:numId w:val="1"/>
        </w:numPr>
        <w:jc w:val="both"/>
        <w:rPr>
          <w:b/>
          <w:lang w:val="en-GB"/>
        </w:rPr>
      </w:pPr>
      <w:r w:rsidRPr="005E0923">
        <w:rPr>
          <w:b/>
          <w:lang w:val="en-GB"/>
        </w:rPr>
        <w:t>Result</w:t>
      </w:r>
    </w:p>
    <w:p w14:paraId="15D8B4A8" w14:textId="2D4D4763" w:rsidR="001F13A1" w:rsidRPr="005E0923" w:rsidRDefault="003E3E15" w:rsidP="00037B6F">
      <w:pPr>
        <w:jc w:val="both"/>
        <w:rPr>
          <w:bCs/>
          <w:lang w:val="en-GB"/>
        </w:rPr>
      </w:pPr>
      <w:r w:rsidRPr="005E0923">
        <w:rPr>
          <w:bCs/>
          <w:lang w:val="en-GB"/>
        </w:rPr>
        <w:t xml:space="preserve">The </w:t>
      </w:r>
      <w:r w:rsidR="00165C8E" w:rsidRPr="00E21AE8">
        <w:rPr>
          <w:bCs/>
          <w:i/>
          <w:lang w:val="en-GB"/>
        </w:rPr>
        <w:t>per-se</w:t>
      </w:r>
      <w:r w:rsidR="00165C8E" w:rsidRPr="005E0923">
        <w:rPr>
          <w:bCs/>
          <w:lang w:val="en-GB"/>
        </w:rPr>
        <w:t xml:space="preserve"> conclusion</w:t>
      </w:r>
      <w:r w:rsidR="005E0923">
        <w:rPr>
          <w:bCs/>
          <w:lang w:val="en-GB"/>
        </w:rPr>
        <w:t xml:space="preserve"> (“conclusion from priority</w:t>
      </w:r>
      <w:r w:rsidR="00165C8E" w:rsidRPr="005E0923">
        <w:rPr>
          <w:bCs/>
          <w:lang w:val="en-GB"/>
        </w:rPr>
        <w:t xml:space="preserve">”) </w:t>
      </w:r>
      <w:r w:rsidRPr="005E0923">
        <w:rPr>
          <w:bCs/>
          <w:lang w:val="en-GB"/>
        </w:rPr>
        <w:t xml:space="preserve">drawn by the BfArM and the Administrative Court of Cologne and </w:t>
      </w:r>
      <w:r w:rsidR="00110DD1" w:rsidRPr="005E0923">
        <w:rPr>
          <w:bCs/>
          <w:lang w:val="en-GB"/>
        </w:rPr>
        <w:t xml:space="preserve">the blanket classification of a CBD oil with hemp extract as a medicinal product </w:t>
      </w:r>
      <w:r w:rsidR="00AB7C83" w:rsidRPr="005E0923">
        <w:rPr>
          <w:bCs/>
          <w:lang w:val="en-GB"/>
        </w:rPr>
        <w:t>thus contradicts the established case law of the European Court of Justice as well as the European Medi</w:t>
      </w:r>
      <w:r w:rsidR="00AB7C83" w:rsidRPr="005E0923">
        <w:rPr>
          <w:bCs/>
          <w:lang w:val="en-GB"/>
        </w:rPr>
        <w:t>c</w:t>
      </w:r>
      <w:r w:rsidR="00AB7C83" w:rsidRPr="005E0923">
        <w:rPr>
          <w:bCs/>
          <w:lang w:val="en-GB"/>
        </w:rPr>
        <w:t xml:space="preserve">inal Products Directive. It is not sufficient that </w:t>
      </w:r>
      <w:r w:rsidR="00110DD1" w:rsidRPr="005E0923">
        <w:rPr>
          <w:bCs/>
          <w:lang w:val="en-GB"/>
        </w:rPr>
        <w:t xml:space="preserve">any pharmacological </w:t>
      </w:r>
      <w:r w:rsidR="00AB7C83" w:rsidRPr="005E0923">
        <w:rPr>
          <w:bCs/>
          <w:lang w:val="en-GB"/>
        </w:rPr>
        <w:t xml:space="preserve">effect is </w:t>
      </w:r>
      <w:r w:rsidR="00110DD1" w:rsidRPr="005E0923">
        <w:rPr>
          <w:bCs/>
          <w:lang w:val="en-GB"/>
        </w:rPr>
        <w:t xml:space="preserve">present at all, but it must be </w:t>
      </w:r>
      <w:r w:rsidR="00165C8E" w:rsidRPr="005E0923">
        <w:rPr>
          <w:bCs/>
          <w:lang w:val="en-GB"/>
        </w:rPr>
        <w:t>significant</w:t>
      </w:r>
      <w:r w:rsidR="00110DD1" w:rsidRPr="005E0923">
        <w:rPr>
          <w:bCs/>
          <w:lang w:val="en-GB"/>
        </w:rPr>
        <w:t xml:space="preserve"> and also be </w:t>
      </w:r>
      <w:r w:rsidR="00DC5FEC" w:rsidRPr="005E0923">
        <w:rPr>
          <w:bCs/>
          <w:lang w:val="en-GB"/>
        </w:rPr>
        <w:t xml:space="preserve">able to </w:t>
      </w:r>
      <w:r w:rsidR="00110DD1" w:rsidRPr="005E0923">
        <w:rPr>
          <w:bCs/>
          <w:lang w:val="en-GB"/>
        </w:rPr>
        <w:t>lead to a therapeutic success.</w:t>
      </w:r>
    </w:p>
    <w:p w14:paraId="3597446F" w14:textId="77777777" w:rsidR="001F13A1" w:rsidRPr="005E0923" w:rsidRDefault="003E3E15" w:rsidP="00037B6F">
      <w:pPr>
        <w:jc w:val="both"/>
        <w:rPr>
          <w:bCs/>
          <w:lang w:val="en-GB"/>
        </w:rPr>
      </w:pPr>
      <w:r w:rsidRPr="005E0923">
        <w:rPr>
          <w:bCs/>
          <w:lang w:val="en-GB"/>
        </w:rPr>
        <w:t xml:space="preserve">If </w:t>
      </w:r>
      <w:r w:rsidR="00110DD1" w:rsidRPr="005E0923">
        <w:rPr>
          <w:bCs/>
          <w:lang w:val="en-GB"/>
        </w:rPr>
        <w:t xml:space="preserve">German authorities continued to refer to </w:t>
      </w:r>
      <w:r w:rsidRPr="005E0923">
        <w:rPr>
          <w:bCs/>
          <w:lang w:val="en-GB"/>
        </w:rPr>
        <w:t xml:space="preserve">the </w:t>
      </w:r>
      <w:r w:rsidR="00110DD1" w:rsidRPr="005E0923">
        <w:rPr>
          <w:bCs/>
          <w:lang w:val="en-GB"/>
        </w:rPr>
        <w:t xml:space="preserve">decision of the BfArM and </w:t>
      </w:r>
      <w:r w:rsidR="00DC5FEC" w:rsidRPr="005E0923">
        <w:rPr>
          <w:bCs/>
          <w:lang w:val="en-GB"/>
        </w:rPr>
        <w:t xml:space="preserve">the Cologne Administrative Court </w:t>
      </w:r>
      <w:r w:rsidR="00230456" w:rsidRPr="005E0923">
        <w:rPr>
          <w:bCs/>
          <w:lang w:val="en-GB"/>
        </w:rPr>
        <w:t xml:space="preserve">for </w:t>
      </w:r>
      <w:r w:rsidR="00DC5FEC" w:rsidRPr="005E0923">
        <w:rPr>
          <w:bCs/>
          <w:lang w:val="en-GB"/>
        </w:rPr>
        <w:t xml:space="preserve">comparable products, this would not be in line with national and European law. </w:t>
      </w:r>
      <w:r w:rsidR="00230456" w:rsidRPr="005E0923">
        <w:rPr>
          <w:bCs/>
          <w:lang w:val="en-GB"/>
        </w:rPr>
        <w:t>The result of a corresponding request for a preliminary ruling at the ECJ would be foreseeable</w:t>
      </w:r>
      <w:r w:rsidR="00DC5FEC" w:rsidRPr="005E0923">
        <w:rPr>
          <w:bCs/>
          <w:lang w:val="en-GB"/>
        </w:rPr>
        <w:t xml:space="preserve">. The </w:t>
      </w:r>
      <w:r w:rsidRPr="005E0923">
        <w:rPr>
          <w:bCs/>
          <w:lang w:val="en-GB"/>
        </w:rPr>
        <w:t xml:space="preserve">same applies in </w:t>
      </w:r>
      <w:r w:rsidR="00440176" w:rsidRPr="005E0923">
        <w:rPr>
          <w:bCs/>
          <w:lang w:val="en-GB"/>
        </w:rPr>
        <w:t xml:space="preserve">the </w:t>
      </w:r>
      <w:r w:rsidRPr="005E0923">
        <w:rPr>
          <w:bCs/>
          <w:lang w:val="en-GB"/>
        </w:rPr>
        <w:t>European context for the competent authorities in the EU member states.</w:t>
      </w:r>
    </w:p>
    <w:p w14:paraId="07292108" w14:textId="77777777" w:rsidR="001F13A1" w:rsidRPr="005E0923" w:rsidRDefault="003E3E15" w:rsidP="00037B6F">
      <w:pPr>
        <w:jc w:val="both"/>
        <w:rPr>
          <w:bCs/>
          <w:lang w:val="en-GB"/>
        </w:rPr>
      </w:pPr>
      <w:r w:rsidRPr="005E0923">
        <w:rPr>
          <w:bCs/>
          <w:lang w:val="en-GB"/>
        </w:rPr>
        <w:t xml:space="preserve">The Administrative Court of Cologne </w:t>
      </w:r>
      <w:r w:rsidR="004A7685" w:rsidRPr="005E0923">
        <w:rPr>
          <w:bCs/>
          <w:lang w:val="en-GB"/>
        </w:rPr>
        <w:t xml:space="preserve">also failed to conduct a proportionality test to assess </w:t>
      </w:r>
      <w:r w:rsidRPr="005E0923">
        <w:rPr>
          <w:bCs/>
          <w:lang w:val="en-GB"/>
        </w:rPr>
        <w:t>the dec</w:t>
      </w:r>
      <w:r w:rsidRPr="005E0923">
        <w:rPr>
          <w:bCs/>
          <w:lang w:val="en-GB"/>
        </w:rPr>
        <w:t>i</w:t>
      </w:r>
      <w:r w:rsidRPr="005E0923">
        <w:rPr>
          <w:bCs/>
          <w:lang w:val="en-GB"/>
        </w:rPr>
        <w:t xml:space="preserve">sion of the BfArM. </w:t>
      </w:r>
      <w:r w:rsidR="004A7685" w:rsidRPr="005E0923">
        <w:rPr>
          <w:bCs/>
          <w:lang w:val="en-GB"/>
        </w:rPr>
        <w:t>The decision to classify a product as a medicinal product and thus to trigger r</w:t>
      </w:r>
      <w:r w:rsidR="004A7685" w:rsidRPr="005E0923">
        <w:rPr>
          <w:bCs/>
          <w:lang w:val="en-GB"/>
        </w:rPr>
        <w:t>e</w:t>
      </w:r>
      <w:r w:rsidR="004A7685" w:rsidRPr="005E0923">
        <w:rPr>
          <w:bCs/>
          <w:lang w:val="en-GB"/>
        </w:rPr>
        <w:t xml:space="preserve">strictions on the free movement of goods within the Union requires a detailed examination by </w:t>
      </w:r>
      <w:r w:rsidR="004C344F" w:rsidRPr="005E0923">
        <w:rPr>
          <w:bCs/>
          <w:lang w:val="en-GB"/>
        </w:rPr>
        <w:t xml:space="preserve">the authority of the </w:t>
      </w:r>
      <w:r w:rsidR="004A7685" w:rsidRPr="005E0923">
        <w:rPr>
          <w:bCs/>
          <w:lang w:val="en-GB"/>
        </w:rPr>
        <w:t xml:space="preserve">public health risk on which the decision is based. </w:t>
      </w:r>
    </w:p>
    <w:p w14:paraId="4FE4E70E" w14:textId="1C8F4750" w:rsidR="001F13A1" w:rsidRPr="005E0923" w:rsidRDefault="003E3E15" w:rsidP="00037B6F">
      <w:pPr>
        <w:jc w:val="both"/>
        <w:rPr>
          <w:bCs/>
          <w:lang w:val="en-GB"/>
        </w:rPr>
      </w:pPr>
      <w:r w:rsidRPr="005E0923">
        <w:rPr>
          <w:bCs/>
          <w:lang w:val="en-GB"/>
        </w:rPr>
        <w:lastRenderedPageBreak/>
        <w:t xml:space="preserve">CBD can also be </w:t>
      </w:r>
      <w:r w:rsidR="00CB779C">
        <w:rPr>
          <w:bCs/>
          <w:lang w:val="en-GB"/>
        </w:rPr>
        <w:t>ingested</w:t>
      </w:r>
      <w:r w:rsidRPr="005E0923">
        <w:rPr>
          <w:bCs/>
          <w:lang w:val="en-GB"/>
        </w:rPr>
        <w:t xml:space="preserve"> in </w:t>
      </w:r>
      <w:r w:rsidR="005E0923" w:rsidRPr="005E0923">
        <w:rPr>
          <w:bCs/>
          <w:lang w:val="en-GB"/>
        </w:rPr>
        <w:t xml:space="preserve">quite </w:t>
      </w:r>
      <w:r w:rsidR="00CB779C">
        <w:rPr>
          <w:bCs/>
          <w:lang w:val="en-GB"/>
        </w:rPr>
        <w:t>significant quantities</w:t>
      </w:r>
      <w:r w:rsidRPr="005E0923">
        <w:rPr>
          <w:bCs/>
          <w:lang w:val="en-GB"/>
        </w:rPr>
        <w:t xml:space="preserve"> through </w:t>
      </w:r>
      <w:r w:rsidR="00CB779C">
        <w:rPr>
          <w:bCs/>
          <w:lang w:val="en-GB"/>
        </w:rPr>
        <w:t xml:space="preserve">the </w:t>
      </w:r>
      <w:r w:rsidRPr="005E0923">
        <w:rPr>
          <w:bCs/>
          <w:lang w:val="en-GB"/>
        </w:rPr>
        <w:t xml:space="preserve">daily diet, so that for this reason </w:t>
      </w:r>
      <w:r w:rsidR="00CB779C">
        <w:rPr>
          <w:bCs/>
          <w:lang w:val="en-GB"/>
        </w:rPr>
        <w:t xml:space="preserve">alone </w:t>
      </w:r>
      <w:r w:rsidRPr="005E0923">
        <w:rPr>
          <w:bCs/>
          <w:lang w:val="en-GB"/>
        </w:rPr>
        <w:t xml:space="preserve">there is no need and no justification to classify CBD oils with </w:t>
      </w:r>
      <w:r w:rsidR="00D33562" w:rsidRPr="005E0923">
        <w:rPr>
          <w:bCs/>
          <w:lang w:val="en-GB"/>
        </w:rPr>
        <w:t xml:space="preserve">low </w:t>
      </w:r>
      <w:r w:rsidRPr="005E0923">
        <w:rPr>
          <w:bCs/>
          <w:lang w:val="en-GB"/>
        </w:rPr>
        <w:t>CBD content as medicinal products.</w:t>
      </w:r>
    </w:p>
    <w:p w14:paraId="1B80D1F0" w14:textId="18D32309" w:rsidR="001F13A1" w:rsidRPr="005E0923" w:rsidRDefault="003E3E15" w:rsidP="00037B6F">
      <w:pPr>
        <w:jc w:val="both"/>
        <w:rPr>
          <w:bCs/>
          <w:lang w:val="en-GB"/>
        </w:rPr>
      </w:pPr>
      <w:r w:rsidRPr="005E0923">
        <w:rPr>
          <w:bCs/>
          <w:lang w:val="en-GB"/>
        </w:rPr>
        <w:t xml:space="preserve">The </w:t>
      </w:r>
      <w:r w:rsidR="00B31280" w:rsidRPr="005E0923">
        <w:rPr>
          <w:bCs/>
          <w:lang w:val="en-GB"/>
        </w:rPr>
        <w:t xml:space="preserve">consumer </w:t>
      </w:r>
      <w:r w:rsidRPr="005E0923">
        <w:rPr>
          <w:bCs/>
          <w:lang w:val="en-GB"/>
        </w:rPr>
        <w:t xml:space="preserve">risks that could be associated with the consumption of </w:t>
      </w:r>
      <w:r w:rsidR="00C6293F" w:rsidRPr="005E0923">
        <w:rPr>
          <w:bCs/>
          <w:lang w:val="en-GB"/>
        </w:rPr>
        <w:t xml:space="preserve">low-dose </w:t>
      </w:r>
      <w:r w:rsidRPr="005E0923">
        <w:rPr>
          <w:bCs/>
          <w:lang w:val="en-GB"/>
        </w:rPr>
        <w:t xml:space="preserve">CBD oils are currently being examined in the </w:t>
      </w:r>
      <w:r w:rsidR="00132D0C">
        <w:rPr>
          <w:bCs/>
          <w:lang w:val="en-GB"/>
        </w:rPr>
        <w:t xml:space="preserve">Novel Food </w:t>
      </w:r>
      <w:r w:rsidRPr="005E0923">
        <w:rPr>
          <w:bCs/>
          <w:lang w:val="en-GB"/>
        </w:rPr>
        <w:t>app</w:t>
      </w:r>
      <w:r w:rsidR="00132D0C">
        <w:rPr>
          <w:bCs/>
          <w:lang w:val="en-GB"/>
        </w:rPr>
        <w:t>lication</w:t>
      </w:r>
      <w:r w:rsidRPr="005E0923">
        <w:rPr>
          <w:bCs/>
          <w:lang w:val="en-GB"/>
        </w:rPr>
        <w:t xml:space="preserve"> procedures </w:t>
      </w:r>
      <w:r w:rsidR="00132D0C">
        <w:rPr>
          <w:bCs/>
          <w:lang w:val="en-GB"/>
        </w:rPr>
        <w:t>by</w:t>
      </w:r>
      <w:r w:rsidRPr="005E0923">
        <w:rPr>
          <w:bCs/>
          <w:lang w:val="en-GB"/>
        </w:rPr>
        <w:t xml:space="preserve"> the EFSA. </w:t>
      </w:r>
      <w:r w:rsidR="00D236AB">
        <w:rPr>
          <w:bCs/>
          <w:lang w:val="en-GB"/>
        </w:rPr>
        <w:t xml:space="preserve">Any further </w:t>
      </w:r>
      <w:r w:rsidR="00425D1A">
        <w:rPr>
          <w:bCs/>
          <w:lang w:val="en-GB"/>
        </w:rPr>
        <w:t>m</w:t>
      </w:r>
      <w:r w:rsidR="00425D1A" w:rsidRPr="005E0923">
        <w:rPr>
          <w:bCs/>
          <w:lang w:val="en-GB"/>
        </w:rPr>
        <w:t>easures,</w:t>
      </w:r>
      <w:r w:rsidR="00331C6F" w:rsidRPr="005E0923">
        <w:rPr>
          <w:bCs/>
          <w:lang w:val="en-GB"/>
        </w:rPr>
        <w:t xml:space="preserve"> </w:t>
      </w:r>
      <w:r w:rsidRPr="005E0923">
        <w:rPr>
          <w:bCs/>
          <w:lang w:val="en-GB"/>
        </w:rPr>
        <w:t xml:space="preserve">such as a general classification as a </w:t>
      </w:r>
      <w:r w:rsidR="00425D1A" w:rsidRPr="005E0923">
        <w:rPr>
          <w:bCs/>
          <w:lang w:val="en-GB"/>
        </w:rPr>
        <w:t>medicinal product</w:t>
      </w:r>
      <w:r w:rsidRPr="005E0923">
        <w:rPr>
          <w:bCs/>
          <w:lang w:val="en-GB"/>
        </w:rPr>
        <w:t>, contradict the principle of proportionality and impair the European free movement of goods.</w:t>
      </w:r>
    </w:p>
    <w:p w14:paraId="3802B376" w14:textId="0F80D427" w:rsidR="001F13A1" w:rsidRPr="005E0923" w:rsidRDefault="003E3E15" w:rsidP="00037B6F">
      <w:pPr>
        <w:jc w:val="both"/>
        <w:rPr>
          <w:bCs/>
          <w:lang w:val="en-GB"/>
        </w:rPr>
      </w:pPr>
      <w:r w:rsidRPr="005E0923">
        <w:rPr>
          <w:bCs/>
          <w:lang w:val="en-GB"/>
        </w:rPr>
        <w:t xml:space="preserve">According to all this, CBD oils </w:t>
      </w:r>
      <w:r w:rsidR="00D33562" w:rsidRPr="005E0923">
        <w:rPr>
          <w:bCs/>
          <w:lang w:val="en-GB"/>
        </w:rPr>
        <w:t xml:space="preserve">with low dosages </w:t>
      </w:r>
      <w:r w:rsidRPr="005E0923">
        <w:rPr>
          <w:bCs/>
          <w:lang w:val="en-GB"/>
        </w:rPr>
        <w:t xml:space="preserve">are not functional medicinal products, but foodstuffs and, if the </w:t>
      </w:r>
      <w:r w:rsidR="00B663B5" w:rsidRPr="005E0923">
        <w:rPr>
          <w:bCs/>
          <w:lang w:val="en-GB"/>
        </w:rPr>
        <w:t xml:space="preserve">food law </w:t>
      </w:r>
      <w:r w:rsidRPr="005E0923">
        <w:rPr>
          <w:bCs/>
          <w:lang w:val="en-GB"/>
        </w:rPr>
        <w:t xml:space="preserve">requirements are met, </w:t>
      </w:r>
      <w:r w:rsidR="000246DA" w:rsidRPr="005E0923">
        <w:rPr>
          <w:bCs/>
          <w:lang w:val="en-GB"/>
        </w:rPr>
        <w:t xml:space="preserve">in particular approval as a novel food, they </w:t>
      </w:r>
      <w:r w:rsidRPr="005E0923">
        <w:rPr>
          <w:bCs/>
          <w:lang w:val="en-GB"/>
        </w:rPr>
        <w:t xml:space="preserve">can </w:t>
      </w:r>
      <w:r w:rsidR="00743685" w:rsidRPr="005E0923">
        <w:rPr>
          <w:bCs/>
          <w:lang w:val="en-GB"/>
        </w:rPr>
        <w:t xml:space="preserve">also </w:t>
      </w:r>
      <w:r w:rsidRPr="005E0923">
        <w:rPr>
          <w:bCs/>
          <w:lang w:val="en-GB"/>
        </w:rPr>
        <w:t>be marketed as food supplements.</w:t>
      </w:r>
    </w:p>
    <w:p w14:paraId="03B798CA" w14:textId="36A06528" w:rsidR="001F13A1" w:rsidRPr="005E0923" w:rsidRDefault="003E3E15" w:rsidP="00037B6F">
      <w:pPr>
        <w:jc w:val="both"/>
        <w:rPr>
          <w:rFonts w:asciiTheme="minorHAnsi" w:hAnsiTheme="minorHAnsi" w:cstheme="minorHAnsi"/>
          <w:b/>
          <w:bCs/>
          <w:lang w:val="en-GB"/>
        </w:rPr>
      </w:pPr>
      <w:r w:rsidRPr="005E0923">
        <w:rPr>
          <w:rFonts w:asciiTheme="minorHAnsi" w:hAnsiTheme="minorHAnsi" w:cstheme="minorHAnsi"/>
          <w:b/>
          <w:bCs/>
          <w:lang w:val="en-GB"/>
        </w:rPr>
        <w:t>V</w:t>
      </w:r>
      <w:r w:rsidR="001B5BFE" w:rsidRPr="005E0923">
        <w:rPr>
          <w:rFonts w:asciiTheme="minorHAnsi" w:hAnsiTheme="minorHAnsi" w:cstheme="minorHAnsi"/>
          <w:b/>
          <w:bCs/>
          <w:lang w:val="en-GB"/>
        </w:rPr>
        <w:t xml:space="preserve">. Designation as </w:t>
      </w:r>
      <w:r w:rsidR="00893BD1">
        <w:rPr>
          <w:rFonts w:asciiTheme="minorHAnsi" w:hAnsiTheme="minorHAnsi" w:cstheme="minorHAnsi"/>
          <w:b/>
          <w:bCs/>
          <w:lang w:val="en-GB"/>
        </w:rPr>
        <w:t xml:space="preserve">a </w:t>
      </w:r>
      <w:r w:rsidR="001B5BFE" w:rsidRPr="005E0923">
        <w:rPr>
          <w:rFonts w:asciiTheme="minorHAnsi" w:hAnsiTheme="minorHAnsi" w:cstheme="minorHAnsi"/>
          <w:b/>
          <w:bCs/>
          <w:lang w:val="en-GB"/>
        </w:rPr>
        <w:t>cosmetic</w:t>
      </w:r>
    </w:p>
    <w:p w14:paraId="356D3D26" w14:textId="5C578D52" w:rsidR="001F13A1" w:rsidRPr="005E0923" w:rsidRDefault="003E3E15" w:rsidP="00037B6F">
      <w:pPr>
        <w:jc w:val="both"/>
        <w:rPr>
          <w:rFonts w:asciiTheme="minorHAnsi" w:hAnsiTheme="minorHAnsi"/>
          <w:lang w:val="en-GB"/>
        </w:rPr>
      </w:pPr>
      <w:r w:rsidRPr="005E0923">
        <w:rPr>
          <w:rFonts w:asciiTheme="minorHAnsi" w:hAnsiTheme="minorHAnsi"/>
          <w:lang w:val="en-GB"/>
        </w:rPr>
        <w:t xml:space="preserve">Recently, hemp extracts </w:t>
      </w:r>
      <w:r w:rsidR="00E946BD">
        <w:rPr>
          <w:rFonts w:asciiTheme="minorHAnsi" w:hAnsiTheme="minorHAnsi"/>
          <w:lang w:val="en-GB"/>
        </w:rPr>
        <w:t>have been</w:t>
      </w:r>
      <w:r w:rsidR="00810697" w:rsidRPr="005E0923">
        <w:rPr>
          <w:rFonts w:asciiTheme="minorHAnsi" w:hAnsiTheme="minorHAnsi"/>
          <w:lang w:val="en-GB"/>
        </w:rPr>
        <w:t xml:space="preserve"> increasingly marketed as </w:t>
      </w:r>
      <w:r w:rsidRPr="005E0923">
        <w:rPr>
          <w:rFonts w:asciiTheme="minorHAnsi" w:hAnsiTheme="minorHAnsi"/>
          <w:lang w:val="en-GB"/>
        </w:rPr>
        <w:t>cosmetics</w:t>
      </w:r>
      <w:r w:rsidR="00810697" w:rsidRPr="005E0923">
        <w:rPr>
          <w:rFonts w:asciiTheme="minorHAnsi" w:hAnsiTheme="minorHAnsi"/>
          <w:lang w:val="en-GB"/>
        </w:rPr>
        <w:t>, mostly with the designation "</w:t>
      </w:r>
      <w:r w:rsidR="00810697" w:rsidRPr="00E21AE8">
        <w:rPr>
          <w:rFonts w:asciiTheme="minorHAnsi" w:hAnsiTheme="minorHAnsi"/>
          <w:i/>
          <w:lang w:val="en-GB"/>
        </w:rPr>
        <w:t xml:space="preserve">cosmetic </w:t>
      </w:r>
      <w:r w:rsidR="00810697" w:rsidRPr="005E0923">
        <w:rPr>
          <w:rFonts w:asciiTheme="minorHAnsi" w:hAnsiTheme="minorHAnsi"/>
          <w:i/>
          <w:iCs/>
          <w:lang w:val="en-GB"/>
        </w:rPr>
        <w:t xml:space="preserve">oral care oil" </w:t>
      </w:r>
      <w:r w:rsidR="00810697" w:rsidRPr="005E0923">
        <w:rPr>
          <w:rFonts w:asciiTheme="minorHAnsi" w:hAnsiTheme="minorHAnsi"/>
          <w:lang w:val="en-GB"/>
        </w:rPr>
        <w:t xml:space="preserve">or </w:t>
      </w:r>
      <w:r w:rsidR="00810697" w:rsidRPr="005E0923">
        <w:rPr>
          <w:rFonts w:asciiTheme="minorHAnsi" w:hAnsiTheme="minorHAnsi"/>
          <w:i/>
          <w:iCs/>
          <w:lang w:val="en-GB"/>
        </w:rPr>
        <w:t xml:space="preserve">"cosmetic oral care spray". </w:t>
      </w:r>
      <w:r w:rsidR="00810697" w:rsidRPr="00E21AE8">
        <w:rPr>
          <w:rFonts w:asciiTheme="minorHAnsi" w:hAnsiTheme="minorHAnsi"/>
          <w:iCs/>
          <w:lang w:val="en-GB"/>
        </w:rPr>
        <w:t xml:space="preserve">The </w:t>
      </w:r>
      <w:r w:rsidR="00EA17D6" w:rsidRPr="005E0923">
        <w:rPr>
          <w:rFonts w:asciiTheme="minorHAnsi" w:hAnsiTheme="minorHAnsi"/>
          <w:lang w:val="en-GB"/>
        </w:rPr>
        <w:t xml:space="preserve">legal </w:t>
      </w:r>
      <w:r w:rsidR="00810697" w:rsidRPr="005E0923">
        <w:rPr>
          <w:rFonts w:asciiTheme="minorHAnsi" w:hAnsiTheme="minorHAnsi"/>
          <w:lang w:val="en-GB"/>
        </w:rPr>
        <w:t xml:space="preserve">assessment of this </w:t>
      </w:r>
      <w:r w:rsidR="005E0923" w:rsidRPr="005E0923">
        <w:rPr>
          <w:rFonts w:asciiTheme="minorHAnsi" w:hAnsiTheme="minorHAnsi"/>
          <w:lang w:val="en-GB"/>
        </w:rPr>
        <w:t>labelling</w:t>
      </w:r>
      <w:r w:rsidR="00645C76" w:rsidRPr="005E0923">
        <w:rPr>
          <w:rFonts w:asciiTheme="minorHAnsi" w:hAnsiTheme="minorHAnsi"/>
          <w:lang w:val="en-GB"/>
        </w:rPr>
        <w:t xml:space="preserve"> </w:t>
      </w:r>
      <w:r w:rsidR="00810697" w:rsidRPr="005E0923">
        <w:rPr>
          <w:rFonts w:asciiTheme="minorHAnsi" w:hAnsiTheme="minorHAnsi"/>
          <w:lang w:val="en-GB"/>
        </w:rPr>
        <w:t>is contr</w:t>
      </w:r>
      <w:r w:rsidR="00810697" w:rsidRPr="005E0923">
        <w:rPr>
          <w:rFonts w:asciiTheme="minorHAnsi" w:hAnsiTheme="minorHAnsi"/>
          <w:lang w:val="en-GB"/>
        </w:rPr>
        <w:t>o</w:t>
      </w:r>
      <w:r w:rsidR="00810697" w:rsidRPr="005E0923">
        <w:rPr>
          <w:rFonts w:asciiTheme="minorHAnsi" w:hAnsiTheme="minorHAnsi"/>
          <w:lang w:val="en-GB"/>
        </w:rPr>
        <w:t>versial.</w:t>
      </w:r>
    </w:p>
    <w:p w14:paraId="3ACFA463" w14:textId="77777777" w:rsidR="001F13A1" w:rsidRPr="005E0923" w:rsidRDefault="003E3E15" w:rsidP="00037B6F">
      <w:pPr>
        <w:pStyle w:val="Listenabsatz"/>
        <w:numPr>
          <w:ilvl w:val="0"/>
          <w:numId w:val="8"/>
        </w:numPr>
        <w:jc w:val="both"/>
        <w:rPr>
          <w:rFonts w:asciiTheme="minorHAnsi" w:hAnsiTheme="minorHAnsi"/>
          <w:lang w:val="en-GB"/>
        </w:rPr>
      </w:pPr>
      <w:r w:rsidRPr="005E0923">
        <w:rPr>
          <w:rFonts w:asciiTheme="minorHAnsi" w:hAnsiTheme="minorHAnsi"/>
          <w:lang w:val="en-GB"/>
        </w:rPr>
        <w:t>Cosmetic suitability</w:t>
      </w:r>
    </w:p>
    <w:p w14:paraId="4AE22BAD" w14:textId="76F3D5A6" w:rsidR="001F13A1" w:rsidRPr="005E0923" w:rsidRDefault="003E3E15" w:rsidP="00037B6F">
      <w:pPr>
        <w:jc w:val="both"/>
        <w:rPr>
          <w:rFonts w:asciiTheme="minorHAnsi" w:hAnsiTheme="minorHAnsi"/>
          <w:lang w:val="en-GB"/>
        </w:rPr>
      </w:pPr>
      <w:r w:rsidRPr="005E0923">
        <w:rPr>
          <w:rFonts w:asciiTheme="minorHAnsi" w:hAnsiTheme="minorHAnsi"/>
          <w:lang w:val="en-GB"/>
        </w:rPr>
        <w:t xml:space="preserve">On the one hand, </w:t>
      </w:r>
      <w:r w:rsidR="00810697" w:rsidRPr="005E0923">
        <w:rPr>
          <w:rFonts w:asciiTheme="minorHAnsi" w:hAnsiTheme="minorHAnsi"/>
          <w:lang w:val="en-GB"/>
        </w:rPr>
        <w:t>the</w:t>
      </w:r>
      <w:r w:rsidRPr="005E0923">
        <w:rPr>
          <w:rFonts w:asciiTheme="minorHAnsi" w:hAnsiTheme="minorHAnsi"/>
          <w:lang w:val="en-GB"/>
        </w:rPr>
        <w:t xml:space="preserve"> product </w:t>
      </w:r>
      <w:r w:rsidR="00810697" w:rsidRPr="005E0923">
        <w:rPr>
          <w:rFonts w:asciiTheme="minorHAnsi" w:hAnsiTheme="minorHAnsi"/>
          <w:lang w:val="en-GB"/>
        </w:rPr>
        <w:t xml:space="preserve">must be </w:t>
      </w:r>
      <w:r w:rsidRPr="005E0923">
        <w:rPr>
          <w:rFonts w:asciiTheme="minorHAnsi" w:hAnsiTheme="minorHAnsi"/>
          <w:lang w:val="en-GB"/>
        </w:rPr>
        <w:t xml:space="preserve">explicitly </w:t>
      </w:r>
      <w:r w:rsidR="005E0923" w:rsidRPr="005E0923">
        <w:rPr>
          <w:rFonts w:asciiTheme="minorHAnsi" w:hAnsiTheme="minorHAnsi"/>
          <w:lang w:val="en-GB"/>
        </w:rPr>
        <w:t>labelled</w:t>
      </w:r>
      <w:r w:rsidRPr="005E0923">
        <w:rPr>
          <w:rFonts w:asciiTheme="minorHAnsi" w:hAnsiTheme="minorHAnsi"/>
          <w:lang w:val="en-GB"/>
        </w:rPr>
        <w:t xml:space="preserve"> as a cosmetic. In addition, there </w:t>
      </w:r>
      <w:r w:rsidR="00810697" w:rsidRPr="005E0923">
        <w:rPr>
          <w:rFonts w:asciiTheme="minorHAnsi" w:hAnsiTheme="minorHAnsi"/>
          <w:lang w:val="en-GB"/>
        </w:rPr>
        <w:t xml:space="preserve">should be a </w:t>
      </w:r>
      <w:r w:rsidRPr="005E0923">
        <w:rPr>
          <w:rFonts w:asciiTheme="minorHAnsi" w:hAnsiTheme="minorHAnsi"/>
          <w:lang w:val="en-GB"/>
        </w:rPr>
        <w:t xml:space="preserve">recommendation on </w:t>
      </w:r>
      <w:r w:rsidR="00810697" w:rsidRPr="005E0923">
        <w:rPr>
          <w:rFonts w:asciiTheme="minorHAnsi" w:hAnsiTheme="minorHAnsi"/>
          <w:lang w:val="en-GB"/>
        </w:rPr>
        <w:t xml:space="preserve">how to use </w:t>
      </w:r>
      <w:r w:rsidRPr="005E0923">
        <w:rPr>
          <w:rFonts w:asciiTheme="minorHAnsi" w:hAnsiTheme="minorHAnsi"/>
          <w:lang w:val="en-GB"/>
        </w:rPr>
        <w:t xml:space="preserve">the product </w:t>
      </w:r>
      <w:r w:rsidR="00810697" w:rsidRPr="005E0923">
        <w:rPr>
          <w:rFonts w:asciiTheme="minorHAnsi" w:hAnsiTheme="minorHAnsi"/>
          <w:lang w:val="en-GB"/>
        </w:rPr>
        <w:t>in the oral cavity</w:t>
      </w:r>
      <w:r w:rsidRPr="005E0923">
        <w:rPr>
          <w:rFonts w:asciiTheme="minorHAnsi" w:hAnsiTheme="minorHAnsi"/>
          <w:lang w:val="en-GB"/>
        </w:rPr>
        <w:t xml:space="preserve">, </w:t>
      </w:r>
      <w:r w:rsidR="00425D1A" w:rsidRPr="005E0923">
        <w:rPr>
          <w:rFonts w:asciiTheme="minorHAnsi" w:hAnsiTheme="minorHAnsi"/>
          <w:lang w:val="en-GB"/>
        </w:rPr>
        <w:t>e.g.,</w:t>
      </w:r>
      <w:r w:rsidRPr="005E0923">
        <w:rPr>
          <w:rFonts w:asciiTheme="minorHAnsi" w:hAnsiTheme="minorHAnsi"/>
          <w:lang w:val="en-GB"/>
        </w:rPr>
        <w:t xml:space="preserve"> </w:t>
      </w:r>
      <w:r w:rsidR="00EA17D6" w:rsidRPr="005E0923">
        <w:rPr>
          <w:rFonts w:asciiTheme="minorHAnsi" w:hAnsiTheme="minorHAnsi"/>
          <w:lang w:val="en-GB"/>
        </w:rPr>
        <w:t xml:space="preserve">rinse </w:t>
      </w:r>
      <w:r w:rsidRPr="005E0923">
        <w:rPr>
          <w:rFonts w:asciiTheme="minorHAnsi" w:hAnsiTheme="minorHAnsi"/>
          <w:lang w:val="en-GB"/>
        </w:rPr>
        <w:t xml:space="preserve">in the oral cavity </w:t>
      </w:r>
      <w:r w:rsidR="001733F7" w:rsidRPr="005E0923">
        <w:rPr>
          <w:rFonts w:asciiTheme="minorHAnsi" w:hAnsiTheme="minorHAnsi"/>
          <w:lang w:val="en-GB"/>
        </w:rPr>
        <w:t>for 20-30 seconds</w:t>
      </w:r>
      <w:r w:rsidR="001733F7">
        <w:rPr>
          <w:rFonts w:asciiTheme="minorHAnsi" w:hAnsiTheme="minorHAnsi"/>
          <w:lang w:val="en-GB"/>
        </w:rPr>
        <w:t>,</w:t>
      </w:r>
      <w:r w:rsidR="001733F7" w:rsidRPr="005E0923">
        <w:rPr>
          <w:rFonts w:asciiTheme="minorHAnsi" w:hAnsiTheme="minorHAnsi"/>
          <w:lang w:val="en-GB"/>
        </w:rPr>
        <w:t xml:space="preserve"> </w:t>
      </w:r>
      <w:r w:rsidR="00EA17D6" w:rsidRPr="005E0923">
        <w:rPr>
          <w:rFonts w:asciiTheme="minorHAnsi" w:hAnsiTheme="minorHAnsi"/>
          <w:lang w:val="en-GB"/>
        </w:rPr>
        <w:t xml:space="preserve">and </w:t>
      </w:r>
      <w:r w:rsidRPr="005E0923">
        <w:rPr>
          <w:rFonts w:asciiTheme="minorHAnsi" w:hAnsiTheme="minorHAnsi"/>
          <w:lang w:val="en-GB"/>
        </w:rPr>
        <w:t xml:space="preserve">then spit out. Absorption through the gastrointestinal tract </w:t>
      </w:r>
      <w:r w:rsidR="00EA17D6" w:rsidRPr="005E0923">
        <w:rPr>
          <w:rFonts w:asciiTheme="minorHAnsi" w:hAnsiTheme="minorHAnsi"/>
          <w:lang w:val="en-GB"/>
        </w:rPr>
        <w:t xml:space="preserve">should be </w:t>
      </w:r>
      <w:r w:rsidRPr="005E0923">
        <w:rPr>
          <w:rFonts w:asciiTheme="minorHAnsi" w:hAnsiTheme="minorHAnsi"/>
          <w:lang w:val="en-GB"/>
        </w:rPr>
        <w:t xml:space="preserve">excluded via the application instructions in order </w:t>
      </w:r>
      <w:r w:rsidR="00773D6F" w:rsidRPr="005E0923">
        <w:rPr>
          <w:rFonts w:asciiTheme="minorHAnsi" w:hAnsiTheme="minorHAnsi"/>
          <w:lang w:val="en-GB"/>
        </w:rPr>
        <w:t xml:space="preserve">to ensure </w:t>
      </w:r>
      <w:r w:rsidR="001733F7">
        <w:rPr>
          <w:rFonts w:asciiTheme="minorHAnsi" w:hAnsiTheme="minorHAnsi"/>
          <w:lang w:val="en-GB"/>
        </w:rPr>
        <w:t xml:space="preserve">the </w:t>
      </w:r>
      <w:r w:rsidR="00773D6F" w:rsidRPr="005E0923">
        <w:rPr>
          <w:rFonts w:asciiTheme="minorHAnsi" w:hAnsiTheme="minorHAnsi"/>
          <w:lang w:val="en-GB"/>
        </w:rPr>
        <w:t>differentiation from food</w:t>
      </w:r>
      <w:r w:rsidRPr="005E0923">
        <w:rPr>
          <w:rFonts w:asciiTheme="minorHAnsi" w:hAnsiTheme="minorHAnsi"/>
          <w:lang w:val="en-GB"/>
        </w:rPr>
        <w:t>.</w:t>
      </w:r>
    </w:p>
    <w:p w14:paraId="61B27126" w14:textId="6AAD02A8" w:rsidR="001F13A1" w:rsidRPr="005E0923" w:rsidRDefault="001B5BFE" w:rsidP="00037B6F">
      <w:pPr>
        <w:spacing w:after="0"/>
        <w:jc w:val="both"/>
        <w:rPr>
          <w:rFonts w:asciiTheme="minorHAnsi" w:hAnsiTheme="minorHAnsi"/>
          <w:lang w:val="en-GB"/>
        </w:rPr>
      </w:pPr>
      <w:r w:rsidRPr="005E0923">
        <w:rPr>
          <w:rFonts w:asciiTheme="minorHAnsi" w:hAnsiTheme="minorHAnsi"/>
          <w:lang w:val="en-GB"/>
        </w:rPr>
        <w:t xml:space="preserve">In particular, the cosmetic </w:t>
      </w:r>
      <w:r w:rsidRPr="005E0923">
        <w:rPr>
          <w:rFonts w:asciiTheme="minorHAnsi" w:hAnsiTheme="minorHAnsi" w:cs="Times New Roman"/>
          <w:lang w:val="en-GB"/>
        </w:rPr>
        <w:t xml:space="preserve">study </w:t>
      </w:r>
      <w:r w:rsidRPr="005E0923">
        <w:rPr>
          <w:rFonts w:asciiTheme="minorHAnsi" w:hAnsiTheme="minorHAnsi"/>
          <w:lang w:val="en-GB"/>
        </w:rPr>
        <w:t xml:space="preserve">by </w:t>
      </w:r>
      <w:proofErr w:type="spellStart"/>
      <w:r w:rsidRPr="005E0923">
        <w:rPr>
          <w:rFonts w:asciiTheme="minorHAnsi" w:hAnsiTheme="minorHAnsi"/>
          <w:lang w:val="en-GB"/>
        </w:rPr>
        <w:t>Vasudevan</w:t>
      </w:r>
      <w:proofErr w:type="spellEnd"/>
      <w:r w:rsidRPr="005E0923">
        <w:rPr>
          <w:rFonts w:asciiTheme="minorHAnsi" w:hAnsiTheme="minorHAnsi"/>
          <w:lang w:val="en-GB"/>
        </w:rPr>
        <w:t xml:space="preserve"> and Stahl</w:t>
      </w:r>
      <w:r w:rsidRPr="005E0923">
        <w:rPr>
          <w:rStyle w:val="Funotenzeichen"/>
          <w:rFonts w:asciiTheme="minorHAnsi" w:hAnsiTheme="minorHAnsi"/>
          <w:lang w:val="en-GB"/>
        </w:rPr>
        <w:footnoteReference w:id="40"/>
      </w:r>
      <w:r w:rsidRPr="005E0923">
        <w:rPr>
          <w:rFonts w:asciiTheme="minorHAnsi" w:hAnsiTheme="minorHAnsi"/>
          <w:lang w:val="en-GB"/>
        </w:rPr>
        <w:t xml:space="preserve"> confirms that</w:t>
      </w:r>
      <w:bookmarkStart w:id="4" w:name="_Hlk120265729"/>
      <w:r w:rsidRPr="005E0923">
        <w:rPr>
          <w:rFonts w:asciiTheme="minorHAnsi" w:hAnsiTheme="minorHAnsi"/>
          <w:lang w:val="en-GB"/>
        </w:rPr>
        <w:t xml:space="preserve"> oral care products with ca</w:t>
      </w:r>
      <w:r w:rsidRPr="005E0923">
        <w:rPr>
          <w:rFonts w:asciiTheme="minorHAnsi" w:hAnsiTheme="minorHAnsi"/>
          <w:lang w:val="en-GB"/>
        </w:rPr>
        <w:t>n</w:t>
      </w:r>
      <w:r w:rsidRPr="005E0923">
        <w:rPr>
          <w:rFonts w:asciiTheme="minorHAnsi" w:hAnsiTheme="minorHAnsi"/>
          <w:lang w:val="en-GB"/>
        </w:rPr>
        <w:t xml:space="preserve">nabinoids exert an antibacterial effect, and thus clearly </w:t>
      </w:r>
      <w:r w:rsidR="005E0923" w:rsidRPr="005E0923">
        <w:rPr>
          <w:rFonts w:asciiTheme="minorHAnsi" w:hAnsiTheme="minorHAnsi"/>
          <w:lang w:val="en-GB"/>
        </w:rPr>
        <w:t>fulfil</w:t>
      </w:r>
      <w:r w:rsidRPr="005E0923">
        <w:rPr>
          <w:rFonts w:asciiTheme="minorHAnsi" w:hAnsiTheme="minorHAnsi"/>
          <w:lang w:val="en-GB"/>
        </w:rPr>
        <w:t xml:space="preserve"> a cosmetic function for the care of the oral cavity.</w:t>
      </w:r>
      <w:bookmarkEnd w:id="4"/>
      <w:r w:rsidRPr="005E0923">
        <w:rPr>
          <w:rFonts w:asciiTheme="minorHAnsi" w:hAnsiTheme="minorHAnsi"/>
          <w:lang w:val="en-GB"/>
        </w:rPr>
        <w:t xml:space="preserve"> In this study, microorganisms were taken directly from the mouth of 72 subjects and so-called inhibition </w:t>
      </w:r>
      <w:r w:rsidR="000910C4">
        <w:rPr>
          <w:rFonts w:asciiTheme="minorHAnsi" w:hAnsiTheme="minorHAnsi"/>
          <w:lang w:val="en-GB"/>
        </w:rPr>
        <w:t>zone</w:t>
      </w:r>
      <w:r w:rsidRPr="005E0923">
        <w:rPr>
          <w:rFonts w:asciiTheme="minorHAnsi" w:hAnsiTheme="minorHAnsi"/>
          <w:lang w:val="en-GB"/>
        </w:rPr>
        <w:t xml:space="preserve"> tests were performed in the main experiment. It was found that there was a comparable antimicrobial effect of the 1% cannabinoid-containing mouth rinse compared </w:t>
      </w:r>
      <w:r w:rsidR="000910C4">
        <w:rPr>
          <w:rFonts w:asciiTheme="minorHAnsi" w:hAnsiTheme="minorHAnsi"/>
          <w:lang w:val="en-GB"/>
        </w:rPr>
        <w:t>to</w:t>
      </w:r>
      <w:r w:rsidRPr="005E0923">
        <w:rPr>
          <w:rFonts w:asciiTheme="minorHAnsi" w:hAnsiTheme="minorHAnsi"/>
          <w:lang w:val="en-GB"/>
        </w:rPr>
        <w:t xml:space="preserve"> the 0.2% chlorhexidine mouth rinse, and cannabinoid-containing mouth rinses sometimes even had a better effect than the classic mouth rinses. In addition, the use of chlorhexidine leads to </w:t>
      </w:r>
      <w:r w:rsidR="005E0923" w:rsidRPr="005E0923">
        <w:rPr>
          <w:rFonts w:asciiTheme="minorHAnsi" w:hAnsiTheme="minorHAnsi"/>
          <w:lang w:val="en-GB"/>
        </w:rPr>
        <w:t>discoloured</w:t>
      </w:r>
      <w:r w:rsidRPr="005E0923">
        <w:rPr>
          <w:rFonts w:asciiTheme="minorHAnsi" w:hAnsiTheme="minorHAnsi"/>
          <w:lang w:val="en-GB"/>
        </w:rPr>
        <w:t xml:space="preserve"> teeth in the long term and promotes the accumulation of calcium, which leads to the formation of </w:t>
      </w:r>
      <w:r w:rsidR="00C4480F">
        <w:rPr>
          <w:rFonts w:asciiTheme="minorHAnsi" w:hAnsiTheme="minorHAnsi"/>
          <w:lang w:val="en-GB"/>
        </w:rPr>
        <w:t>dental calculus</w:t>
      </w:r>
      <w:r w:rsidRPr="005E0923">
        <w:rPr>
          <w:rFonts w:asciiTheme="minorHAnsi" w:hAnsiTheme="minorHAnsi"/>
          <w:lang w:val="en-GB"/>
        </w:rPr>
        <w:t xml:space="preserve">. </w:t>
      </w:r>
    </w:p>
    <w:p w14:paraId="15ABAED3" w14:textId="77777777" w:rsidR="001B5BFE" w:rsidRPr="005E0923" w:rsidRDefault="001B5BFE" w:rsidP="00037B6F">
      <w:pPr>
        <w:spacing w:after="0"/>
        <w:jc w:val="both"/>
        <w:rPr>
          <w:rFonts w:asciiTheme="minorHAnsi" w:hAnsiTheme="minorHAnsi"/>
          <w:lang w:val="en-GB"/>
        </w:rPr>
      </w:pPr>
    </w:p>
    <w:p w14:paraId="765E9D54" w14:textId="788C06A9" w:rsidR="001F13A1" w:rsidRPr="005E0923" w:rsidRDefault="003E3E15" w:rsidP="00037B6F">
      <w:pPr>
        <w:spacing w:after="0"/>
        <w:jc w:val="both"/>
        <w:rPr>
          <w:rFonts w:asciiTheme="minorHAnsi" w:hAnsiTheme="minorHAnsi"/>
          <w:lang w:val="en-GB"/>
        </w:rPr>
      </w:pPr>
      <w:r w:rsidRPr="005E0923">
        <w:rPr>
          <w:rFonts w:asciiTheme="minorHAnsi" w:hAnsiTheme="minorHAnsi"/>
          <w:lang w:val="en-GB"/>
        </w:rPr>
        <w:t xml:space="preserve">The antibacterial mechanism of action of cannabinoids is not yet fully understood. However, it is </w:t>
      </w:r>
      <w:r w:rsidR="00C4480F">
        <w:rPr>
          <w:rFonts w:asciiTheme="minorHAnsi" w:hAnsiTheme="minorHAnsi"/>
          <w:lang w:val="en-GB"/>
        </w:rPr>
        <w:t>assum</w:t>
      </w:r>
      <w:r w:rsidRPr="005E0923">
        <w:rPr>
          <w:rFonts w:asciiTheme="minorHAnsi" w:hAnsiTheme="minorHAnsi"/>
          <w:lang w:val="en-GB"/>
        </w:rPr>
        <w:t xml:space="preserve">ed that their mode of action is related to the </w:t>
      </w:r>
      <w:r w:rsidR="00C4480F">
        <w:rPr>
          <w:rFonts w:asciiTheme="minorHAnsi" w:hAnsiTheme="minorHAnsi"/>
          <w:lang w:val="en-GB"/>
        </w:rPr>
        <w:t>change</w:t>
      </w:r>
      <w:r w:rsidRPr="005E0923">
        <w:rPr>
          <w:rFonts w:asciiTheme="minorHAnsi" w:hAnsiTheme="minorHAnsi"/>
          <w:lang w:val="en-GB"/>
        </w:rPr>
        <w:t xml:space="preserve"> </w:t>
      </w:r>
      <w:r w:rsidR="00C4480F">
        <w:rPr>
          <w:rFonts w:asciiTheme="minorHAnsi" w:hAnsiTheme="minorHAnsi"/>
          <w:lang w:val="en-GB"/>
        </w:rPr>
        <w:t>in</w:t>
      </w:r>
      <w:r w:rsidRPr="005E0923">
        <w:rPr>
          <w:rFonts w:asciiTheme="minorHAnsi" w:hAnsiTheme="minorHAnsi"/>
          <w:lang w:val="en-GB"/>
        </w:rPr>
        <w:t xml:space="preserve"> membrane permeability as well as the </w:t>
      </w:r>
      <w:r w:rsidR="00E00328">
        <w:rPr>
          <w:rFonts w:asciiTheme="minorHAnsi" w:hAnsiTheme="minorHAnsi"/>
          <w:lang w:val="en-GB"/>
        </w:rPr>
        <w:t>change</w:t>
      </w:r>
      <w:r w:rsidRPr="005E0923">
        <w:rPr>
          <w:rFonts w:asciiTheme="minorHAnsi" w:hAnsiTheme="minorHAnsi"/>
          <w:lang w:val="en-GB"/>
        </w:rPr>
        <w:t xml:space="preserve"> </w:t>
      </w:r>
      <w:r w:rsidR="00E00328">
        <w:rPr>
          <w:rFonts w:asciiTheme="minorHAnsi" w:hAnsiTheme="minorHAnsi"/>
          <w:lang w:val="en-GB"/>
        </w:rPr>
        <w:t>in</w:t>
      </w:r>
      <w:r w:rsidRPr="005E0923">
        <w:rPr>
          <w:rFonts w:asciiTheme="minorHAnsi" w:hAnsiTheme="minorHAnsi"/>
          <w:lang w:val="en-GB"/>
        </w:rPr>
        <w:t xml:space="preserve"> cellular communication through the inhibition of membrane vesicles released by bacteria. In addition, cannabinoids also show a synergistic interaction that enhances the antibacterial effect </w:t>
      </w:r>
      <w:r w:rsidR="00425D1A" w:rsidRPr="005E0923">
        <w:rPr>
          <w:rFonts w:asciiTheme="minorHAnsi" w:hAnsiTheme="minorHAnsi"/>
          <w:lang w:val="en-GB"/>
        </w:rPr>
        <w:t>of broad</w:t>
      </w:r>
      <w:r w:rsidR="00425D1A">
        <w:rPr>
          <w:rFonts w:asciiTheme="minorHAnsi" w:hAnsiTheme="minorHAnsi"/>
          <w:lang w:val="en-GB"/>
        </w:rPr>
        <w:t>-spectrum</w:t>
      </w:r>
      <w:r w:rsidR="00E00328">
        <w:rPr>
          <w:rFonts w:asciiTheme="minorHAnsi" w:hAnsiTheme="minorHAnsi"/>
          <w:lang w:val="en-GB"/>
        </w:rPr>
        <w:t xml:space="preserve"> </w:t>
      </w:r>
      <w:r w:rsidRPr="005E0923">
        <w:rPr>
          <w:rFonts w:asciiTheme="minorHAnsi" w:hAnsiTheme="minorHAnsi"/>
          <w:lang w:val="en-GB"/>
        </w:rPr>
        <w:t>antibiotics in vitro</w:t>
      </w:r>
      <w:r w:rsidR="00773D6F" w:rsidRPr="005E0923">
        <w:rPr>
          <w:rStyle w:val="Funotenzeichen"/>
          <w:rFonts w:asciiTheme="minorHAnsi" w:hAnsiTheme="minorHAnsi"/>
          <w:lang w:val="en-GB"/>
        </w:rPr>
        <w:footnoteReference w:id="41"/>
      </w:r>
      <w:r w:rsidR="00773D6F" w:rsidRPr="005E0923">
        <w:rPr>
          <w:rFonts w:asciiTheme="minorHAnsi" w:hAnsiTheme="minorHAnsi"/>
          <w:lang w:val="en-GB"/>
        </w:rPr>
        <w:t xml:space="preserve"> </w:t>
      </w:r>
      <w:r w:rsidR="009A2265">
        <w:rPr>
          <w:rStyle w:val="Funotenzeichen"/>
          <w:rFonts w:asciiTheme="minorHAnsi" w:hAnsiTheme="minorHAnsi"/>
          <w:lang w:val="en-GB"/>
        </w:rPr>
        <w:footnoteReference w:id="42"/>
      </w:r>
      <w:r w:rsidR="00773D6F" w:rsidRPr="005E0923">
        <w:rPr>
          <w:rFonts w:asciiTheme="minorHAnsi" w:hAnsiTheme="minorHAnsi"/>
          <w:lang w:val="en-GB"/>
        </w:rPr>
        <w:t>.</w:t>
      </w:r>
    </w:p>
    <w:p w14:paraId="26C6A710" w14:textId="77777777" w:rsidR="001B5BFE" w:rsidRPr="005E0923" w:rsidRDefault="001B5BFE" w:rsidP="00037B6F">
      <w:pPr>
        <w:spacing w:after="0"/>
        <w:jc w:val="both"/>
        <w:rPr>
          <w:rFonts w:asciiTheme="minorHAnsi" w:hAnsiTheme="minorHAnsi"/>
          <w:lang w:val="en-GB"/>
        </w:rPr>
      </w:pPr>
    </w:p>
    <w:p w14:paraId="2E03DAEB" w14:textId="77777777" w:rsidR="001F13A1" w:rsidRPr="005E0923" w:rsidRDefault="003E3E15" w:rsidP="00037B6F">
      <w:pPr>
        <w:spacing w:after="0"/>
        <w:jc w:val="both"/>
        <w:rPr>
          <w:rFonts w:asciiTheme="minorHAnsi" w:hAnsiTheme="minorHAnsi"/>
          <w:lang w:val="en-GB"/>
        </w:rPr>
      </w:pPr>
      <w:r w:rsidRPr="005E0923">
        <w:rPr>
          <w:rFonts w:asciiTheme="minorHAnsi" w:hAnsiTheme="minorHAnsi"/>
          <w:lang w:val="en-GB"/>
        </w:rPr>
        <w:lastRenderedPageBreak/>
        <w:t>CBD therefore appears to have benefits in fighting plaque, is highly protective against bacteria in the mouth, and may even be helpful in removing bacteria from plaque during tooth polishing.</w:t>
      </w:r>
    </w:p>
    <w:p w14:paraId="64F2357F" w14:textId="77777777" w:rsidR="001B5BFE" w:rsidRPr="005E0923" w:rsidRDefault="001B5BFE" w:rsidP="00037B6F">
      <w:pPr>
        <w:spacing w:after="0"/>
        <w:jc w:val="both"/>
        <w:rPr>
          <w:rFonts w:asciiTheme="minorHAnsi" w:hAnsiTheme="minorHAnsi"/>
          <w:lang w:val="en-GB"/>
        </w:rPr>
      </w:pPr>
    </w:p>
    <w:p w14:paraId="3AFB37F5" w14:textId="0A968301" w:rsidR="001F13A1" w:rsidRPr="005E0923" w:rsidRDefault="003E3E15" w:rsidP="00037B6F">
      <w:pPr>
        <w:autoSpaceDE w:val="0"/>
        <w:autoSpaceDN w:val="0"/>
        <w:adjustRightInd w:val="0"/>
        <w:spacing w:after="0" w:line="240" w:lineRule="auto"/>
        <w:jc w:val="both"/>
        <w:rPr>
          <w:rFonts w:asciiTheme="minorHAnsi" w:hAnsiTheme="minorHAnsi"/>
          <w:lang w:val="en-GB"/>
        </w:rPr>
      </w:pPr>
      <w:r w:rsidRPr="005E0923">
        <w:rPr>
          <w:rFonts w:asciiTheme="minorHAnsi" w:hAnsiTheme="minorHAnsi"/>
          <w:lang w:val="en-GB"/>
        </w:rPr>
        <w:t xml:space="preserve">The claim </w:t>
      </w:r>
      <w:r w:rsidR="006816E0">
        <w:rPr>
          <w:rFonts w:asciiTheme="minorHAnsi" w:hAnsiTheme="minorHAnsi"/>
          <w:lang w:val="en-GB"/>
        </w:rPr>
        <w:t>as</w:t>
      </w:r>
      <w:r w:rsidRPr="005E0923">
        <w:rPr>
          <w:rFonts w:asciiTheme="minorHAnsi" w:hAnsiTheme="minorHAnsi"/>
          <w:lang w:val="en-GB"/>
        </w:rPr>
        <w:t xml:space="preserve"> a cosmetic </w:t>
      </w:r>
      <w:r w:rsidR="006816E0">
        <w:rPr>
          <w:rFonts w:asciiTheme="minorHAnsi" w:hAnsiTheme="minorHAnsi"/>
          <w:lang w:val="en-GB"/>
        </w:rPr>
        <w:t xml:space="preserve">product </w:t>
      </w:r>
      <w:r w:rsidRPr="005E0923">
        <w:rPr>
          <w:rFonts w:asciiTheme="minorHAnsi" w:hAnsiTheme="minorHAnsi"/>
          <w:lang w:val="en-GB"/>
        </w:rPr>
        <w:t xml:space="preserve">is thus </w:t>
      </w:r>
      <w:r w:rsidR="00165C8E" w:rsidRPr="005E0923">
        <w:rPr>
          <w:rFonts w:asciiTheme="minorHAnsi" w:hAnsiTheme="minorHAnsi"/>
          <w:lang w:val="en-GB"/>
        </w:rPr>
        <w:t>generally</w:t>
      </w:r>
      <w:r w:rsidR="00773D6F" w:rsidRPr="005E0923">
        <w:rPr>
          <w:rFonts w:asciiTheme="minorHAnsi" w:hAnsiTheme="minorHAnsi"/>
          <w:lang w:val="en-GB"/>
        </w:rPr>
        <w:t xml:space="preserve"> </w:t>
      </w:r>
      <w:r w:rsidRPr="005E0923">
        <w:rPr>
          <w:rFonts w:asciiTheme="minorHAnsi" w:hAnsiTheme="minorHAnsi"/>
          <w:lang w:val="en-GB"/>
        </w:rPr>
        <w:t xml:space="preserve">substantiated and justified by cosmetic studies. </w:t>
      </w:r>
    </w:p>
    <w:p w14:paraId="529E7E48" w14:textId="77777777" w:rsidR="001B5BFE" w:rsidRPr="005E0923" w:rsidRDefault="001B5BFE" w:rsidP="00037B6F">
      <w:pPr>
        <w:autoSpaceDE w:val="0"/>
        <w:autoSpaceDN w:val="0"/>
        <w:adjustRightInd w:val="0"/>
        <w:spacing w:after="0" w:line="240" w:lineRule="auto"/>
        <w:jc w:val="both"/>
        <w:rPr>
          <w:rFonts w:asciiTheme="minorHAnsi" w:hAnsiTheme="minorHAnsi"/>
          <w:lang w:val="en-GB"/>
        </w:rPr>
      </w:pPr>
    </w:p>
    <w:p w14:paraId="255F668D" w14:textId="77777777" w:rsidR="001B5BFE" w:rsidRPr="005E0923" w:rsidRDefault="001B5BFE" w:rsidP="00037B6F">
      <w:pPr>
        <w:spacing w:after="0"/>
        <w:jc w:val="both"/>
        <w:rPr>
          <w:rFonts w:asciiTheme="minorHAnsi" w:hAnsiTheme="minorHAnsi"/>
          <w:lang w:val="en-GB"/>
        </w:rPr>
      </w:pPr>
    </w:p>
    <w:p w14:paraId="57EDF342" w14:textId="77777777" w:rsidR="001F13A1" w:rsidRPr="005E0923" w:rsidRDefault="003E3E15" w:rsidP="00037B6F">
      <w:pPr>
        <w:pStyle w:val="Listenabsatz"/>
        <w:numPr>
          <w:ilvl w:val="0"/>
          <w:numId w:val="8"/>
        </w:numPr>
        <w:jc w:val="both"/>
        <w:rPr>
          <w:rFonts w:asciiTheme="minorHAnsi" w:hAnsiTheme="minorHAnsi"/>
          <w:lang w:val="en-GB"/>
        </w:rPr>
      </w:pPr>
      <w:r w:rsidRPr="005E0923">
        <w:rPr>
          <w:rFonts w:asciiTheme="minorHAnsi" w:hAnsiTheme="minorHAnsi"/>
          <w:lang w:val="en-GB"/>
        </w:rPr>
        <w:t xml:space="preserve">Legal classification </w:t>
      </w:r>
    </w:p>
    <w:p w14:paraId="5E9A021E" w14:textId="4B2C8153" w:rsidR="001F13A1" w:rsidRPr="005E0923" w:rsidRDefault="003E3E15" w:rsidP="00037B6F">
      <w:pPr>
        <w:jc w:val="both"/>
        <w:rPr>
          <w:rFonts w:asciiTheme="minorHAnsi" w:hAnsiTheme="minorHAnsi"/>
          <w:i/>
          <w:iCs/>
          <w:lang w:val="en-GB"/>
        </w:rPr>
      </w:pPr>
      <w:r w:rsidRPr="005E0923">
        <w:rPr>
          <w:rFonts w:asciiTheme="minorHAnsi" w:hAnsiTheme="minorHAnsi"/>
          <w:i/>
          <w:iCs/>
          <w:lang w:val="en-GB"/>
        </w:rPr>
        <w:t xml:space="preserve">a) Demarcation </w:t>
      </w:r>
      <w:r w:rsidR="001C646B">
        <w:rPr>
          <w:rFonts w:asciiTheme="minorHAnsi" w:hAnsiTheme="minorHAnsi"/>
          <w:i/>
          <w:iCs/>
          <w:lang w:val="en-GB"/>
        </w:rPr>
        <w:t xml:space="preserve">of </w:t>
      </w:r>
      <w:r w:rsidRPr="005E0923">
        <w:rPr>
          <w:rFonts w:asciiTheme="minorHAnsi" w:hAnsiTheme="minorHAnsi"/>
          <w:i/>
          <w:iCs/>
          <w:lang w:val="en-GB"/>
        </w:rPr>
        <w:t xml:space="preserve">cosmetic product </w:t>
      </w:r>
      <w:r w:rsidR="001C646B">
        <w:rPr>
          <w:rFonts w:asciiTheme="minorHAnsi" w:hAnsiTheme="minorHAnsi"/>
          <w:i/>
          <w:iCs/>
          <w:lang w:val="en-GB"/>
        </w:rPr>
        <w:t>vs.</w:t>
      </w:r>
      <w:r w:rsidRPr="005E0923">
        <w:rPr>
          <w:rFonts w:asciiTheme="minorHAnsi" w:hAnsiTheme="minorHAnsi"/>
          <w:i/>
          <w:iCs/>
          <w:lang w:val="en-GB"/>
        </w:rPr>
        <w:t xml:space="preserve"> food</w:t>
      </w:r>
    </w:p>
    <w:p w14:paraId="55501C41" w14:textId="33D36C76" w:rsidR="001F13A1" w:rsidRPr="005E0923" w:rsidRDefault="003E3E15" w:rsidP="00037B6F">
      <w:pPr>
        <w:jc w:val="both"/>
        <w:rPr>
          <w:rFonts w:asciiTheme="minorHAnsi" w:hAnsiTheme="minorHAnsi"/>
          <w:lang w:val="en-GB"/>
        </w:rPr>
      </w:pPr>
      <w:r w:rsidRPr="005E0923">
        <w:rPr>
          <w:rFonts w:asciiTheme="minorHAnsi" w:hAnsiTheme="minorHAnsi"/>
          <w:lang w:val="en-GB"/>
        </w:rPr>
        <w:t xml:space="preserve">A landmark decision in </w:t>
      </w:r>
      <w:r w:rsidR="001B5BFE" w:rsidRPr="005E0923">
        <w:rPr>
          <w:rFonts w:asciiTheme="minorHAnsi" w:hAnsiTheme="minorHAnsi"/>
          <w:lang w:val="en-GB"/>
        </w:rPr>
        <w:t xml:space="preserve">this context </w:t>
      </w:r>
      <w:r w:rsidRPr="005E0923">
        <w:rPr>
          <w:rFonts w:asciiTheme="minorHAnsi" w:hAnsiTheme="minorHAnsi"/>
          <w:lang w:val="en-GB"/>
        </w:rPr>
        <w:t xml:space="preserve">is the ruling of </w:t>
      </w:r>
      <w:r w:rsidR="001B5BFE" w:rsidRPr="005E0923">
        <w:rPr>
          <w:rFonts w:asciiTheme="minorHAnsi" w:hAnsiTheme="minorHAnsi"/>
          <w:lang w:val="en-GB"/>
        </w:rPr>
        <w:t xml:space="preserve">the Administrative Court of Hamburg </w:t>
      </w:r>
      <w:r w:rsidR="00C13339" w:rsidRPr="005E0923">
        <w:rPr>
          <w:rFonts w:asciiTheme="minorHAnsi" w:hAnsiTheme="minorHAnsi"/>
          <w:lang w:val="en-GB"/>
        </w:rPr>
        <w:t>dated March 16, 2022.</w:t>
      </w:r>
      <w:r w:rsidR="00C13339" w:rsidRPr="005E0923">
        <w:rPr>
          <w:rStyle w:val="Funotenzeichen"/>
          <w:rFonts w:asciiTheme="minorHAnsi" w:hAnsiTheme="minorHAnsi"/>
          <w:lang w:val="en-GB"/>
        </w:rPr>
        <w:footnoteReference w:id="43"/>
      </w:r>
      <w:r w:rsidR="001B5BFE" w:rsidRPr="005E0923">
        <w:rPr>
          <w:rFonts w:asciiTheme="minorHAnsi" w:hAnsiTheme="minorHAnsi"/>
          <w:lang w:val="en-GB"/>
        </w:rPr>
        <w:t xml:space="preserve"> The Administrative Court of Hamburg restored the suspensive effect of the objection filed against a</w:t>
      </w:r>
      <w:r w:rsidR="00165C8E" w:rsidRPr="005E0923">
        <w:rPr>
          <w:rFonts w:asciiTheme="minorHAnsi" w:hAnsiTheme="minorHAnsi"/>
          <w:lang w:val="en-GB"/>
        </w:rPr>
        <w:t>n</w:t>
      </w:r>
      <w:r w:rsidR="001B5BFE" w:rsidRPr="005E0923">
        <w:rPr>
          <w:rFonts w:asciiTheme="minorHAnsi" w:hAnsiTheme="minorHAnsi"/>
          <w:lang w:val="en-GB"/>
        </w:rPr>
        <w:t xml:space="preserve"> </w:t>
      </w:r>
      <w:r w:rsidR="00165C8E" w:rsidRPr="005E0923">
        <w:rPr>
          <w:rFonts w:asciiTheme="minorHAnsi" w:hAnsiTheme="minorHAnsi"/>
          <w:lang w:val="en-GB"/>
        </w:rPr>
        <w:t>administrative ban on sale</w:t>
      </w:r>
      <w:r w:rsidR="001B5BFE" w:rsidRPr="005E0923">
        <w:rPr>
          <w:rFonts w:asciiTheme="minorHAnsi" w:hAnsiTheme="minorHAnsi"/>
          <w:lang w:val="en-GB"/>
        </w:rPr>
        <w:t xml:space="preserve"> for </w:t>
      </w:r>
      <w:proofErr w:type="gramStart"/>
      <w:r w:rsidR="001B5BFE" w:rsidRPr="005E0923">
        <w:rPr>
          <w:rFonts w:asciiTheme="minorHAnsi" w:hAnsiTheme="minorHAnsi"/>
          <w:lang w:val="en-GB"/>
        </w:rPr>
        <w:t>a cosmetic</w:t>
      </w:r>
      <w:proofErr w:type="gramEnd"/>
      <w:r w:rsidR="001B5BFE" w:rsidRPr="005E0923">
        <w:rPr>
          <w:rFonts w:asciiTheme="minorHAnsi" w:hAnsiTheme="minorHAnsi"/>
          <w:lang w:val="en-GB"/>
        </w:rPr>
        <w:t xml:space="preserve"> oral care oil on the following grounds </w:t>
      </w:r>
      <w:r w:rsidR="005A70E1" w:rsidRPr="005E0923">
        <w:rPr>
          <w:rFonts w:asciiTheme="minorHAnsi" w:hAnsiTheme="minorHAnsi"/>
          <w:lang w:val="en-GB"/>
        </w:rPr>
        <w:t>based on European primary law.</w:t>
      </w:r>
    </w:p>
    <w:p w14:paraId="7D58BDE7" w14:textId="77777777" w:rsidR="001F13A1" w:rsidRPr="005E0923" w:rsidRDefault="003E3E15" w:rsidP="00037B6F">
      <w:pPr>
        <w:jc w:val="both"/>
        <w:rPr>
          <w:rFonts w:asciiTheme="minorHAnsi" w:hAnsiTheme="minorHAnsi"/>
          <w:lang w:val="en-GB"/>
        </w:rPr>
      </w:pPr>
      <w:r w:rsidRPr="005E0923">
        <w:rPr>
          <w:rFonts w:asciiTheme="minorHAnsi" w:hAnsiTheme="minorHAnsi"/>
          <w:lang w:val="en-GB"/>
        </w:rPr>
        <w:t>On the one hand, the court granted the product the property of a cosmetic, contrary to the opinion of the authority. This is because any absorption via the oral mucosa is not sufficient for the required constituent element of "ingestion" within the meaning of Article 2(1) of Regulation (EC) No 178/2002, the European Food Regulation. The court states in its decision on page 10 as follows:</w:t>
      </w:r>
    </w:p>
    <w:p w14:paraId="507A5462" w14:textId="419C0468" w:rsidR="001F13A1" w:rsidRPr="005E0923" w:rsidRDefault="003E3E15" w:rsidP="00037B6F">
      <w:pPr>
        <w:ind w:left="709"/>
        <w:jc w:val="both"/>
        <w:rPr>
          <w:rFonts w:asciiTheme="minorHAnsi" w:hAnsiTheme="minorHAnsi" w:cstheme="minorHAnsi"/>
          <w:lang w:val="en-GB"/>
        </w:rPr>
      </w:pPr>
      <w:r w:rsidRPr="005E0923">
        <w:rPr>
          <w:rFonts w:asciiTheme="minorHAnsi" w:hAnsiTheme="minorHAnsi" w:cstheme="minorHAnsi"/>
          <w:i/>
          <w:iCs/>
          <w:lang w:val="en-GB"/>
        </w:rPr>
        <w:t>"Based on this definition, the oral oils at issue are not foodstuffs, even if it is assumed that they are absorbed via the oral mucosa when used as intended. Contrary to the view of the d</w:t>
      </w:r>
      <w:r w:rsidRPr="005E0923">
        <w:rPr>
          <w:rFonts w:asciiTheme="minorHAnsi" w:hAnsiTheme="minorHAnsi" w:cstheme="minorHAnsi"/>
          <w:i/>
          <w:iCs/>
          <w:lang w:val="en-GB"/>
        </w:rPr>
        <w:t>e</w:t>
      </w:r>
      <w:r w:rsidRPr="005E0923">
        <w:rPr>
          <w:rFonts w:asciiTheme="minorHAnsi" w:hAnsiTheme="minorHAnsi" w:cstheme="minorHAnsi"/>
          <w:i/>
          <w:iCs/>
          <w:lang w:val="en-GB"/>
        </w:rPr>
        <w:t xml:space="preserve">fendant, the term "ingestion" within the meaning of Article 2 (1) of Regulation (EC) No. 178/2002 does not include any absorption via the oral mucosa (see also </w:t>
      </w:r>
      <w:r w:rsidR="009118BE">
        <w:rPr>
          <w:rFonts w:asciiTheme="minorHAnsi" w:hAnsiTheme="minorHAnsi" w:cstheme="minorHAnsi"/>
          <w:i/>
          <w:iCs/>
          <w:lang w:val="en-GB"/>
        </w:rPr>
        <w:t>Higher Administr</w:t>
      </w:r>
      <w:r w:rsidR="009118BE">
        <w:rPr>
          <w:rFonts w:asciiTheme="minorHAnsi" w:hAnsiTheme="minorHAnsi" w:cstheme="minorHAnsi"/>
          <w:i/>
          <w:iCs/>
          <w:lang w:val="en-GB"/>
        </w:rPr>
        <w:t>a</w:t>
      </w:r>
      <w:r w:rsidR="009118BE">
        <w:rPr>
          <w:rFonts w:asciiTheme="minorHAnsi" w:hAnsiTheme="minorHAnsi" w:cstheme="minorHAnsi"/>
          <w:i/>
          <w:iCs/>
          <w:lang w:val="en-GB"/>
        </w:rPr>
        <w:t>tive Court [</w:t>
      </w:r>
      <w:r w:rsidRPr="005E0923">
        <w:rPr>
          <w:rFonts w:asciiTheme="minorHAnsi" w:hAnsiTheme="minorHAnsi" w:cstheme="minorHAnsi"/>
          <w:i/>
          <w:iCs/>
          <w:lang w:val="en-GB"/>
        </w:rPr>
        <w:t>OVG</w:t>
      </w:r>
      <w:r w:rsidR="009118BE">
        <w:rPr>
          <w:rFonts w:asciiTheme="minorHAnsi" w:hAnsiTheme="minorHAnsi" w:cstheme="minorHAnsi"/>
          <w:i/>
          <w:iCs/>
          <w:lang w:val="en-GB"/>
        </w:rPr>
        <w:t>]</w:t>
      </w:r>
      <w:r w:rsidRPr="005E0923">
        <w:rPr>
          <w:rFonts w:asciiTheme="minorHAnsi" w:hAnsiTheme="minorHAnsi" w:cstheme="minorHAnsi"/>
          <w:i/>
          <w:iCs/>
          <w:lang w:val="en-GB"/>
        </w:rPr>
        <w:t xml:space="preserve"> </w:t>
      </w:r>
      <w:proofErr w:type="spellStart"/>
      <w:r w:rsidRPr="005E0923">
        <w:rPr>
          <w:rFonts w:asciiTheme="minorHAnsi" w:hAnsiTheme="minorHAnsi" w:cstheme="minorHAnsi"/>
          <w:i/>
          <w:iCs/>
          <w:lang w:val="en-GB"/>
        </w:rPr>
        <w:t>Lüneburg</w:t>
      </w:r>
      <w:proofErr w:type="spellEnd"/>
      <w:r w:rsidRPr="005E0923">
        <w:rPr>
          <w:rFonts w:asciiTheme="minorHAnsi" w:hAnsiTheme="minorHAnsi" w:cstheme="minorHAnsi"/>
          <w:i/>
          <w:iCs/>
          <w:lang w:val="en-GB"/>
        </w:rPr>
        <w:t xml:space="preserve">, decision of February 9, 2021, 13 ME 580/20, juris, </w:t>
      </w:r>
      <w:r w:rsidR="009118BE">
        <w:rPr>
          <w:rFonts w:asciiTheme="minorHAnsi" w:hAnsiTheme="minorHAnsi" w:cstheme="minorHAnsi"/>
          <w:i/>
          <w:iCs/>
          <w:lang w:val="en-GB"/>
        </w:rPr>
        <w:t>recit</w:t>
      </w:r>
      <w:r w:rsidRPr="005E0923">
        <w:rPr>
          <w:rFonts w:asciiTheme="minorHAnsi" w:hAnsiTheme="minorHAnsi" w:cstheme="minorHAnsi"/>
          <w:i/>
          <w:iCs/>
          <w:lang w:val="en-GB"/>
        </w:rPr>
        <w:t xml:space="preserve">al no. 24; </w:t>
      </w:r>
      <w:r w:rsidR="009118BE">
        <w:rPr>
          <w:rFonts w:asciiTheme="minorHAnsi" w:hAnsiTheme="minorHAnsi" w:cstheme="minorHAnsi"/>
          <w:i/>
          <w:iCs/>
          <w:lang w:val="en-GB"/>
        </w:rPr>
        <w:t>Administrative Court [</w:t>
      </w:r>
      <w:r w:rsidRPr="005E0923">
        <w:rPr>
          <w:rFonts w:asciiTheme="minorHAnsi" w:hAnsiTheme="minorHAnsi" w:cstheme="minorHAnsi"/>
          <w:i/>
          <w:iCs/>
          <w:lang w:val="en-GB"/>
        </w:rPr>
        <w:t>VG</w:t>
      </w:r>
      <w:r w:rsidR="009118BE">
        <w:rPr>
          <w:rFonts w:asciiTheme="minorHAnsi" w:hAnsiTheme="minorHAnsi" w:cstheme="minorHAnsi"/>
          <w:i/>
          <w:iCs/>
          <w:lang w:val="en-GB"/>
        </w:rPr>
        <w:t>]</w:t>
      </w:r>
      <w:r w:rsidRPr="005E0923">
        <w:rPr>
          <w:rFonts w:asciiTheme="minorHAnsi" w:hAnsiTheme="minorHAnsi" w:cstheme="minorHAnsi"/>
          <w:i/>
          <w:iCs/>
          <w:lang w:val="en-GB"/>
        </w:rPr>
        <w:t xml:space="preserve"> Augsburg, decision of June 19, 2020, Au 9 S 20.847, juris, </w:t>
      </w:r>
      <w:r w:rsidR="009118BE">
        <w:rPr>
          <w:rFonts w:asciiTheme="minorHAnsi" w:hAnsiTheme="minorHAnsi" w:cstheme="minorHAnsi"/>
          <w:i/>
          <w:iCs/>
          <w:lang w:val="en-GB"/>
        </w:rPr>
        <w:t>recit</w:t>
      </w:r>
      <w:r w:rsidRPr="005E0923">
        <w:rPr>
          <w:rFonts w:asciiTheme="minorHAnsi" w:hAnsiTheme="minorHAnsi" w:cstheme="minorHAnsi"/>
          <w:i/>
          <w:iCs/>
          <w:lang w:val="en-GB"/>
        </w:rPr>
        <w:t>al no. 40). Ingestion in the aforementioned sense rather requires that the substances or products in question enter the human body via the gastrointestinal tract when used as intended or e</w:t>
      </w:r>
      <w:r w:rsidRPr="005E0923">
        <w:rPr>
          <w:rFonts w:asciiTheme="minorHAnsi" w:hAnsiTheme="minorHAnsi" w:cstheme="minorHAnsi"/>
          <w:i/>
          <w:iCs/>
          <w:lang w:val="en-GB"/>
        </w:rPr>
        <w:t>x</w:t>
      </w:r>
      <w:r w:rsidRPr="005E0923">
        <w:rPr>
          <w:rFonts w:asciiTheme="minorHAnsi" w:hAnsiTheme="minorHAnsi" w:cstheme="minorHAnsi"/>
          <w:i/>
          <w:iCs/>
          <w:lang w:val="en-GB"/>
        </w:rPr>
        <w:t>pected (at least also and not merely to a marginal extent) (cf. on this and the f</w:t>
      </w:r>
      <w:r w:rsidR="005E0923">
        <w:rPr>
          <w:rFonts w:asciiTheme="minorHAnsi" w:hAnsiTheme="minorHAnsi" w:cstheme="minorHAnsi"/>
          <w:i/>
          <w:iCs/>
          <w:lang w:val="en-GB"/>
        </w:rPr>
        <w:t xml:space="preserve">ollowing: </w:t>
      </w:r>
      <w:r w:rsidR="00C549D0">
        <w:rPr>
          <w:rFonts w:asciiTheme="minorHAnsi" w:hAnsiTheme="minorHAnsi" w:cstheme="minorHAnsi"/>
          <w:i/>
          <w:iCs/>
          <w:lang w:val="en-GB"/>
        </w:rPr>
        <w:t>Hig</w:t>
      </w:r>
      <w:r w:rsidR="00C549D0">
        <w:rPr>
          <w:rFonts w:asciiTheme="minorHAnsi" w:hAnsiTheme="minorHAnsi" w:cstheme="minorHAnsi"/>
          <w:i/>
          <w:iCs/>
          <w:lang w:val="en-GB"/>
        </w:rPr>
        <w:t>h</w:t>
      </w:r>
      <w:r w:rsidR="00C549D0">
        <w:rPr>
          <w:rFonts w:asciiTheme="minorHAnsi" w:hAnsiTheme="minorHAnsi" w:cstheme="minorHAnsi"/>
          <w:i/>
          <w:iCs/>
          <w:lang w:val="en-GB"/>
        </w:rPr>
        <w:t>er Administrative Court [</w:t>
      </w:r>
      <w:r w:rsidR="005E0923">
        <w:rPr>
          <w:rFonts w:asciiTheme="minorHAnsi" w:hAnsiTheme="minorHAnsi" w:cstheme="minorHAnsi"/>
          <w:i/>
          <w:iCs/>
          <w:lang w:val="en-GB"/>
        </w:rPr>
        <w:t>OVG</w:t>
      </w:r>
      <w:r w:rsidR="00C549D0">
        <w:rPr>
          <w:rFonts w:asciiTheme="minorHAnsi" w:hAnsiTheme="minorHAnsi" w:cstheme="minorHAnsi"/>
          <w:i/>
          <w:iCs/>
          <w:lang w:val="en-GB"/>
        </w:rPr>
        <w:t>]</w:t>
      </w:r>
      <w:r w:rsidR="005E0923">
        <w:rPr>
          <w:rFonts w:asciiTheme="minorHAnsi" w:hAnsiTheme="minorHAnsi" w:cstheme="minorHAnsi"/>
          <w:i/>
          <w:iCs/>
          <w:lang w:val="en-GB"/>
        </w:rPr>
        <w:t xml:space="preserve"> Hamburg, decision</w:t>
      </w:r>
      <w:r w:rsidRPr="005E0923">
        <w:rPr>
          <w:rFonts w:asciiTheme="minorHAnsi" w:hAnsiTheme="minorHAnsi" w:cstheme="minorHAnsi"/>
          <w:i/>
          <w:iCs/>
          <w:lang w:val="en-GB"/>
        </w:rPr>
        <w:t xml:space="preserve"> </w:t>
      </w:r>
      <w:r w:rsidR="005E0923">
        <w:rPr>
          <w:rFonts w:asciiTheme="minorHAnsi" w:hAnsiTheme="minorHAnsi" w:cstheme="minorHAnsi"/>
          <w:i/>
          <w:iCs/>
          <w:lang w:val="en-GB"/>
        </w:rPr>
        <w:t>dated</w:t>
      </w:r>
      <w:r w:rsidRPr="005E0923">
        <w:rPr>
          <w:rFonts w:asciiTheme="minorHAnsi" w:hAnsiTheme="minorHAnsi" w:cstheme="minorHAnsi"/>
          <w:i/>
          <w:iCs/>
          <w:lang w:val="en-GB"/>
        </w:rPr>
        <w:t xml:space="preserve"> 19.</w:t>
      </w:r>
      <w:r w:rsidR="005E0923">
        <w:rPr>
          <w:rFonts w:asciiTheme="minorHAnsi" w:hAnsiTheme="minorHAnsi" w:cstheme="minorHAnsi"/>
          <w:i/>
          <w:iCs/>
          <w:lang w:val="en-GB"/>
        </w:rPr>
        <w:t>0</w:t>
      </w:r>
      <w:r w:rsidRPr="005E0923">
        <w:rPr>
          <w:rFonts w:asciiTheme="minorHAnsi" w:hAnsiTheme="minorHAnsi" w:cstheme="minorHAnsi"/>
          <w:i/>
          <w:iCs/>
          <w:lang w:val="en-GB"/>
        </w:rPr>
        <w:t xml:space="preserve">8.2021, 5 </w:t>
      </w:r>
      <w:proofErr w:type="spellStart"/>
      <w:r w:rsidRPr="005E0923">
        <w:rPr>
          <w:rFonts w:asciiTheme="minorHAnsi" w:hAnsiTheme="minorHAnsi" w:cstheme="minorHAnsi"/>
          <w:i/>
          <w:iCs/>
          <w:lang w:val="en-GB"/>
        </w:rPr>
        <w:t>Bs</w:t>
      </w:r>
      <w:proofErr w:type="spellEnd"/>
      <w:r w:rsidRPr="005E0923">
        <w:rPr>
          <w:rFonts w:asciiTheme="minorHAnsi" w:hAnsiTheme="minorHAnsi" w:cstheme="minorHAnsi"/>
          <w:i/>
          <w:iCs/>
          <w:lang w:val="en-GB"/>
        </w:rPr>
        <w:t xml:space="preserve"> 56/21, juris Ls. 1, </w:t>
      </w:r>
      <w:r w:rsidR="00C549D0">
        <w:rPr>
          <w:rFonts w:asciiTheme="minorHAnsi" w:hAnsiTheme="minorHAnsi" w:cstheme="minorHAnsi"/>
          <w:i/>
          <w:iCs/>
          <w:lang w:val="en-GB"/>
        </w:rPr>
        <w:t>r</w:t>
      </w:r>
      <w:r w:rsidR="00C549D0">
        <w:rPr>
          <w:rFonts w:asciiTheme="minorHAnsi" w:hAnsiTheme="minorHAnsi" w:cstheme="minorHAnsi"/>
          <w:i/>
          <w:iCs/>
          <w:lang w:val="en-GB"/>
        </w:rPr>
        <w:t>e</w:t>
      </w:r>
      <w:r w:rsidR="00C549D0">
        <w:rPr>
          <w:rFonts w:asciiTheme="minorHAnsi" w:hAnsiTheme="minorHAnsi" w:cstheme="minorHAnsi"/>
          <w:i/>
          <w:iCs/>
          <w:lang w:val="en-GB"/>
        </w:rPr>
        <w:t>cit</w:t>
      </w:r>
      <w:r w:rsidRPr="005E0923">
        <w:rPr>
          <w:rFonts w:asciiTheme="minorHAnsi" w:hAnsiTheme="minorHAnsi" w:cstheme="minorHAnsi"/>
          <w:i/>
          <w:iCs/>
          <w:lang w:val="en-GB"/>
        </w:rPr>
        <w:t xml:space="preserve">al no. 20 ff.). </w:t>
      </w:r>
      <w:r w:rsidRPr="005E0923">
        <w:rPr>
          <w:rFonts w:asciiTheme="minorHAnsi" w:hAnsiTheme="minorHAnsi" w:cstheme="minorHAnsi"/>
          <w:lang w:val="en-GB"/>
        </w:rPr>
        <w:t>This understanding results on the one hand from the legislative history of A</w:t>
      </w:r>
      <w:r w:rsidRPr="005E0923">
        <w:rPr>
          <w:rFonts w:asciiTheme="minorHAnsi" w:hAnsiTheme="minorHAnsi" w:cstheme="minorHAnsi"/>
          <w:lang w:val="en-GB"/>
        </w:rPr>
        <w:t>r</w:t>
      </w:r>
      <w:r w:rsidRPr="005E0923">
        <w:rPr>
          <w:rFonts w:asciiTheme="minorHAnsi" w:hAnsiTheme="minorHAnsi" w:cstheme="minorHAnsi"/>
          <w:lang w:val="en-GB"/>
        </w:rPr>
        <w:t xml:space="preserve">ticle 2 (1) of Regulation (EC) No. 178/2002. </w:t>
      </w:r>
    </w:p>
    <w:p w14:paraId="00040B0C" w14:textId="460C29C2" w:rsidR="001F13A1" w:rsidRPr="005E0923" w:rsidRDefault="002609DB" w:rsidP="00037B6F">
      <w:pPr>
        <w:ind w:left="709"/>
        <w:jc w:val="both"/>
        <w:rPr>
          <w:rFonts w:asciiTheme="minorHAnsi" w:hAnsiTheme="minorHAnsi" w:cstheme="minorHAnsi"/>
          <w:i/>
          <w:iCs/>
          <w:lang w:val="en-GB"/>
        </w:rPr>
      </w:pPr>
      <w:r w:rsidRPr="005E0923">
        <w:rPr>
          <w:rFonts w:asciiTheme="minorHAnsi" w:hAnsiTheme="minorHAnsi" w:cstheme="minorHAnsi"/>
          <w:i/>
          <w:iCs/>
          <w:lang w:val="en-GB"/>
        </w:rPr>
        <w:t xml:space="preserve">Furthermore, according to the Green Paper of the EU Commission of April 30, 1997 ("General Principles of Food Law in the European Union", published at </w:t>
      </w:r>
      <w:hyperlink r:id="rId10" w:history="1">
        <w:r w:rsidR="00D569C9" w:rsidRPr="004D7E5C">
          <w:rPr>
            <w:rStyle w:val="Hyperlink"/>
            <w:rFonts w:asciiTheme="minorHAnsi" w:hAnsiTheme="minorHAnsi" w:cstheme="minorHAnsi"/>
            <w:i/>
            <w:iCs/>
            <w:lang w:val="en-GB"/>
          </w:rPr>
          <w:t>https://eur-lex.europa.eu/legal-con-tent/DE/TXT/PDF/?uri=CELEX:51997DC0176&amp;from=EN</w:t>
        </w:r>
      </w:hyperlink>
      <w:r w:rsidRPr="005E0923">
        <w:rPr>
          <w:rFonts w:asciiTheme="minorHAnsi" w:hAnsiTheme="minorHAnsi" w:cstheme="minorHAnsi"/>
          <w:i/>
          <w:iCs/>
          <w:lang w:val="en-GB"/>
        </w:rPr>
        <w:t>),</w:t>
      </w:r>
      <w:r w:rsidR="00D569C9">
        <w:rPr>
          <w:rFonts w:asciiTheme="minorHAnsi" w:hAnsiTheme="minorHAnsi" w:cstheme="minorHAnsi"/>
          <w:i/>
          <w:iCs/>
          <w:lang w:val="en-GB"/>
        </w:rPr>
        <w:t xml:space="preserve"> </w:t>
      </w:r>
      <w:r w:rsidRPr="005E0923">
        <w:rPr>
          <w:rFonts w:asciiTheme="minorHAnsi" w:hAnsiTheme="minorHAnsi" w:cstheme="minorHAnsi"/>
          <w:i/>
          <w:iCs/>
          <w:lang w:val="en-GB"/>
        </w:rPr>
        <w:t xml:space="preserve">which was a basis of Regulation (EC) No. 178/2002 and which, among other things aimed at defining the concept of "food" at Community level (op. cit. p. viii and p. 28), the term "human intake" was chosen to cover all products that pass through the gastrointestinal tract, including all substances ingested by mouth or nose or administered by gastric intubation. In contrast, products introduced directly into the bloodstream by parenteral route should not be covered by this definition (op. cit. p. 28). </w:t>
      </w:r>
    </w:p>
    <w:p w14:paraId="36287DDD" w14:textId="265F37BF" w:rsidR="001F13A1" w:rsidRPr="005E0923" w:rsidRDefault="003E3E15" w:rsidP="00037B6F">
      <w:pPr>
        <w:ind w:left="709"/>
        <w:jc w:val="both"/>
        <w:rPr>
          <w:rFonts w:asciiTheme="minorHAnsi" w:hAnsiTheme="minorHAnsi" w:cstheme="minorHAnsi"/>
          <w:i/>
          <w:iCs/>
          <w:lang w:val="en-GB"/>
        </w:rPr>
      </w:pPr>
      <w:r w:rsidRPr="005E0923">
        <w:rPr>
          <w:rFonts w:asciiTheme="minorHAnsi" w:hAnsiTheme="minorHAnsi" w:cstheme="minorHAnsi"/>
          <w:i/>
          <w:iCs/>
          <w:lang w:val="en-GB"/>
        </w:rPr>
        <w:lastRenderedPageBreak/>
        <w:t>This makes it clear that the Commission associated the concept of ingestion with the notion that</w:t>
      </w:r>
      <w:r w:rsidR="00512685">
        <w:rPr>
          <w:rFonts w:asciiTheme="minorHAnsi" w:hAnsiTheme="minorHAnsi" w:cstheme="minorHAnsi"/>
          <w:i/>
          <w:iCs/>
          <w:lang w:val="en-GB"/>
        </w:rPr>
        <w:t xml:space="preserve"> food substances </w:t>
      </w:r>
      <w:r w:rsidR="00512685" w:rsidRPr="005E0923">
        <w:rPr>
          <w:rFonts w:asciiTheme="minorHAnsi" w:hAnsiTheme="minorHAnsi" w:cstheme="minorHAnsi"/>
          <w:i/>
          <w:iCs/>
          <w:lang w:val="en-GB"/>
        </w:rPr>
        <w:t xml:space="preserve">should in any case </w:t>
      </w:r>
      <w:r w:rsidR="00512685" w:rsidRPr="005E0923">
        <w:rPr>
          <w:rFonts w:asciiTheme="minorHAnsi" w:hAnsiTheme="minorHAnsi" w:cstheme="minorHAnsi"/>
          <w:i/>
          <w:iCs/>
          <w:u w:val="single"/>
          <w:lang w:val="en-GB"/>
        </w:rPr>
        <w:t>pass through the gastrointestinal tract</w:t>
      </w:r>
      <w:r w:rsidRPr="005E0923">
        <w:rPr>
          <w:rFonts w:asciiTheme="minorHAnsi" w:hAnsiTheme="minorHAnsi" w:cstheme="minorHAnsi"/>
          <w:i/>
          <w:iCs/>
          <w:lang w:val="en-GB"/>
        </w:rPr>
        <w:t xml:space="preserve">, while the manner in which the substances are delivered to the interior of the body (e.g., through the mouth or nose) is </w:t>
      </w:r>
      <w:r w:rsidR="00425D1A" w:rsidRPr="005E0923">
        <w:rPr>
          <w:rFonts w:asciiTheme="minorHAnsi" w:hAnsiTheme="minorHAnsi" w:cstheme="minorHAnsi"/>
          <w:i/>
          <w:iCs/>
          <w:lang w:val="en-GB"/>
        </w:rPr>
        <w:t>irrelevant.</w:t>
      </w:r>
      <w:r w:rsidRPr="005E0923">
        <w:rPr>
          <w:rFonts w:asciiTheme="minorHAnsi" w:hAnsiTheme="minorHAnsi" w:cstheme="minorHAnsi"/>
          <w:i/>
          <w:iCs/>
          <w:lang w:val="en-GB"/>
        </w:rPr>
        <w:t>"</w:t>
      </w:r>
    </w:p>
    <w:p w14:paraId="4A714B19" w14:textId="17F8F97A" w:rsidR="001F13A1" w:rsidRPr="005E0923" w:rsidRDefault="003E3E15" w:rsidP="00037B6F">
      <w:pPr>
        <w:jc w:val="both"/>
        <w:rPr>
          <w:rFonts w:asciiTheme="minorHAnsi" w:hAnsiTheme="minorHAnsi" w:cstheme="minorHAnsi"/>
          <w:lang w:val="en-GB"/>
        </w:rPr>
      </w:pPr>
      <w:proofErr w:type="gramStart"/>
      <w:r w:rsidRPr="005E0923">
        <w:rPr>
          <w:rFonts w:asciiTheme="minorHAnsi" w:hAnsiTheme="minorHAnsi" w:cstheme="minorHAnsi"/>
          <w:lang w:val="en-GB"/>
        </w:rPr>
        <w:t xml:space="preserve">The </w:t>
      </w:r>
      <w:r w:rsidR="009A171A">
        <w:rPr>
          <w:rFonts w:asciiTheme="minorHAnsi" w:hAnsiTheme="minorHAnsi" w:cstheme="minorHAnsi"/>
          <w:lang w:val="en-GB"/>
        </w:rPr>
        <w:t>contradictory</w:t>
      </w:r>
      <w:r w:rsidRPr="005E0923">
        <w:rPr>
          <w:rFonts w:asciiTheme="minorHAnsi" w:hAnsiTheme="minorHAnsi" w:cstheme="minorHAnsi"/>
          <w:lang w:val="en-GB"/>
        </w:rPr>
        <w:t xml:space="preserve"> view of the administrative </w:t>
      </w:r>
      <w:r w:rsidR="004C344F" w:rsidRPr="005E0923">
        <w:rPr>
          <w:rFonts w:asciiTheme="minorHAnsi" w:hAnsiTheme="minorHAnsi" w:cstheme="minorHAnsi"/>
          <w:lang w:val="en-GB"/>
        </w:rPr>
        <w:t>courts</w:t>
      </w:r>
      <w:r w:rsidR="005E0923">
        <w:rPr>
          <w:rFonts w:asciiTheme="minorHAnsi" w:hAnsiTheme="minorHAnsi" w:cstheme="minorHAnsi"/>
          <w:lang w:val="en-GB"/>
        </w:rPr>
        <w:t xml:space="preserve"> cited by the Administrative Court</w:t>
      </w:r>
      <w:r w:rsidRPr="005E0923">
        <w:rPr>
          <w:rFonts w:asciiTheme="minorHAnsi" w:hAnsiTheme="minorHAnsi" w:cstheme="minorHAnsi"/>
          <w:lang w:val="en-GB"/>
        </w:rPr>
        <w:t xml:space="preserve"> </w:t>
      </w:r>
      <w:r w:rsidR="009A171A">
        <w:rPr>
          <w:rFonts w:asciiTheme="minorHAnsi" w:hAnsiTheme="minorHAnsi" w:cstheme="minorHAnsi"/>
          <w:lang w:val="en-GB"/>
        </w:rPr>
        <w:t xml:space="preserve">of </w:t>
      </w:r>
      <w:r w:rsidRPr="005E0923">
        <w:rPr>
          <w:rFonts w:asciiTheme="minorHAnsi" w:hAnsiTheme="minorHAnsi" w:cstheme="minorHAnsi"/>
          <w:lang w:val="en-GB"/>
        </w:rPr>
        <w:t xml:space="preserve">Hamburg, which is </w:t>
      </w:r>
      <w:r w:rsidR="001B5BFE" w:rsidRPr="005E0923">
        <w:rPr>
          <w:rFonts w:asciiTheme="minorHAnsi" w:hAnsiTheme="minorHAnsi" w:cstheme="minorHAnsi"/>
          <w:lang w:val="en-GB"/>
        </w:rPr>
        <w:t xml:space="preserve">also regularly </w:t>
      </w:r>
      <w:r w:rsidR="004C344F" w:rsidRPr="005E0923">
        <w:rPr>
          <w:rFonts w:asciiTheme="minorHAnsi" w:hAnsiTheme="minorHAnsi" w:cstheme="minorHAnsi"/>
          <w:lang w:val="en-GB"/>
        </w:rPr>
        <w:t xml:space="preserve">taken up by </w:t>
      </w:r>
      <w:r w:rsidR="001B5BFE" w:rsidRPr="005E0923">
        <w:rPr>
          <w:rFonts w:asciiTheme="minorHAnsi" w:hAnsiTheme="minorHAnsi" w:cstheme="minorHAnsi"/>
          <w:lang w:val="en-GB"/>
        </w:rPr>
        <w:t xml:space="preserve">various expert opinions of the authorities, </w:t>
      </w:r>
      <w:r w:rsidRPr="005E0923">
        <w:rPr>
          <w:rFonts w:asciiTheme="minorHAnsi" w:hAnsiTheme="minorHAnsi" w:cstheme="minorHAnsi"/>
          <w:lang w:val="en-GB"/>
        </w:rPr>
        <w:t xml:space="preserve">assumes that </w:t>
      </w:r>
      <w:r w:rsidR="001B5BFE" w:rsidRPr="005E0923">
        <w:rPr>
          <w:rFonts w:asciiTheme="minorHAnsi" w:hAnsiTheme="minorHAnsi" w:cstheme="minorHAnsi"/>
          <w:lang w:val="en-GB"/>
        </w:rPr>
        <w:t>all su</w:t>
      </w:r>
      <w:r w:rsidR="001B5BFE" w:rsidRPr="005E0923">
        <w:rPr>
          <w:rFonts w:asciiTheme="minorHAnsi" w:hAnsiTheme="minorHAnsi" w:cstheme="minorHAnsi"/>
          <w:lang w:val="en-GB"/>
        </w:rPr>
        <w:t>b</w:t>
      </w:r>
      <w:r w:rsidR="001B5BFE" w:rsidRPr="005E0923">
        <w:rPr>
          <w:rFonts w:asciiTheme="minorHAnsi" w:hAnsiTheme="minorHAnsi" w:cstheme="minorHAnsi"/>
          <w:lang w:val="en-GB"/>
        </w:rPr>
        <w:t xml:space="preserve">stances absorbed into the body through mouth or nose necessarily </w:t>
      </w:r>
      <w:r w:rsidR="009A171A" w:rsidRPr="005E0923">
        <w:rPr>
          <w:rFonts w:asciiTheme="minorHAnsi" w:hAnsiTheme="minorHAnsi" w:cstheme="minorHAnsi"/>
          <w:lang w:val="en-GB"/>
        </w:rPr>
        <w:t xml:space="preserve">enter </w:t>
      </w:r>
      <w:r w:rsidR="001B5BFE" w:rsidRPr="005E0923">
        <w:rPr>
          <w:rFonts w:asciiTheme="minorHAnsi" w:hAnsiTheme="minorHAnsi" w:cstheme="minorHAnsi"/>
          <w:lang w:val="en-GB"/>
        </w:rPr>
        <w:t>- at least in part - the ga</w:t>
      </w:r>
      <w:r w:rsidR="001B5BFE" w:rsidRPr="005E0923">
        <w:rPr>
          <w:rFonts w:asciiTheme="minorHAnsi" w:hAnsiTheme="minorHAnsi" w:cstheme="minorHAnsi"/>
          <w:lang w:val="en-GB"/>
        </w:rPr>
        <w:t>s</w:t>
      </w:r>
      <w:r w:rsidR="001B5BFE" w:rsidRPr="005E0923">
        <w:rPr>
          <w:rFonts w:asciiTheme="minorHAnsi" w:hAnsiTheme="minorHAnsi" w:cstheme="minorHAnsi"/>
          <w:lang w:val="en-GB"/>
        </w:rPr>
        <w:t>trointestinal tract.</w:t>
      </w:r>
      <w:proofErr w:type="gramEnd"/>
      <w:r w:rsidR="001B5BFE" w:rsidRPr="005E0923">
        <w:rPr>
          <w:rFonts w:asciiTheme="minorHAnsi" w:hAnsiTheme="minorHAnsi" w:cstheme="minorHAnsi"/>
          <w:lang w:val="en-GB"/>
        </w:rPr>
        <w:t xml:space="preserve"> Therefore, all substances that are absorbed by people through the mouth or nose </w:t>
      </w:r>
      <w:r w:rsidR="00E01C98">
        <w:rPr>
          <w:rFonts w:asciiTheme="minorHAnsi" w:hAnsiTheme="minorHAnsi" w:cstheme="minorHAnsi"/>
          <w:lang w:val="en-GB"/>
        </w:rPr>
        <w:t>we</w:t>
      </w:r>
      <w:r w:rsidR="001B5BFE" w:rsidRPr="005E0923">
        <w:rPr>
          <w:rFonts w:asciiTheme="minorHAnsi" w:hAnsiTheme="minorHAnsi" w:cstheme="minorHAnsi"/>
          <w:lang w:val="en-GB"/>
        </w:rPr>
        <w:t xml:space="preserve">re covered by the food definition. </w:t>
      </w:r>
    </w:p>
    <w:p w14:paraId="775ACE2D" w14:textId="39C7E058"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This interpretation is inadequate in literal, historical and systematic interpretation</w:t>
      </w:r>
      <w:r w:rsidR="00DA3429">
        <w:rPr>
          <w:rFonts w:asciiTheme="minorHAnsi" w:hAnsiTheme="minorHAnsi" w:cstheme="minorHAnsi"/>
          <w:lang w:val="en-GB"/>
        </w:rPr>
        <w:t>,</w:t>
      </w:r>
      <w:r w:rsidR="007A6F85" w:rsidRPr="007A6F85">
        <w:rPr>
          <w:rFonts w:asciiTheme="minorHAnsi" w:hAnsiTheme="minorHAnsi" w:cstheme="minorHAnsi"/>
          <w:lang w:val="en-GB"/>
        </w:rPr>
        <w:t xml:space="preserve"> </w:t>
      </w:r>
      <w:r w:rsidR="007A6F85" w:rsidRPr="005E0923">
        <w:rPr>
          <w:rFonts w:asciiTheme="minorHAnsi" w:hAnsiTheme="minorHAnsi" w:cstheme="minorHAnsi"/>
          <w:lang w:val="en-GB"/>
        </w:rPr>
        <w:t xml:space="preserve">as </w:t>
      </w:r>
      <w:r w:rsidR="007A6F85">
        <w:rPr>
          <w:rFonts w:asciiTheme="minorHAnsi" w:hAnsiTheme="minorHAnsi" w:cstheme="minorHAnsi"/>
          <w:lang w:val="en-GB"/>
        </w:rPr>
        <w:t>shown</w:t>
      </w:r>
      <w:r w:rsidR="007A6F85" w:rsidRPr="005E0923">
        <w:rPr>
          <w:rFonts w:asciiTheme="minorHAnsi" w:hAnsiTheme="minorHAnsi" w:cstheme="minorHAnsi"/>
          <w:lang w:val="en-GB"/>
        </w:rPr>
        <w:t xml:space="preserve"> in detail </w:t>
      </w:r>
      <w:r w:rsidR="007A6F85">
        <w:rPr>
          <w:rFonts w:asciiTheme="minorHAnsi" w:hAnsiTheme="minorHAnsi" w:cstheme="minorHAnsi"/>
          <w:lang w:val="en-GB"/>
        </w:rPr>
        <w:t xml:space="preserve">by </w:t>
      </w:r>
      <w:r w:rsidR="007A6F85" w:rsidRPr="005E0923">
        <w:rPr>
          <w:rFonts w:asciiTheme="minorHAnsi" w:hAnsiTheme="minorHAnsi" w:cstheme="minorHAnsi"/>
          <w:lang w:val="en-GB"/>
        </w:rPr>
        <w:t xml:space="preserve">the </w:t>
      </w:r>
      <w:r w:rsidR="00425D1A">
        <w:rPr>
          <w:rFonts w:asciiTheme="minorHAnsi" w:hAnsiTheme="minorHAnsi" w:cstheme="minorHAnsi"/>
          <w:lang w:val="en-GB"/>
        </w:rPr>
        <w:t>Administrative</w:t>
      </w:r>
      <w:r w:rsidR="007A6F85">
        <w:rPr>
          <w:rFonts w:asciiTheme="minorHAnsi" w:hAnsiTheme="minorHAnsi" w:cstheme="minorHAnsi"/>
          <w:lang w:val="en-GB"/>
        </w:rPr>
        <w:t xml:space="preserve"> Court</w:t>
      </w:r>
      <w:r w:rsidR="007A6F85" w:rsidRPr="005E0923">
        <w:rPr>
          <w:rFonts w:asciiTheme="minorHAnsi" w:hAnsiTheme="minorHAnsi" w:cstheme="minorHAnsi"/>
          <w:lang w:val="en-GB"/>
        </w:rPr>
        <w:t xml:space="preserve"> Hamburg in the cited decision</w:t>
      </w:r>
      <w:r w:rsidRPr="005E0923">
        <w:rPr>
          <w:rStyle w:val="Funotenzeichen"/>
          <w:rFonts w:asciiTheme="minorHAnsi" w:hAnsiTheme="minorHAnsi" w:cstheme="minorHAnsi"/>
          <w:lang w:val="en-GB"/>
        </w:rPr>
        <w:footnoteReference w:id="44"/>
      </w:r>
      <w:r w:rsidR="007A6F85">
        <w:rPr>
          <w:rFonts w:asciiTheme="minorHAnsi" w:hAnsiTheme="minorHAnsi" w:cstheme="minorHAnsi"/>
          <w:lang w:val="en-GB"/>
        </w:rPr>
        <w:t>.</w:t>
      </w:r>
      <w:r w:rsidRPr="005E0923">
        <w:rPr>
          <w:rFonts w:asciiTheme="minorHAnsi" w:hAnsiTheme="minorHAnsi" w:cstheme="minorHAnsi"/>
          <w:lang w:val="en-GB"/>
        </w:rPr>
        <w:t xml:space="preserve"> </w:t>
      </w:r>
      <w:r w:rsidR="005E0923" w:rsidRPr="005E0923">
        <w:rPr>
          <w:rFonts w:asciiTheme="minorHAnsi" w:hAnsiTheme="minorHAnsi" w:cstheme="minorHAnsi"/>
          <w:lang w:val="en-GB"/>
        </w:rPr>
        <w:t>Ingestion</w:t>
      </w:r>
      <w:r w:rsidRPr="005E0923">
        <w:rPr>
          <w:rFonts w:asciiTheme="minorHAnsi" w:hAnsiTheme="minorHAnsi" w:cstheme="minorHAnsi"/>
          <w:lang w:val="en-GB"/>
        </w:rPr>
        <w:t xml:space="preserve"> via the oral mucosa is precis</w:t>
      </w:r>
      <w:r w:rsidRPr="005E0923">
        <w:rPr>
          <w:rFonts w:asciiTheme="minorHAnsi" w:hAnsiTheme="minorHAnsi" w:cstheme="minorHAnsi"/>
          <w:lang w:val="en-GB"/>
        </w:rPr>
        <w:t>e</w:t>
      </w:r>
      <w:r w:rsidRPr="005E0923">
        <w:rPr>
          <w:rFonts w:asciiTheme="minorHAnsi" w:hAnsiTheme="minorHAnsi" w:cstheme="minorHAnsi"/>
          <w:lang w:val="en-GB"/>
        </w:rPr>
        <w:t xml:space="preserve">ly not sufficient to be considered </w:t>
      </w:r>
      <w:r w:rsidR="005E0923" w:rsidRPr="005E0923">
        <w:rPr>
          <w:rFonts w:asciiTheme="minorHAnsi" w:hAnsiTheme="minorHAnsi" w:cstheme="minorHAnsi"/>
          <w:lang w:val="en-GB"/>
        </w:rPr>
        <w:t>ingestion</w:t>
      </w:r>
      <w:r w:rsidRPr="005E0923">
        <w:rPr>
          <w:rFonts w:asciiTheme="minorHAnsi" w:hAnsiTheme="minorHAnsi" w:cstheme="minorHAnsi"/>
          <w:lang w:val="en-GB"/>
        </w:rPr>
        <w:t xml:space="preserve"> within the meaning of the </w:t>
      </w:r>
      <w:r w:rsidR="004C344F" w:rsidRPr="005E0923">
        <w:rPr>
          <w:rFonts w:asciiTheme="minorHAnsi" w:hAnsiTheme="minorHAnsi" w:cstheme="minorHAnsi"/>
          <w:lang w:val="en-GB"/>
        </w:rPr>
        <w:t>European Food Regulation.</w:t>
      </w:r>
    </w:p>
    <w:p w14:paraId="71A49B37" w14:textId="77777777"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 xml:space="preserve">b) Borderline Manual </w:t>
      </w:r>
    </w:p>
    <w:p w14:paraId="52E38B62" w14:textId="3DD9910E" w:rsidR="001F13A1" w:rsidRPr="005E0923" w:rsidRDefault="003E3E15" w:rsidP="00037B6F">
      <w:pPr>
        <w:pStyle w:val="Default"/>
        <w:jc w:val="both"/>
        <w:rPr>
          <w:color w:val="auto"/>
          <w:sz w:val="22"/>
          <w:szCs w:val="22"/>
          <w:lang w:val="en-GB"/>
        </w:rPr>
      </w:pPr>
      <w:r w:rsidRPr="005E0923">
        <w:rPr>
          <w:color w:val="auto"/>
          <w:sz w:val="22"/>
          <w:szCs w:val="22"/>
          <w:lang w:val="en-GB"/>
        </w:rPr>
        <w:t>In the manual of the Cosmetic Products Working Group (subgroup "</w:t>
      </w:r>
      <w:r w:rsidR="002609DB" w:rsidRPr="005E0923">
        <w:rPr>
          <w:color w:val="auto"/>
          <w:sz w:val="22"/>
          <w:szCs w:val="22"/>
          <w:lang w:val="en-GB"/>
        </w:rPr>
        <w:t>Borderline</w:t>
      </w:r>
      <w:r w:rsidRPr="005E0923">
        <w:rPr>
          <w:color w:val="auto"/>
          <w:sz w:val="22"/>
          <w:szCs w:val="22"/>
          <w:lang w:val="en-GB"/>
        </w:rPr>
        <w:t xml:space="preserve"> Products") on the scope of application of the </w:t>
      </w:r>
      <w:r w:rsidR="00345909">
        <w:rPr>
          <w:color w:val="auto"/>
          <w:sz w:val="22"/>
          <w:szCs w:val="22"/>
          <w:lang w:val="en-GB"/>
        </w:rPr>
        <w:t xml:space="preserve">European </w:t>
      </w:r>
      <w:r w:rsidRPr="005E0923">
        <w:rPr>
          <w:color w:val="auto"/>
          <w:sz w:val="22"/>
          <w:szCs w:val="22"/>
          <w:lang w:val="en-GB"/>
        </w:rPr>
        <w:t>Cosmetics Regulation, various delimitations of cosmetic pro</w:t>
      </w:r>
      <w:r w:rsidRPr="005E0923">
        <w:rPr>
          <w:color w:val="auto"/>
          <w:sz w:val="22"/>
          <w:szCs w:val="22"/>
          <w:lang w:val="en-GB"/>
        </w:rPr>
        <w:t>d</w:t>
      </w:r>
      <w:r w:rsidRPr="005E0923">
        <w:rPr>
          <w:color w:val="auto"/>
          <w:sz w:val="22"/>
          <w:szCs w:val="22"/>
          <w:lang w:val="en-GB"/>
        </w:rPr>
        <w:t xml:space="preserve">ucts from other product categories are made. The handbook is not an official document of the </w:t>
      </w:r>
      <w:r w:rsidR="00425D1A" w:rsidRPr="005E0923">
        <w:rPr>
          <w:color w:val="auto"/>
          <w:sz w:val="22"/>
          <w:szCs w:val="22"/>
          <w:lang w:val="en-GB"/>
        </w:rPr>
        <w:t>Co</w:t>
      </w:r>
      <w:r w:rsidR="00425D1A" w:rsidRPr="005E0923">
        <w:rPr>
          <w:color w:val="auto"/>
          <w:sz w:val="22"/>
          <w:szCs w:val="22"/>
          <w:lang w:val="en-GB"/>
        </w:rPr>
        <w:t>m</w:t>
      </w:r>
      <w:r w:rsidR="00425D1A" w:rsidRPr="005E0923">
        <w:rPr>
          <w:color w:val="auto"/>
          <w:sz w:val="22"/>
          <w:szCs w:val="22"/>
          <w:lang w:val="en-GB"/>
        </w:rPr>
        <w:t>mission but</w:t>
      </w:r>
      <w:r w:rsidRPr="005E0923">
        <w:rPr>
          <w:color w:val="auto"/>
          <w:sz w:val="22"/>
          <w:szCs w:val="22"/>
          <w:lang w:val="en-GB"/>
        </w:rPr>
        <w:t xml:space="preserve"> is intended to serve as a working aid in individual case decisions on the applicability of </w:t>
      </w:r>
      <w:r w:rsidR="009F4801" w:rsidRPr="005E0923">
        <w:rPr>
          <w:color w:val="auto"/>
          <w:sz w:val="22"/>
          <w:szCs w:val="22"/>
          <w:lang w:val="en-GB"/>
        </w:rPr>
        <w:t>EU</w:t>
      </w:r>
      <w:r w:rsidRPr="005E0923">
        <w:rPr>
          <w:color w:val="auto"/>
          <w:sz w:val="22"/>
          <w:szCs w:val="22"/>
          <w:lang w:val="en-GB"/>
        </w:rPr>
        <w:t xml:space="preserve"> law</w:t>
      </w:r>
      <w:r w:rsidRPr="005E0923">
        <w:rPr>
          <w:rStyle w:val="Funotenzeichen"/>
          <w:color w:val="auto"/>
          <w:sz w:val="22"/>
          <w:szCs w:val="22"/>
          <w:lang w:val="en-GB"/>
        </w:rPr>
        <w:footnoteReference w:id="45"/>
      </w:r>
      <w:r w:rsidRPr="005E0923">
        <w:rPr>
          <w:color w:val="auto"/>
          <w:sz w:val="22"/>
          <w:szCs w:val="22"/>
          <w:lang w:val="en-GB"/>
        </w:rPr>
        <w:t>. Accordingly, cosmetic products are delimited, among others, as follows:</w:t>
      </w:r>
    </w:p>
    <w:p w14:paraId="7E6718EC" w14:textId="77777777" w:rsidR="001B5BFE" w:rsidRPr="005E0923" w:rsidRDefault="001B5BFE" w:rsidP="00037B6F">
      <w:pPr>
        <w:pStyle w:val="Default"/>
        <w:jc w:val="both"/>
        <w:rPr>
          <w:b/>
          <w:bCs/>
          <w:i/>
          <w:iCs/>
          <w:color w:val="auto"/>
          <w:sz w:val="23"/>
          <w:szCs w:val="23"/>
          <w:lang w:val="en-GB"/>
        </w:rPr>
      </w:pPr>
    </w:p>
    <w:p w14:paraId="54340C45" w14:textId="1AA4B163" w:rsidR="001F13A1" w:rsidRPr="005E0923" w:rsidRDefault="006311B7" w:rsidP="00037B6F">
      <w:pPr>
        <w:pStyle w:val="Default"/>
        <w:ind w:left="709"/>
        <w:jc w:val="both"/>
        <w:rPr>
          <w:rFonts w:asciiTheme="minorHAnsi" w:hAnsiTheme="minorHAnsi" w:cstheme="minorHAnsi"/>
          <w:color w:val="auto"/>
          <w:sz w:val="22"/>
          <w:szCs w:val="22"/>
          <w:lang w:val="en-GB"/>
        </w:rPr>
      </w:pPr>
      <w:r>
        <w:rPr>
          <w:rFonts w:asciiTheme="minorHAnsi" w:hAnsiTheme="minorHAnsi" w:cstheme="minorHAnsi"/>
          <w:b/>
          <w:bCs/>
          <w:i/>
          <w:iCs/>
          <w:color w:val="auto"/>
          <w:sz w:val="22"/>
          <w:szCs w:val="22"/>
          <w:lang w:val="en-GB"/>
        </w:rPr>
        <w:t>‘</w:t>
      </w:r>
      <w:r w:rsidR="003E3E15" w:rsidRPr="005E0923">
        <w:rPr>
          <w:rFonts w:asciiTheme="minorHAnsi" w:hAnsiTheme="minorHAnsi" w:cstheme="minorHAnsi"/>
          <w:b/>
          <w:bCs/>
          <w:i/>
          <w:iCs/>
          <w:color w:val="auto"/>
          <w:sz w:val="22"/>
          <w:szCs w:val="22"/>
          <w:lang w:val="en-GB"/>
        </w:rPr>
        <w:t xml:space="preserve">3.3.30. Mouthwashes and dental gels </w:t>
      </w:r>
    </w:p>
    <w:p w14:paraId="6BC79AB1" w14:textId="747308E9" w:rsidR="001F13A1" w:rsidRPr="00E21AE8" w:rsidRDefault="003E3E15" w:rsidP="00037B6F">
      <w:pPr>
        <w:pStyle w:val="Default"/>
        <w:ind w:left="709"/>
        <w:jc w:val="both"/>
        <w:rPr>
          <w:rFonts w:asciiTheme="minorHAnsi" w:hAnsiTheme="minorHAnsi" w:cstheme="minorHAnsi"/>
          <w:i/>
          <w:color w:val="auto"/>
          <w:sz w:val="22"/>
          <w:szCs w:val="22"/>
          <w:lang w:val="en-GB"/>
        </w:rPr>
      </w:pPr>
      <w:r w:rsidRPr="00E21AE8">
        <w:rPr>
          <w:rFonts w:asciiTheme="minorHAnsi" w:hAnsiTheme="minorHAnsi" w:cstheme="minorHAnsi"/>
          <w:i/>
          <w:color w:val="auto"/>
          <w:sz w:val="22"/>
          <w:szCs w:val="22"/>
          <w:lang w:val="en-GB"/>
        </w:rPr>
        <w:t>203</w:t>
      </w:r>
      <w:r w:rsidR="006311B7" w:rsidRPr="00E21AE8">
        <w:rPr>
          <w:rFonts w:asciiTheme="minorHAnsi" w:hAnsiTheme="minorHAnsi" w:cstheme="minorHAnsi"/>
          <w:i/>
          <w:color w:val="auto"/>
          <w:sz w:val="22"/>
          <w:szCs w:val="22"/>
          <w:lang w:val="en-GB"/>
        </w:rPr>
        <w:t>.</w:t>
      </w:r>
      <w:r w:rsidRPr="00E21AE8">
        <w:rPr>
          <w:rFonts w:asciiTheme="minorHAnsi" w:hAnsiTheme="minorHAnsi" w:cstheme="minorHAnsi"/>
          <w:i/>
          <w:color w:val="auto"/>
          <w:sz w:val="22"/>
          <w:szCs w:val="22"/>
          <w:lang w:val="en-GB"/>
        </w:rPr>
        <w:t xml:space="preserve"> </w:t>
      </w:r>
      <w:r w:rsidRPr="00E21AE8">
        <w:rPr>
          <w:rFonts w:asciiTheme="minorHAnsi" w:hAnsiTheme="minorHAnsi" w:cstheme="minorHAnsi"/>
          <w:b/>
          <w:bCs/>
          <w:i/>
          <w:color w:val="auto"/>
          <w:sz w:val="22"/>
          <w:szCs w:val="22"/>
          <w:lang w:val="en-GB"/>
        </w:rPr>
        <w:t xml:space="preserve">Question: Is a mouthwash or a dental gel (other than regular toothpaste) a cosmetic product? </w:t>
      </w:r>
    </w:p>
    <w:p w14:paraId="63865A28" w14:textId="77777777" w:rsidR="001B5BFE" w:rsidRPr="00E21AE8" w:rsidRDefault="001B5BFE" w:rsidP="00037B6F">
      <w:pPr>
        <w:pStyle w:val="Default"/>
        <w:ind w:left="709"/>
        <w:jc w:val="both"/>
        <w:rPr>
          <w:rFonts w:asciiTheme="minorHAnsi" w:hAnsiTheme="minorHAnsi" w:cstheme="minorHAnsi"/>
          <w:i/>
          <w:color w:val="auto"/>
          <w:sz w:val="22"/>
          <w:szCs w:val="22"/>
          <w:lang w:val="en-GB"/>
        </w:rPr>
      </w:pPr>
    </w:p>
    <w:p w14:paraId="343D9310" w14:textId="77777777" w:rsidR="001F13A1" w:rsidRPr="00E21AE8" w:rsidRDefault="003E3E15" w:rsidP="00037B6F">
      <w:pPr>
        <w:pStyle w:val="Default"/>
        <w:spacing w:after="260"/>
        <w:ind w:left="709"/>
        <w:jc w:val="both"/>
        <w:rPr>
          <w:rFonts w:asciiTheme="minorHAnsi" w:hAnsiTheme="minorHAnsi" w:cstheme="minorHAnsi"/>
          <w:i/>
          <w:color w:val="auto"/>
          <w:sz w:val="22"/>
          <w:szCs w:val="22"/>
          <w:lang w:val="en-GB"/>
        </w:rPr>
      </w:pPr>
      <w:r w:rsidRPr="00E21AE8">
        <w:rPr>
          <w:rFonts w:asciiTheme="minorHAnsi" w:hAnsiTheme="minorHAnsi" w:cstheme="minorHAnsi"/>
          <w:i/>
          <w:color w:val="auto"/>
          <w:sz w:val="22"/>
          <w:szCs w:val="22"/>
          <w:lang w:val="en-GB"/>
        </w:rPr>
        <w:t xml:space="preserve">204 </w:t>
      </w:r>
      <w:r w:rsidRPr="00E21AE8">
        <w:rPr>
          <w:rFonts w:asciiTheme="minorHAnsi" w:hAnsiTheme="minorHAnsi" w:cstheme="minorHAnsi"/>
          <w:b/>
          <w:bCs/>
          <w:i/>
          <w:color w:val="auto"/>
          <w:sz w:val="22"/>
          <w:szCs w:val="22"/>
          <w:lang w:val="en-GB"/>
        </w:rPr>
        <w:t xml:space="preserve">Answer: </w:t>
      </w:r>
      <w:r w:rsidRPr="00E21AE8">
        <w:rPr>
          <w:rFonts w:asciiTheme="minorHAnsi" w:hAnsiTheme="minorHAnsi" w:cstheme="minorHAnsi"/>
          <w:i/>
          <w:color w:val="auto"/>
          <w:sz w:val="22"/>
          <w:szCs w:val="22"/>
          <w:lang w:val="en-GB"/>
        </w:rPr>
        <w:t xml:space="preserve">Mouthwashes and dental gels </w:t>
      </w:r>
      <w:r w:rsidRPr="00E21AE8">
        <w:rPr>
          <w:rFonts w:asciiTheme="minorHAnsi" w:hAnsiTheme="minorHAnsi" w:cstheme="minorHAnsi"/>
          <w:i/>
          <w:color w:val="auto"/>
          <w:sz w:val="22"/>
          <w:szCs w:val="22"/>
          <w:u w:val="single"/>
          <w:lang w:val="en-GB"/>
        </w:rPr>
        <w:t xml:space="preserve">may be considered as cosmetic products </w:t>
      </w:r>
      <w:r w:rsidRPr="00E21AE8">
        <w:rPr>
          <w:rFonts w:asciiTheme="minorHAnsi" w:hAnsiTheme="minorHAnsi" w:cstheme="minorHAnsi"/>
          <w:i/>
          <w:color w:val="auto"/>
          <w:sz w:val="22"/>
          <w:szCs w:val="22"/>
          <w:lang w:val="en-GB"/>
        </w:rPr>
        <w:t>provided that they are intended to be placed in contact with the teeth and the mucous membranes of the oral cavity and the purpose of their use is "</w:t>
      </w:r>
      <w:r w:rsidRPr="00E21AE8">
        <w:rPr>
          <w:rFonts w:asciiTheme="minorHAnsi" w:hAnsiTheme="minorHAnsi" w:cstheme="minorHAnsi"/>
          <w:i/>
          <w:color w:val="auto"/>
          <w:sz w:val="22"/>
          <w:szCs w:val="22"/>
          <w:u w:val="single"/>
          <w:lang w:val="en-GB"/>
        </w:rPr>
        <w:t>exclusively or mainly cleaning them</w:t>
      </w:r>
      <w:r w:rsidRPr="00E21AE8">
        <w:rPr>
          <w:rFonts w:asciiTheme="minorHAnsi" w:hAnsiTheme="minorHAnsi" w:cstheme="minorHAnsi"/>
          <w:i/>
          <w:color w:val="auto"/>
          <w:sz w:val="22"/>
          <w:szCs w:val="22"/>
          <w:lang w:val="en-GB"/>
        </w:rPr>
        <w:t xml:space="preserve">, perfuming them, changing their appearance, </w:t>
      </w:r>
      <w:r w:rsidRPr="00E21AE8">
        <w:rPr>
          <w:rFonts w:asciiTheme="minorHAnsi" w:hAnsiTheme="minorHAnsi" w:cstheme="minorHAnsi"/>
          <w:i/>
          <w:color w:val="auto"/>
          <w:sz w:val="22"/>
          <w:szCs w:val="22"/>
          <w:u w:val="single"/>
          <w:lang w:val="en-GB"/>
        </w:rPr>
        <w:t xml:space="preserve">protecting them, keeping them in good condition </w:t>
      </w:r>
      <w:r w:rsidRPr="00E21AE8">
        <w:rPr>
          <w:rFonts w:asciiTheme="minorHAnsi" w:hAnsiTheme="minorHAnsi" w:cstheme="minorHAnsi"/>
          <w:i/>
          <w:color w:val="auto"/>
          <w:sz w:val="22"/>
          <w:szCs w:val="22"/>
          <w:lang w:val="en-GB"/>
        </w:rPr>
        <w:t>or co</w:t>
      </w:r>
      <w:r w:rsidRPr="00E21AE8">
        <w:rPr>
          <w:rFonts w:asciiTheme="minorHAnsi" w:hAnsiTheme="minorHAnsi" w:cstheme="minorHAnsi"/>
          <w:i/>
          <w:color w:val="auto"/>
          <w:sz w:val="22"/>
          <w:szCs w:val="22"/>
          <w:lang w:val="en-GB"/>
        </w:rPr>
        <w:t>r</w:t>
      </w:r>
      <w:r w:rsidRPr="00E21AE8">
        <w:rPr>
          <w:rFonts w:asciiTheme="minorHAnsi" w:hAnsiTheme="minorHAnsi" w:cstheme="minorHAnsi"/>
          <w:i/>
          <w:color w:val="auto"/>
          <w:sz w:val="22"/>
          <w:szCs w:val="22"/>
          <w:lang w:val="en-GB"/>
        </w:rPr>
        <w:t xml:space="preserve">recting body odours". </w:t>
      </w:r>
    </w:p>
    <w:p w14:paraId="393FA12F" w14:textId="2720485A" w:rsidR="001F13A1" w:rsidRPr="00E21AE8" w:rsidRDefault="004A2566" w:rsidP="00037B6F">
      <w:pPr>
        <w:pStyle w:val="Default"/>
        <w:spacing w:after="260"/>
        <w:ind w:left="709"/>
        <w:jc w:val="both"/>
        <w:rPr>
          <w:rFonts w:asciiTheme="minorHAnsi" w:hAnsiTheme="minorHAnsi" w:cstheme="minorHAnsi"/>
          <w:i/>
          <w:color w:val="auto"/>
          <w:sz w:val="22"/>
          <w:szCs w:val="22"/>
          <w:lang w:val="en-GB"/>
        </w:rPr>
      </w:pPr>
      <w:r w:rsidRPr="00E21AE8">
        <w:rPr>
          <w:rFonts w:asciiTheme="minorHAnsi" w:hAnsiTheme="minorHAnsi" w:cstheme="minorHAnsi"/>
          <w:i/>
          <w:color w:val="auto"/>
          <w:sz w:val="22"/>
          <w:szCs w:val="22"/>
          <w:lang w:val="en-GB"/>
        </w:rPr>
        <w:t xml:space="preserve">205. </w:t>
      </w:r>
      <w:r w:rsidR="003E3E15" w:rsidRPr="00E21AE8">
        <w:rPr>
          <w:rFonts w:asciiTheme="minorHAnsi" w:hAnsiTheme="minorHAnsi" w:cstheme="minorHAnsi"/>
          <w:i/>
          <w:color w:val="auto"/>
          <w:sz w:val="22"/>
          <w:szCs w:val="22"/>
          <w:lang w:val="en-GB"/>
        </w:rPr>
        <w:t xml:space="preserve">Mouthwashes and dental gels with secondary "antimicrobial" claims may be considered as cosmetic products provided that the main purpose of use is that of a cosmetic product. </w:t>
      </w:r>
    </w:p>
    <w:p w14:paraId="59174FC8" w14:textId="23591176" w:rsidR="001F13A1" w:rsidRPr="00E21AE8" w:rsidRDefault="003E3E15" w:rsidP="00037B6F">
      <w:pPr>
        <w:pStyle w:val="Default"/>
        <w:spacing w:after="260"/>
        <w:ind w:left="709"/>
        <w:jc w:val="both"/>
        <w:rPr>
          <w:rFonts w:asciiTheme="minorHAnsi" w:hAnsiTheme="minorHAnsi" w:cstheme="minorHAnsi"/>
          <w:i/>
          <w:color w:val="auto"/>
          <w:sz w:val="22"/>
          <w:szCs w:val="22"/>
          <w:lang w:val="en-GB"/>
        </w:rPr>
      </w:pPr>
      <w:r w:rsidRPr="00E21AE8">
        <w:rPr>
          <w:rFonts w:asciiTheme="minorHAnsi" w:hAnsiTheme="minorHAnsi" w:cstheme="minorHAnsi"/>
          <w:i/>
          <w:color w:val="auto"/>
          <w:sz w:val="22"/>
          <w:szCs w:val="22"/>
          <w:lang w:val="en-GB"/>
        </w:rPr>
        <w:t xml:space="preserve">206. </w:t>
      </w:r>
      <w:r w:rsidR="005E0923" w:rsidRPr="00E21AE8">
        <w:rPr>
          <w:rFonts w:asciiTheme="minorHAnsi" w:hAnsiTheme="minorHAnsi" w:cstheme="minorHAnsi"/>
          <w:i/>
          <w:color w:val="auto"/>
          <w:sz w:val="22"/>
          <w:szCs w:val="22"/>
          <w:lang w:val="en-GB"/>
        </w:rPr>
        <w:t>A</w:t>
      </w:r>
      <w:r w:rsidRPr="00E21AE8">
        <w:rPr>
          <w:rFonts w:asciiTheme="minorHAnsi" w:hAnsiTheme="minorHAnsi" w:cstheme="minorHAnsi"/>
          <w:i/>
          <w:color w:val="auto"/>
          <w:sz w:val="22"/>
          <w:szCs w:val="22"/>
          <w:lang w:val="en-GB"/>
        </w:rPr>
        <w:t xml:space="preserve"> product which is presented or intended for the treatment or prevention of infections, inflammation or other oral cavity diseases should not be considered as a cosmetic product. </w:t>
      </w:r>
    </w:p>
    <w:p w14:paraId="6E5C7EF9" w14:textId="7C29CC79" w:rsidR="001F13A1" w:rsidRPr="00E21AE8" w:rsidRDefault="003E3E15" w:rsidP="00037B6F">
      <w:pPr>
        <w:pStyle w:val="Default"/>
        <w:ind w:left="709"/>
        <w:jc w:val="both"/>
        <w:rPr>
          <w:rFonts w:asciiTheme="minorHAnsi" w:hAnsiTheme="minorHAnsi" w:cstheme="minorHAnsi"/>
          <w:i/>
          <w:color w:val="auto"/>
          <w:sz w:val="22"/>
          <w:szCs w:val="22"/>
          <w:lang w:val="en-GB"/>
        </w:rPr>
      </w:pPr>
      <w:r w:rsidRPr="00E21AE8">
        <w:rPr>
          <w:rFonts w:asciiTheme="minorHAnsi" w:hAnsiTheme="minorHAnsi" w:cstheme="minorHAnsi"/>
          <w:i/>
          <w:color w:val="auto"/>
          <w:sz w:val="22"/>
          <w:szCs w:val="22"/>
          <w:lang w:val="en-GB"/>
        </w:rPr>
        <w:t>207</w:t>
      </w:r>
      <w:r w:rsidR="006311B7" w:rsidRPr="00E21AE8">
        <w:rPr>
          <w:rFonts w:asciiTheme="minorHAnsi" w:hAnsiTheme="minorHAnsi" w:cstheme="minorHAnsi"/>
          <w:i/>
          <w:color w:val="auto"/>
          <w:sz w:val="22"/>
          <w:szCs w:val="22"/>
          <w:lang w:val="en-GB"/>
        </w:rPr>
        <w:t>.</w:t>
      </w:r>
      <w:r w:rsidRPr="00E21AE8">
        <w:rPr>
          <w:rFonts w:asciiTheme="minorHAnsi" w:hAnsiTheme="minorHAnsi" w:cstheme="minorHAnsi"/>
          <w:i/>
          <w:color w:val="auto"/>
          <w:sz w:val="22"/>
          <w:szCs w:val="22"/>
          <w:lang w:val="en-GB"/>
        </w:rPr>
        <w:t xml:space="preserve"> In any case, a decision on the qualification of the products has to be made by the natio</w:t>
      </w:r>
      <w:r w:rsidRPr="00E21AE8">
        <w:rPr>
          <w:rFonts w:asciiTheme="minorHAnsi" w:hAnsiTheme="minorHAnsi" w:cstheme="minorHAnsi"/>
          <w:i/>
          <w:color w:val="auto"/>
          <w:sz w:val="22"/>
          <w:szCs w:val="22"/>
          <w:lang w:val="en-GB"/>
        </w:rPr>
        <w:t>n</w:t>
      </w:r>
      <w:r w:rsidRPr="00E21AE8">
        <w:rPr>
          <w:rFonts w:asciiTheme="minorHAnsi" w:hAnsiTheme="minorHAnsi" w:cstheme="minorHAnsi"/>
          <w:i/>
          <w:color w:val="auto"/>
          <w:sz w:val="22"/>
          <w:szCs w:val="22"/>
          <w:lang w:val="en-GB"/>
        </w:rPr>
        <w:t xml:space="preserve">al competent authorities, on a </w:t>
      </w:r>
      <w:r w:rsidRPr="00E21AE8">
        <w:rPr>
          <w:rFonts w:asciiTheme="minorHAnsi" w:hAnsiTheme="minorHAnsi" w:cstheme="minorHAnsi"/>
          <w:i/>
          <w:color w:val="auto"/>
          <w:sz w:val="22"/>
          <w:szCs w:val="22"/>
          <w:u w:val="single"/>
          <w:lang w:val="en-GB"/>
        </w:rPr>
        <w:t xml:space="preserve">case-by-case basis, </w:t>
      </w:r>
      <w:r w:rsidRPr="00E21AE8">
        <w:rPr>
          <w:rFonts w:asciiTheme="minorHAnsi" w:hAnsiTheme="minorHAnsi" w:cstheme="minorHAnsi"/>
          <w:i/>
          <w:color w:val="auto"/>
          <w:sz w:val="22"/>
          <w:szCs w:val="22"/>
          <w:lang w:val="en-GB"/>
        </w:rPr>
        <w:t>and taking into account all the characteri</w:t>
      </w:r>
      <w:r w:rsidRPr="00E21AE8">
        <w:rPr>
          <w:rFonts w:asciiTheme="minorHAnsi" w:hAnsiTheme="minorHAnsi" w:cstheme="minorHAnsi"/>
          <w:i/>
          <w:color w:val="auto"/>
          <w:sz w:val="22"/>
          <w:szCs w:val="22"/>
          <w:lang w:val="en-GB"/>
        </w:rPr>
        <w:t>s</w:t>
      </w:r>
      <w:r w:rsidRPr="00E21AE8">
        <w:rPr>
          <w:rFonts w:asciiTheme="minorHAnsi" w:hAnsiTheme="minorHAnsi" w:cstheme="minorHAnsi"/>
          <w:i/>
          <w:color w:val="auto"/>
          <w:sz w:val="22"/>
          <w:szCs w:val="22"/>
          <w:lang w:val="en-GB"/>
        </w:rPr>
        <w:t xml:space="preserve">tics of the product, such as the </w:t>
      </w:r>
      <w:r w:rsidRPr="00E21AE8">
        <w:rPr>
          <w:rFonts w:asciiTheme="minorHAnsi" w:hAnsiTheme="minorHAnsi" w:cstheme="minorHAnsi"/>
          <w:i/>
          <w:color w:val="auto"/>
          <w:sz w:val="22"/>
          <w:szCs w:val="22"/>
          <w:u w:val="single"/>
          <w:lang w:val="en-GB"/>
        </w:rPr>
        <w:t>presentation of the products</w:t>
      </w:r>
      <w:r w:rsidRPr="00E21AE8">
        <w:rPr>
          <w:rFonts w:asciiTheme="minorHAnsi" w:hAnsiTheme="minorHAnsi" w:cstheme="minorHAnsi"/>
          <w:i/>
          <w:color w:val="auto"/>
          <w:sz w:val="22"/>
          <w:szCs w:val="22"/>
          <w:lang w:val="en-GB"/>
        </w:rPr>
        <w:t xml:space="preserve">, the ingredients, </w:t>
      </w:r>
      <w:r w:rsidR="005E0923" w:rsidRPr="00E21AE8">
        <w:rPr>
          <w:rFonts w:asciiTheme="minorHAnsi" w:hAnsiTheme="minorHAnsi" w:cstheme="minorHAnsi"/>
          <w:i/>
          <w:color w:val="auto"/>
          <w:sz w:val="22"/>
          <w:szCs w:val="22"/>
          <w:lang w:val="en-GB"/>
        </w:rPr>
        <w:t>and the</w:t>
      </w:r>
      <w:r w:rsidRPr="00E21AE8">
        <w:rPr>
          <w:rFonts w:asciiTheme="minorHAnsi" w:hAnsiTheme="minorHAnsi" w:cstheme="minorHAnsi"/>
          <w:i/>
          <w:color w:val="auto"/>
          <w:sz w:val="22"/>
          <w:szCs w:val="22"/>
          <w:lang w:val="en-GB"/>
        </w:rPr>
        <w:t xml:space="preserve"> mode of action and </w:t>
      </w:r>
      <w:r w:rsidRPr="00E21AE8">
        <w:rPr>
          <w:rFonts w:asciiTheme="minorHAnsi" w:hAnsiTheme="minorHAnsi" w:cstheme="minorHAnsi"/>
          <w:i/>
          <w:color w:val="auto"/>
          <w:sz w:val="22"/>
          <w:szCs w:val="22"/>
          <w:u w:val="single"/>
          <w:lang w:val="en-GB"/>
        </w:rPr>
        <w:t>instructions of use</w:t>
      </w:r>
      <w:r w:rsidRPr="00E21AE8">
        <w:rPr>
          <w:rFonts w:asciiTheme="minorHAnsi" w:hAnsiTheme="minorHAnsi" w:cstheme="minorHAnsi"/>
          <w:i/>
          <w:color w:val="auto"/>
          <w:sz w:val="22"/>
          <w:szCs w:val="22"/>
          <w:lang w:val="en-GB"/>
        </w:rPr>
        <w:t>.</w:t>
      </w:r>
      <w:r w:rsidR="006311B7" w:rsidRPr="00E21AE8">
        <w:rPr>
          <w:rFonts w:asciiTheme="minorHAnsi" w:hAnsiTheme="minorHAnsi" w:cstheme="minorHAnsi"/>
          <w:i/>
          <w:color w:val="auto"/>
          <w:sz w:val="22"/>
          <w:szCs w:val="22"/>
          <w:lang w:val="en-GB"/>
        </w:rPr>
        <w:t>’</w:t>
      </w:r>
      <w:r w:rsidRPr="00E21AE8">
        <w:rPr>
          <w:rFonts w:asciiTheme="minorHAnsi" w:hAnsiTheme="minorHAnsi" w:cstheme="minorHAnsi"/>
          <w:i/>
          <w:color w:val="auto"/>
          <w:sz w:val="22"/>
          <w:szCs w:val="22"/>
          <w:lang w:val="en-GB"/>
        </w:rPr>
        <w:t xml:space="preserve"> </w:t>
      </w:r>
    </w:p>
    <w:p w14:paraId="6D80160F" w14:textId="77777777" w:rsidR="001B5BFE" w:rsidRPr="005E0923" w:rsidRDefault="001B5BFE" w:rsidP="00037B6F">
      <w:pPr>
        <w:pStyle w:val="Default"/>
        <w:jc w:val="both"/>
        <w:rPr>
          <w:rFonts w:asciiTheme="minorHAnsi" w:hAnsiTheme="minorHAnsi" w:cstheme="minorHAnsi"/>
          <w:color w:val="auto"/>
          <w:sz w:val="22"/>
          <w:szCs w:val="22"/>
          <w:lang w:val="en-GB"/>
        </w:rPr>
      </w:pPr>
    </w:p>
    <w:p w14:paraId="65DB242D" w14:textId="5604A195"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 xml:space="preserve">According to this, the authorities of the Member States must assess all the properties of the product within the framework of a case-by-case decision, in particular the manner of presentation, </w:t>
      </w:r>
      <w:r w:rsidR="00425D1A" w:rsidRPr="005E0923">
        <w:rPr>
          <w:rFonts w:asciiTheme="minorHAnsi" w:hAnsiTheme="minorHAnsi" w:cstheme="minorHAnsi"/>
          <w:lang w:val="en-GB"/>
        </w:rPr>
        <w:t>i.e.,</w:t>
      </w:r>
      <w:r w:rsidRPr="005E0923">
        <w:rPr>
          <w:rFonts w:asciiTheme="minorHAnsi" w:hAnsiTheme="minorHAnsi" w:cstheme="minorHAnsi"/>
          <w:lang w:val="en-GB"/>
        </w:rPr>
        <w:t xml:space="preserve"> how </w:t>
      </w:r>
      <w:r w:rsidRPr="005E0923">
        <w:rPr>
          <w:rFonts w:asciiTheme="minorHAnsi" w:hAnsiTheme="minorHAnsi" w:cstheme="minorHAnsi"/>
          <w:lang w:val="en-GB"/>
        </w:rPr>
        <w:lastRenderedPageBreak/>
        <w:t>the product is designated and how the product is recommended for use. The Commission's working group on cosmetic products thus also clearly states that it is the presentation as a cosmetic product that is important and that this type of product advertised by the manufacturer must be taken into account, provided that it is actually suitable for fulfilling cosmetic functions.</w:t>
      </w:r>
    </w:p>
    <w:p w14:paraId="2307AD63" w14:textId="69965132" w:rsidR="001F13A1" w:rsidRPr="005E0923" w:rsidRDefault="003E3E15" w:rsidP="00037B6F">
      <w:pPr>
        <w:jc w:val="both"/>
        <w:rPr>
          <w:rFonts w:asciiTheme="minorHAnsi" w:hAnsiTheme="minorHAnsi"/>
          <w:i/>
          <w:iCs/>
          <w:lang w:val="en-GB"/>
        </w:rPr>
      </w:pPr>
      <w:r w:rsidRPr="005E0923">
        <w:rPr>
          <w:rFonts w:asciiTheme="minorHAnsi" w:hAnsiTheme="minorHAnsi"/>
          <w:i/>
          <w:iCs/>
          <w:lang w:val="en-GB"/>
        </w:rPr>
        <w:t xml:space="preserve">c) </w:t>
      </w:r>
      <w:r w:rsidR="002609DB" w:rsidRPr="005E0923">
        <w:rPr>
          <w:rFonts w:asciiTheme="minorHAnsi" w:hAnsiTheme="minorHAnsi"/>
          <w:i/>
          <w:iCs/>
          <w:lang w:val="en-GB"/>
        </w:rPr>
        <w:t>Market</w:t>
      </w:r>
      <w:r w:rsidRPr="005E0923">
        <w:rPr>
          <w:rFonts w:asciiTheme="minorHAnsi" w:hAnsiTheme="minorHAnsi"/>
          <w:i/>
          <w:iCs/>
          <w:lang w:val="en-GB"/>
        </w:rPr>
        <w:t xml:space="preserve"> expectation as a cosmetic agent</w:t>
      </w:r>
    </w:p>
    <w:p w14:paraId="78937D09" w14:textId="3A10C8A8" w:rsidR="001F13A1" w:rsidRPr="005E0923" w:rsidRDefault="003E3E15" w:rsidP="00037B6F">
      <w:pPr>
        <w:jc w:val="both"/>
        <w:rPr>
          <w:rFonts w:asciiTheme="minorHAnsi" w:hAnsiTheme="minorHAnsi"/>
          <w:lang w:val="en-GB"/>
        </w:rPr>
      </w:pPr>
      <w:r w:rsidRPr="005E0923">
        <w:rPr>
          <w:rFonts w:asciiTheme="minorHAnsi" w:hAnsiTheme="minorHAnsi"/>
          <w:lang w:val="en-GB"/>
        </w:rPr>
        <w:t xml:space="preserve">In the decision </w:t>
      </w:r>
      <w:r w:rsidR="009050C1" w:rsidRPr="005E0923">
        <w:rPr>
          <w:rFonts w:asciiTheme="minorHAnsi" w:hAnsiTheme="minorHAnsi"/>
          <w:lang w:val="en-GB"/>
        </w:rPr>
        <w:t xml:space="preserve">(loc. cit.), </w:t>
      </w:r>
      <w:r w:rsidRPr="005E0923">
        <w:rPr>
          <w:rFonts w:asciiTheme="minorHAnsi" w:hAnsiTheme="minorHAnsi"/>
          <w:lang w:val="en-GB"/>
        </w:rPr>
        <w:t xml:space="preserve">the Administrative Court of Hamburg also explicitly addresses the argument of many authorities that </w:t>
      </w:r>
      <w:r w:rsidR="005E0923" w:rsidRPr="005E0923">
        <w:rPr>
          <w:rFonts w:asciiTheme="minorHAnsi" w:hAnsiTheme="minorHAnsi"/>
          <w:lang w:val="en-GB"/>
        </w:rPr>
        <w:t>a market</w:t>
      </w:r>
      <w:r w:rsidRPr="005E0923">
        <w:rPr>
          <w:rFonts w:asciiTheme="minorHAnsi" w:hAnsiTheme="minorHAnsi"/>
          <w:lang w:val="en-GB"/>
        </w:rPr>
        <w:t xml:space="preserve"> expectation for CBD oils has meanwhile developed, according to which an intake via the gastrointestinal tract is to be expected exclusively. The Administrative Court of Hamburg states on page 12 as follows:</w:t>
      </w:r>
    </w:p>
    <w:p w14:paraId="4D30CCD0" w14:textId="0AB7BADB" w:rsidR="001F13A1" w:rsidRPr="005E0923" w:rsidRDefault="003E3E15" w:rsidP="00037B6F">
      <w:pPr>
        <w:ind w:left="709"/>
        <w:jc w:val="both"/>
        <w:rPr>
          <w:rFonts w:asciiTheme="minorHAnsi" w:hAnsiTheme="minorHAnsi" w:cstheme="minorHAnsi"/>
          <w:i/>
          <w:iCs/>
          <w:lang w:val="en-GB"/>
        </w:rPr>
      </w:pPr>
      <w:r w:rsidRPr="005E0923">
        <w:rPr>
          <w:rFonts w:asciiTheme="minorHAnsi" w:hAnsiTheme="minorHAnsi" w:cstheme="minorHAnsi"/>
          <w:i/>
          <w:iCs/>
          <w:lang w:val="en-GB"/>
        </w:rPr>
        <w:t xml:space="preserve">"(2) Based on the aforementioned interpretation of the term food, the oral oils at issue are not substances which are intended to </w:t>
      </w:r>
      <w:r w:rsidR="00425D1A" w:rsidRPr="005E0923">
        <w:rPr>
          <w:rFonts w:asciiTheme="minorHAnsi" w:hAnsiTheme="minorHAnsi" w:cstheme="minorHAnsi"/>
          <w:i/>
          <w:iCs/>
          <w:lang w:val="en-GB"/>
        </w:rPr>
        <w:t>be,</w:t>
      </w:r>
      <w:r w:rsidRPr="005E0923">
        <w:rPr>
          <w:rFonts w:asciiTheme="minorHAnsi" w:hAnsiTheme="minorHAnsi" w:cstheme="minorHAnsi"/>
          <w:i/>
          <w:iCs/>
          <w:lang w:val="en-GB"/>
        </w:rPr>
        <w:t xml:space="preserve"> or which can reasonably be expected to be ingested by humans in the aforementioned sense. When considering the objective purpose, </w:t>
      </w:r>
      <w:r w:rsidR="005E0923" w:rsidRPr="005E0923">
        <w:rPr>
          <w:rFonts w:asciiTheme="minorHAnsi" w:hAnsiTheme="minorHAnsi" w:cstheme="minorHAnsi"/>
          <w:i/>
          <w:iCs/>
          <w:lang w:val="en-GB"/>
        </w:rPr>
        <w:t>labelling</w:t>
      </w:r>
      <w:r w:rsidRPr="005E0923">
        <w:rPr>
          <w:rFonts w:asciiTheme="minorHAnsi" w:hAnsiTheme="minorHAnsi" w:cstheme="minorHAnsi"/>
          <w:i/>
          <w:iCs/>
          <w:lang w:val="en-GB"/>
        </w:rPr>
        <w:t xml:space="preserve">, presentation and marketing of the oils as a whole, they do not - or if they do, then only to a marginal extent - enter the body of the consumer via the gastrointestinal tract when used as intended or expected. The oral oils are unambiguously advertised as cosmetic products for use in the oral cavity, so that attentive and reasonable average consumers (see </w:t>
      </w:r>
      <w:r w:rsidR="00755FB3">
        <w:rPr>
          <w:rFonts w:asciiTheme="minorHAnsi" w:hAnsiTheme="minorHAnsi" w:cstheme="minorHAnsi"/>
          <w:i/>
          <w:iCs/>
          <w:lang w:val="en-GB"/>
        </w:rPr>
        <w:t>Federal A</w:t>
      </w:r>
      <w:r w:rsidR="00755FB3">
        <w:rPr>
          <w:rFonts w:asciiTheme="minorHAnsi" w:hAnsiTheme="minorHAnsi" w:cstheme="minorHAnsi"/>
          <w:i/>
          <w:iCs/>
          <w:lang w:val="en-GB"/>
        </w:rPr>
        <w:t>d</w:t>
      </w:r>
      <w:r w:rsidR="00755FB3">
        <w:rPr>
          <w:rFonts w:asciiTheme="minorHAnsi" w:hAnsiTheme="minorHAnsi" w:cstheme="minorHAnsi"/>
          <w:i/>
          <w:iCs/>
          <w:lang w:val="en-GB"/>
        </w:rPr>
        <w:t>ministrative Court [</w:t>
      </w:r>
      <w:r w:rsidRPr="005E0923">
        <w:rPr>
          <w:rFonts w:asciiTheme="minorHAnsi" w:hAnsiTheme="minorHAnsi" w:cstheme="minorHAnsi"/>
          <w:i/>
          <w:iCs/>
          <w:lang w:val="en-GB"/>
        </w:rPr>
        <w:t>BVerwG</w:t>
      </w:r>
      <w:r w:rsidR="00755FB3">
        <w:rPr>
          <w:rFonts w:asciiTheme="minorHAnsi" w:hAnsiTheme="minorHAnsi" w:cstheme="minorHAnsi"/>
          <w:i/>
          <w:iCs/>
          <w:lang w:val="en-GB"/>
        </w:rPr>
        <w:t>]</w:t>
      </w:r>
      <w:r w:rsidRPr="005E0923">
        <w:rPr>
          <w:rFonts w:asciiTheme="minorHAnsi" w:hAnsiTheme="minorHAnsi" w:cstheme="minorHAnsi"/>
          <w:i/>
          <w:iCs/>
          <w:lang w:val="en-GB"/>
        </w:rPr>
        <w:t xml:space="preserve">, </w:t>
      </w:r>
      <w:r w:rsidR="009F4801" w:rsidRPr="005E0923">
        <w:rPr>
          <w:rFonts w:asciiTheme="minorHAnsi" w:hAnsiTheme="minorHAnsi" w:cstheme="minorHAnsi"/>
          <w:i/>
          <w:iCs/>
          <w:lang w:val="en-GB"/>
        </w:rPr>
        <w:t>decision</w:t>
      </w:r>
      <w:r w:rsidRPr="005E0923">
        <w:rPr>
          <w:rFonts w:asciiTheme="minorHAnsi" w:hAnsiTheme="minorHAnsi" w:cstheme="minorHAnsi"/>
          <w:i/>
          <w:iCs/>
          <w:lang w:val="en-GB"/>
        </w:rPr>
        <w:t xml:space="preserve"> </w:t>
      </w:r>
      <w:r w:rsidR="00755FB3">
        <w:rPr>
          <w:rFonts w:asciiTheme="minorHAnsi" w:hAnsiTheme="minorHAnsi" w:cstheme="minorHAnsi"/>
          <w:i/>
          <w:iCs/>
          <w:lang w:val="en-GB"/>
        </w:rPr>
        <w:t>o</w:t>
      </w:r>
      <w:r w:rsidR="009F4801" w:rsidRPr="005E0923">
        <w:rPr>
          <w:rFonts w:asciiTheme="minorHAnsi" w:hAnsiTheme="minorHAnsi" w:cstheme="minorHAnsi"/>
          <w:i/>
          <w:iCs/>
          <w:lang w:val="en-GB"/>
        </w:rPr>
        <w:t>f</w:t>
      </w:r>
      <w:r w:rsidRPr="005E0923">
        <w:rPr>
          <w:rFonts w:asciiTheme="minorHAnsi" w:hAnsiTheme="minorHAnsi" w:cstheme="minorHAnsi"/>
          <w:i/>
          <w:iCs/>
          <w:lang w:val="en-GB"/>
        </w:rPr>
        <w:t xml:space="preserve"> 20.</w:t>
      </w:r>
      <w:r w:rsidR="00755FB3">
        <w:rPr>
          <w:rFonts w:asciiTheme="minorHAnsi" w:hAnsiTheme="minorHAnsi" w:cstheme="minorHAnsi"/>
          <w:i/>
          <w:iCs/>
          <w:lang w:val="en-GB"/>
        </w:rPr>
        <w:t>0</w:t>
      </w:r>
      <w:r w:rsidRPr="005E0923">
        <w:rPr>
          <w:rFonts w:asciiTheme="minorHAnsi" w:hAnsiTheme="minorHAnsi" w:cstheme="minorHAnsi"/>
          <w:i/>
          <w:iCs/>
          <w:lang w:val="en-GB"/>
        </w:rPr>
        <w:t xml:space="preserve">6.2012, 3 B 87/11, juris </w:t>
      </w:r>
      <w:r w:rsidR="00755FB3">
        <w:rPr>
          <w:rFonts w:asciiTheme="minorHAnsi" w:hAnsiTheme="minorHAnsi" w:cstheme="minorHAnsi"/>
          <w:i/>
          <w:iCs/>
          <w:lang w:val="en-GB"/>
        </w:rPr>
        <w:t>recit</w:t>
      </w:r>
      <w:r w:rsidRPr="005E0923">
        <w:rPr>
          <w:rFonts w:asciiTheme="minorHAnsi" w:hAnsiTheme="minorHAnsi" w:cstheme="minorHAnsi"/>
          <w:i/>
          <w:iCs/>
          <w:lang w:val="en-GB"/>
        </w:rPr>
        <w:t xml:space="preserve">al no. 4) are also likely to </w:t>
      </w:r>
      <w:r w:rsidR="00CE08B1">
        <w:rPr>
          <w:rFonts w:asciiTheme="minorHAnsi" w:hAnsiTheme="minorHAnsi" w:cstheme="minorHAnsi"/>
          <w:i/>
          <w:iCs/>
          <w:lang w:val="en-GB"/>
        </w:rPr>
        <w:t>recei</w:t>
      </w:r>
      <w:r w:rsidRPr="005E0923">
        <w:rPr>
          <w:rFonts w:asciiTheme="minorHAnsi" w:hAnsiTheme="minorHAnsi" w:cstheme="minorHAnsi"/>
          <w:i/>
          <w:iCs/>
          <w:lang w:val="en-GB"/>
        </w:rPr>
        <w:t>ve the impression that the products are intended exclusively for use in the oral cavity."</w:t>
      </w:r>
    </w:p>
    <w:p w14:paraId="642E1BDB" w14:textId="5E9EA5C5"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 xml:space="preserve">In the cited ruling, the Federal Administrative Court </w:t>
      </w:r>
      <w:r w:rsidR="009F4801" w:rsidRPr="005E0923">
        <w:rPr>
          <w:rFonts w:asciiTheme="minorHAnsi" w:hAnsiTheme="minorHAnsi" w:cstheme="minorHAnsi"/>
          <w:lang w:val="en-GB"/>
        </w:rPr>
        <w:t xml:space="preserve">(BVerwG) </w:t>
      </w:r>
      <w:r w:rsidRPr="005E0923">
        <w:rPr>
          <w:rFonts w:asciiTheme="minorHAnsi" w:hAnsiTheme="minorHAnsi" w:cstheme="minorHAnsi"/>
          <w:lang w:val="en-GB"/>
        </w:rPr>
        <w:t>states that the view of an average co</w:t>
      </w:r>
      <w:r w:rsidRPr="005E0923">
        <w:rPr>
          <w:rFonts w:asciiTheme="minorHAnsi" w:hAnsiTheme="minorHAnsi" w:cstheme="minorHAnsi"/>
          <w:lang w:val="en-GB"/>
        </w:rPr>
        <w:t>n</w:t>
      </w:r>
      <w:r w:rsidRPr="005E0923">
        <w:rPr>
          <w:rFonts w:asciiTheme="minorHAnsi" w:hAnsiTheme="minorHAnsi" w:cstheme="minorHAnsi"/>
          <w:lang w:val="en-GB"/>
        </w:rPr>
        <w:t xml:space="preserve">sumer who is reasonably well informed and reasonably observant and circumspect must be taken into account. </w:t>
      </w:r>
      <w:r w:rsidR="009F4801" w:rsidRPr="005E0923">
        <w:rPr>
          <w:rFonts w:asciiTheme="minorHAnsi" w:hAnsiTheme="minorHAnsi" w:cstheme="minorHAnsi"/>
          <w:lang w:val="en-GB"/>
        </w:rPr>
        <w:t>T</w:t>
      </w:r>
      <w:r w:rsidRPr="005E0923">
        <w:rPr>
          <w:rFonts w:asciiTheme="minorHAnsi" w:hAnsiTheme="minorHAnsi" w:cstheme="minorHAnsi"/>
          <w:lang w:val="en-GB"/>
        </w:rPr>
        <w:t>he decision of the Federal Administrative Court of October 18, 2000 (file number: 1 B 45.00) is also based on how an average consumer is likely to perceive the statement in question. This indeterminate legal concept is based on the established case law of the European Court of Justice, as for example in Case C-303/97</w:t>
      </w:r>
      <w:r w:rsidRPr="005E0923">
        <w:rPr>
          <w:rStyle w:val="Funotenzeichen"/>
          <w:rFonts w:asciiTheme="minorHAnsi" w:hAnsiTheme="minorHAnsi" w:cstheme="minorHAnsi"/>
          <w:lang w:val="en-GB"/>
        </w:rPr>
        <w:footnoteReference w:id="46"/>
      </w:r>
      <w:r w:rsidRPr="005E0923">
        <w:rPr>
          <w:rFonts w:asciiTheme="minorHAnsi" w:hAnsiTheme="minorHAnsi" w:cstheme="minorHAnsi"/>
          <w:lang w:val="en-GB"/>
        </w:rPr>
        <w:t xml:space="preserve">. In this case, the ECJ </w:t>
      </w:r>
      <w:r w:rsidR="00060324" w:rsidRPr="005E0923">
        <w:rPr>
          <w:rFonts w:asciiTheme="minorHAnsi" w:hAnsiTheme="minorHAnsi" w:cstheme="minorHAnsi"/>
          <w:lang w:val="en-GB"/>
        </w:rPr>
        <w:t xml:space="preserve">expressly referred </w:t>
      </w:r>
      <w:r w:rsidRPr="005E0923">
        <w:rPr>
          <w:rFonts w:asciiTheme="minorHAnsi" w:hAnsiTheme="minorHAnsi" w:cstheme="minorHAnsi"/>
          <w:lang w:val="en-GB"/>
        </w:rPr>
        <w:t>in a trademark case to how an "average consumer who is reasonably well informed and reasonably observant and circumspect is likely to perceive a statement".</w:t>
      </w:r>
    </w:p>
    <w:p w14:paraId="57EF87A9" w14:textId="45882259"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 xml:space="preserve">If the view of </w:t>
      </w:r>
      <w:r w:rsidR="008C4AF8" w:rsidRPr="005E0923">
        <w:rPr>
          <w:rFonts w:asciiTheme="minorHAnsi" w:hAnsiTheme="minorHAnsi" w:cstheme="minorHAnsi"/>
          <w:lang w:val="en-GB"/>
        </w:rPr>
        <w:t xml:space="preserve">the </w:t>
      </w:r>
      <w:r w:rsidRPr="005E0923">
        <w:rPr>
          <w:rFonts w:asciiTheme="minorHAnsi" w:hAnsiTheme="minorHAnsi" w:cstheme="minorHAnsi"/>
          <w:lang w:val="en-GB"/>
        </w:rPr>
        <w:t>average consumer is decisive, all those who are unlikely to be considered as co</w:t>
      </w:r>
      <w:r w:rsidRPr="005E0923">
        <w:rPr>
          <w:rFonts w:asciiTheme="minorHAnsi" w:hAnsiTheme="minorHAnsi" w:cstheme="minorHAnsi"/>
          <w:lang w:val="en-GB"/>
        </w:rPr>
        <w:t>n</w:t>
      </w:r>
      <w:r w:rsidRPr="005E0923">
        <w:rPr>
          <w:rFonts w:asciiTheme="minorHAnsi" w:hAnsiTheme="minorHAnsi" w:cstheme="minorHAnsi"/>
          <w:lang w:val="en-GB"/>
        </w:rPr>
        <w:t xml:space="preserve">sumers are excluded as reference persons. Therefore, the view of the consumer addressed is </w:t>
      </w:r>
      <w:r w:rsidR="00D65638">
        <w:rPr>
          <w:rFonts w:asciiTheme="minorHAnsi" w:hAnsiTheme="minorHAnsi" w:cstheme="minorHAnsi"/>
          <w:lang w:val="en-GB"/>
        </w:rPr>
        <w:t xml:space="preserve">deemed </w:t>
      </w:r>
      <w:r w:rsidRPr="005E0923">
        <w:rPr>
          <w:rFonts w:asciiTheme="minorHAnsi" w:hAnsiTheme="minorHAnsi" w:cstheme="minorHAnsi"/>
          <w:lang w:val="en-GB"/>
        </w:rPr>
        <w:t>decisive</w:t>
      </w:r>
      <w:r w:rsidR="00D65638">
        <w:rPr>
          <w:rFonts w:asciiTheme="minorHAnsi" w:hAnsiTheme="minorHAnsi" w:cstheme="minorHAnsi"/>
          <w:lang w:val="en-GB"/>
        </w:rPr>
        <w:t xml:space="preserve"> by the court</w:t>
      </w:r>
      <w:r w:rsidRPr="005E0923">
        <w:rPr>
          <w:rFonts w:asciiTheme="minorHAnsi" w:hAnsiTheme="minorHAnsi" w:cstheme="minorHAnsi"/>
          <w:lang w:val="en-GB"/>
        </w:rPr>
        <w:t>. The court of facts must determine which reference consumer is dec</w:t>
      </w:r>
      <w:r w:rsidRPr="005E0923">
        <w:rPr>
          <w:rFonts w:asciiTheme="minorHAnsi" w:hAnsiTheme="minorHAnsi" w:cstheme="minorHAnsi"/>
          <w:lang w:val="en-GB"/>
        </w:rPr>
        <w:t>i</w:t>
      </w:r>
      <w:r w:rsidRPr="005E0923">
        <w:rPr>
          <w:rFonts w:asciiTheme="minorHAnsi" w:hAnsiTheme="minorHAnsi" w:cstheme="minorHAnsi"/>
          <w:lang w:val="en-GB"/>
        </w:rPr>
        <w:t>sive in the individual case, whereby the question of who is likely to purchase a particular product is not a question of law (</w:t>
      </w:r>
      <w:r w:rsidR="00D65638">
        <w:rPr>
          <w:rFonts w:asciiTheme="minorHAnsi" w:hAnsiTheme="minorHAnsi" w:cstheme="minorHAnsi"/>
          <w:lang w:val="en-GB"/>
        </w:rPr>
        <w:t xml:space="preserve">Federal </w:t>
      </w:r>
      <w:r w:rsidR="00425D1A">
        <w:rPr>
          <w:rFonts w:asciiTheme="minorHAnsi" w:hAnsiTheme="minorHAnsi" w:cstheme="minorHAnsi"/>
          <w:lang w:val="en-GB"/>
        </w:rPr>
        <w:t>Administrative</w:t>
      </w:r>
      <w:r w:rsidR="00D65638">
        <w:rPr>
          <w:rFonts w:asciiTheme="minorHAnsi" w:hAnsiTheme="minorHAnsi" w:cstheme="minorHAnsi"/>
          <w:lang w:val="en-GB"/>
        </w:rPr>
        <w:t xml:space="preserve"> Court</w:t>
      </w:r>
      <w:r w:rsidRPr="005E0923">
        <w:rPr>
          <w:rFonts w:asciiTheme="minorHAnsi" w:hAnsiTheme="minorHAnsi" w:cstheme="minorHAnsi"/>
          <w:lang w:val="en-GB"/>
        </w:rPr>
        <w:t xml:space="preserve">, </w:t>
      </w:r>
      <w:proofErr w:type="gramStart"/>
      <w:r w:rsidRPr="005E0923">
        <w:rPr>
          <w:rFonts w:asciiTheme="minorHAnsi" w:hAnsiTheme="minorHAnsi" w:cstheme="minorHAnsi"/>
          <w:lang w:val="en-GB"/>
        </w:rPr>
        <w:t>loc.cit.,</w:t>
      </w:r>
      <w:proofErr w:type="gramEnd"/>
      <w:r w:rsidRPr="005E0923">
        <w:rPr>
          <w:rFonts w:asciiTheme="minorHAnsi" w:hAnsiTheme="minorHAnsi" w:cstheme="minorHAnsi"/>
          <w:lang w:val="en-GB"/>
        </w:rPr>
        <w:t xml:space="preserve"> para. 4). </w:t>
      </w:r>
    </w:p>
    <w:p w14:paraId="1B3435D7" w14:textId="77777777"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The Administrative Court of Hamburg then goes on to state:</w:t>
      </w:r>
    </w:p>
    <w:p w14:paraId="3D022B9C" w14:textId="2ADB68CA" w:rsidR="001F13A1" w:rsidRPr="005E0923" w:rsidRDefault="003E3E15" w:rsidP="00037B6F">
      <w:pPr>
        <w:ind w:left="709"/>
        <w:jc w:val="both"/>
        <w:rPr>
          <w:rFonts w:asciiTheme="minorHAnsi" w:hAnsiTheme="minorHAnsi" w:cstheme="minorHAnsi"/>
          <w:i/>
          <w:iCs/>
          <w:lang w:val="en-GB"/>
        </w:rPr>
      </w:pPr>
      <w:r w:rsidRPr="005E0923">
        <w:rPr>
          <w:rFonts w:asciiTheme="minorHAnsi" w:hAnsiTheme="minorHAnsi" w:cstheme="minorHAnsi"/>
          <w:i/>
          <w:iCs/>
          <w:lang w:val="en-GB"/>
        </w:rPr>
        <w:t>"It does not follow otherwise from the fact that CBD oils were previously marketed by the a</w:t>
      </w:r>
      <w:r w:rsidRPr="005E0923">
        <w:rPr>
          <w:rFonts w:asciiTheme="minorHAnsi" w:hAnsiTheme="minorHAnsi" w:cstheme="minorHAnsi"/>
          <w:i/>
          <w:iCs/>
          <w:lang w:val="en-GB"/>
        </w:rPr>
        <w:t>p</w:t>
      </w:r>
      <w:r w:rsidRPr="005E0923">
        <w:rPr>
          <w:rFonts w:asciiTheme="minorHAnsi" w:hAnsiTheme="minorHAnsi" w:cstheme="minorHAnsi"/>
          <w:i/>
          <w:iCs/>
          <w:lang w:val="en-GB"/>
        </w:rPr>
        <w:t xml:space="preserve">plicant as food supplements and aroma oils. </w:t>
      </w:r>
      <w:r w:rsidRPr="005E0923">
        <w:rPr>
          <w:rFonts w:asciiTheme="minorHAnsi" w:hAnsiTheme="minorHAnsi" w:cstheme="minorHAnsi"/>
          <w:i/>
          <w:iCs/>
          <w:u w:val="single"/>
          <w:lang w:val="en-GB"/>
        </w:rPr>
        <w:t xml:space="preserve">Due to the new purpose, </w:t>
      </w:r>
      <w:r w:rsidR="005E0923" w:rsidRPr="005E0923">
        <w:rPr>
          <w:rFonts w:asciiTheme="minorHAnsi" w:hAnsiTheme="minorHAnsi" w:cstheme="minorHAnsi"/>
          <w:i/>
          <w:iCs/>
          <w:u w:val="single"/>
          <w:lang w:val="en-GB"/>
        </w:rPr>
        <w:t>labelling</w:t>
      </w:r>
      <w:r w:rsidRPr="005E0923">
        <w:rPr>
          <w:rFonts w:asciiTheme="minorHAnsi" w:hAnsiTheme="minorHAnsi" w:cstheme="minorHAnsi"/>
          <w:i/>
          <w:iCs/>
          <w:u w:val="single"/>
          <w:lang w:val="en-GB"/>
        </w:rPr>
        <w:t xml:space="preserve">, presentation and marketing of the products, it </w:t>
      </w:r>
      <w:r w:rsidRPr="005E0923">
        <w:rPr>
          <w:rFonts w:asciiTheme="minorHAnsi" w:hAnsiTheme="minorHAnsi" w:cstheme="minorHAnsi"/>
          <w:b/>
          <w:bCs/>
          <w:i/>
          <w:iCs/>
          <w:u w:val="single"/>
          <w:lang w:val="en-GB"/>
        </w:rPr>
        <w:t xml:space="preserve">cannot </w:t>
      </w:r>
      <w:r w:rsidRPr="005E0923">
        <w:rPr>
          <w:rFonts w:asciiTheme="minorHAnsi" w:hAnsiTheme="minorHAnsi" w:cstheme="minorHAnsi"/>
          <w:i/>
          <w:iCs/>
          <w:u w:val="single"/>
          <w:lang w:val="en-GB"/>
        </w:rPr>
        <w:t xml:space="preserve">be assumed that average consumers will </w:t>
      </w:r>
      <w:r w:rsidRPr="005E0923">
        <w:rPr>
          <w:rFonts w:asciiTheme="minorHAnsi" w:hAnsiTheme="minorHAnsi" w:cstheme="minorHAnsi"/>
          <w:b/>
          <w:bCs/>
          <w:i/>
          <w:iCs/>
          <w:u w:val="single"/>
          <w:lang w:val="en-GB"/>
        </w:rPr>
        <w:t xml:space="preserve">disregard the </w:t>
      </w:r>
      <w:r w:rsidRPr="005E0923">
        <w:rPr>
          <w:rFonts w:asciiTheme="minorHAnsi" w:hAnsiTheme="minorHAnsi" w:cstheme="minorHAnsi"/>
          <w:i/>
          <w:iCs/>
          <w:u w:val="single"/>
          <w:lang w:val="en-GB"/>
        </w:rPr>
        <w:t xml:space="preserve">clear </w:t>
      </w:r>
      <w:r w:rsidRPr="005E0923">
        <w:rPr>
          <w:rFonts w:asciiTheme="minorHAnsi" w:hAnsiTheme="minorHAnsi" w:cstheme="minorHAnsi"/>
          <w:b/>
          <w:bCs/>
          <w:i/>
          <w:iCs/>
          <w:u w:val="single"/>
          <w:lang w:val="en-GB"/>
        </w:rPr>
        <w:t xml:space="preserve">user instructions due </w:t>
      </w:r>
      <w:r w:rsidRPr="005E0923">
        <w:rPr>
          <w:rFonts w:asciiTheme="minorHAnsi" w:hAnsiTheme="minorHAnsi" w:cstheme="minorHAnsi"/>
          <w:i/>
          <w:iCs/>
          <w:u w:val="single"/>
          <w:lang w:val="en-GB"/>
        </w:rPr>
        <w:t xml:space="preserve">to an association with the former products. </w:t>
      </w:r>
      <w:r w:rsidRPr="005E0923">
        <w:rPr>
          <w:rFonts w:asciiTheme="minorHAnsi" w:hAnsiTheme="minorHAnsi" w:cstheme="minorHAnsi"/>
          <w:i/>
          <w:iCs/>
          <w:lang w:val="en-GB"/>
        </w:rPr>
        <w:t xml:space="preserve">According to these, the oral cavity should be "rinsed" with two to three drops of the oil for 30 seconds and </w:t>
      </w:r>
      <w:r w:rsidRPr="005E0923">
        <w:rPr>
          <w:rFonts w:asciiTheme="minorHAnsi" w:hAnsiTheme="minorHAnsi" w:cstheme="minorHAnsi"/>
          <w:i/>
          <w:iCs/>
          <w:lang w:val="en-GB"/>
        </w:rPr>
        <w:lastRenderedPageBreak/>
        <w:t xml:space="preserve">the product then spat out. Whether rinsing and wetting of the entire oral cavity is practically possible due to the small amount of product indicated is irrelevant, since in any case a supply to the gastrointestinal tract is neither intended nor to be expected in the case of intended use. It is expressly pointed out that unnecessary swallowing should be avoided. </w:t>
      </w:r>
      <w:r w:rsidRPr="005E0923">
        <w:rPr>
          <w:rFonts w:asciiTheme="minorHAnsi" w:hAnsiTheme="minorHAnsi" w:cstheme="minorHAnsi"/>
          <w:i/>
          <w:iCs/>
          <w:u w:val="single"/>
          <w:lang w:val="en-GB"/>
        </w:rPr>
        <w:t>It can therefore be assumed that consumers will adhere to this and spit out the product together with the saliva accumulated during application.</w:t>
      </w:r>
      <w:r w:rsidRPr="005E0923">
        <w:rPr>
          <w:rFonts w:asciiTheme="minorHAnsi" w:hAnsiTheme="minorHAnsi" w:cstheme="minorHAnsi"/>
          <w:i/>
          <w:iCs/>
          <w:lang w:val="en-GB"/>
        </w:rPr>
        <w:t xml:space="preserve"> The fact that the 30-second application may result in inge</w:t>
      </w:r>
      <w:r w:rsidRPr="005E0923">
        <w:rPr>
          <w:rFonts w:asciiTheme="minorHAnsi" w:hAnsiTheme="minorHAnsi" w:cstheme="minorHAnsi"/>
          <w:i/>
          <w:iCs/>
          <w:lang w:val="en-GB"/>
        </w:rPr>
        <w:t>s</w:t>
      </w:r>
      <w:r w:rsidRPr="005E0923">
        <w:rPr>
          <w:rFonts w:asciiTheme="minorHAnsi" w:hAnsiTheme="minorHAnsi" w:cstheme="minorHAnsi"/>
          <w:i/>
          <w:iCs/>
          <w:lang w:val="en-GB"/>
        </w:rPr>
        <w:t>tion of ingredients of the oil through the oral mucosa is also irrelevant under the aforeme</w:t>
      </w:r>
      <w:r w:rsidRPr="005E0923">
        <w:rPr>
          <w:rFonts w:asciiTheme="minorHAnsi" w:hAnsiTheme="minorHAnsi" w:cstheme="minorHAnsi"/>
          <w:i/>
          <w:iCs/>
          <w:lang w:val="en-GB"/>
        </w:rPr>
        <w:t>n</w:t>
      </w:r>
      <w:r w:rsidRPr="005E0923">
        <w:rPr>
          <w:rFonts w:asciiTheme="minorHAnsi" w:hAnsiTheme="minorHAnsi" w:cstheme="minorHAnsi"/>
          <w:i/>
          <w:iCs/>
          <w:lang w:val="en-GB"/>
        </w:rPr>
        <w:t>tioned interpretation of ingestion."</w:t>
      </w:r>
    </w:p>
    <w:p w14:paraId="174FC37C" w14:textId="3DEBCEA9" w:rsidR="001F13A1" w:rsidRPr="005E0923" w:rsidRDefault="003E3E15" w:rsidP="00037B6F">
      <w:pPr>
        <w:jc w:val="both"/>
        <w:rPr>
          <w:rFonts w:asciiTheme="minorHAnsi" w:hAnsiTheme="minorHAnsi" w:cstheme="minorHAnsi"/>
          <w:lang w:val="en-GB"/>
        </w:rPr>
      </w:pPr>
      <w:r w:rsidRPr="005E0923">
        <w:rPr>
          <w:rFonts w:asciiTheme="minorHAnsi" w:hAnsiTheme="minorHAnsi" w:cstheme="minorHAnsi"/>
          <w:lang w:val="en-GB"/>
        </w:rPr>
        <w:t>According to the previously mentioned case law of the European Court of Justice and the Federal Administrative Court</w:t>
      </w:r>
      <w:r w:rsidR="009F4801" w:rsidRPr="005E0923">
        <w:rPr>
          <w:rFonts w:asciiTheme="minorHAnsi" w:hAnsiTheme="minorHAnsi" w:cstheme="minorHAnsi"/>
          <w:lang w:val="en-GB"/>
        </w:rPr>
        <w:t xml:space="preserve"> of Germany</w:t>
      </w:r>
      <w:r w:rsidRPr="005E0923">
        <w:rPr>
          <w:rFonts w:asciiTheme="minorHAnsi" w:hAnsiTheme="minorHAnsi" w:cstheme="minorHAnsi"/>
          <w:lang w:val="en-GB"/>
        </w:rPr>
        <w:t xml:space="preserve">, it is not the general perception of the market that is important, but rather the view and understanding of the average consumer </w:t>
      </w:r>
      <w:r w:rsidRPr="005E0923">
        <w:rPr>
          <w:rFonts w:asciiTheme="minorHAnsi" w:hAnsiTheme="minorHAnsi" w:cstheme="minorHAnsi"/>
          <w:i/>
          <w:iCs/>
          <w:lang w:val="en-GB"/>
        </w:rPr>
        <w:t xml:space="preserve">addressed. </w:t>
      </w:r>
      <w:r w:rsidRPr="005E0923">
        <w:rPr>
          <w:rFonts w:asciiTheme="minorHAnsi" w:hAnsiTheme="minorHAnsi" w:cstheme="minorHAnsi"/>
          <w:lang w:val="en-GB"/>
        </w:rPr>
        <w:t xml:space="preserve">With </w:t>
      </w:r>
      <w:r w:rsidR="00D24C50" w:rsidRPr="005E0923">
        <w:rPr>
          <w:rFonts w:asciiTheme="minorHAnsi" w:hAnsiTheme="minorHAnsi" w:cstheme="minorHAnsi"/>
          <w:lang w:val="en-GB"/>
        </w:rPr>
        <w:t xml:space="preserve">a </w:t>
      </w:r>
      <w:r w:rsidRPr="005E0923">
        <w:rPr>
          <w:rFonts w:asciiTheme="minorHAnsi" w:hAnsiTheme="minorHAnsi" w:cstheme="minorHAnsi"/>
          <w:lang w:val="en-GB"/>
        </w:rPr>
        <w:t xml:space="preserve">clearly advertised function as a cosmetic oral care spray </w:t>
      </w:r>
      <w:r w:rsidR="00D24C50" w:rsidRPr="005E0923">
        <w:rPr>
          <w:rFonts w:asciiTheme="minorHAnsi" w:hAnsiTheme="minorHAnsi" w:cstheme="minorHAnsi"/>
          <w:lang w:val="en-GB"/>
        </w:rPr>
        <w:t xml:space="preserve">or oil, </w:t>
      </w:r>
      <w:r w:rsidRPr="005E0923">
        <w:rPr>
          <w:rFonts w:asciiTheme="minorHAnsi" w:hAnsiTheme="minorHAnsi" w:cstheme="minorHAnsi"/>
          <w:lang w:val="en-GB"/>
        </w:rPr>
        <w:t>consumers who expect other than cosmetic effects from CBD oils are therefore not addressed. Of the average consumers who purchase the product as a co</w:t>
      </w:r>
      <w:r w:rsidRPr="005E0923">
        <w:rPr>
          <w:rFonts w:asciiTheme="minorHAnsi" w:hAnsiTheme="minorHAnsi" w:cstheme="minorHAnsi"/>
          <w:lang w:val="en-GB"/>
        </w:rPr>
        <w:t>s</w:t>
      </w:r>
      <w:r w:rsidRPr="005E0923">
        <w:rPr>
          <w:rFonts w:asciiTheme="minorHAnsi" w:hAnsiTheme="minorHAnsi" w:cstheme="minorHAnsi"/>
          <w:lang w:val="en-GB"/>
        </w:rPr>
        <w:t>metic care product, it is correct to assume with the Administrative Court of Hamburg that these co</w:t>
      </w:r>
      <w:r w:rsidRPr="005E0923">
        <w:rPr>
          <w:rFonts w:asciiTheme="minorHAnsi" w:hAnsiTheme="minorHAnsi" w:cstheme="minorHAnsi"/>
          <w:lang w:val="en-GB"/>
        </w:rPr>
        <w:t>n</w:t>
      </w:r>
      <w:r w:rsidRPr="005E0923">
        <w:rPr>
          <w:rFonts w:asciiTheme="minorHAnsi" w:hAnsiTheme="minorHAnsi" w:cstheme="minorHAnsi"/>
          <w:lang w:val="en-GB"/>
        </w:rPr>
        <w:t xml:space="preserve">sumers </w:t>
      </w:r>
      <w:r w:rsidR="00D24C50" w:rsidRPr="005E0923">
        <w:rPr>
          <w:rFonts w:asciiTheme="minorHAnsi" w:hAnsiTheme="minorHAnsi" w:cstheme="minorHAnsi"/>
          <w:lang w:val="en-GB"/>
        </w:rPr>
        <w:t xml:space="preserve">will </w:t>
      </w:r>
      <w:r w:rsidRPr="005E0923">
        <w:rPr>
          <w:rFonts w:asciiTheme="minorHAnsi" w:hAnsiTheme="minorHAnsi" w:cstheme="minorHAnsi"/>
          <w:lang w:val="en-GB"/>
        </w:rPr>
        <w:t>not disregard the instructions for use.</w:t>
      </w:r>
    </w:p>
    <w:p w14:paraId="6A0B2E48" w14:textId="1A63ED6F" w:rsidR="001F13A1" w:rsidRPr="005E0923" w:rsidRDefault="003E3E15" w:rsidP="00037B6F">
      <w:pPr>
        <w:jc w:val="both"/>
        <w:rPr>
          <w:rFonts w:asciiTheme="minorHAnsi" w:hAnsiTheme="minorHAnsi"/>
          <w:lang w:val="en-GB"/>
        </w:rPr>
      </w:pPr>
      <w:r w:rsidRPr="005E0923">
        <w:rPr>
          <w:rFonts w:asciiTheme="minorHAnsi" w:hAnsiTheme="minorHAnsi" w:cstheme="minorHAnsi"/>
          <w:lang w:val="en-GB"/>
        </w:rPr>
        <w:t xml:space="preserve">If it </w:t>
      </w:r>
      <w:r w:rsidR="009F4801" w:rsidRPr="005E0923">
        <w:rPr>
          <w:rFonts w:asciiTheme="minorHAnsi" w:hAnsiTheme="minorHAnsi" w:cstheme="minorHAnsi"/>
          <w:lang w:val="en-GB"/>
        </w:rPr>
        <w:t xml:space="preserve">then </w:t>
      </w:r>
      <w:r w:rsidRPr="005E0923">
        <w:rPr>
          <w:rFonts w:asciiTheme="minorHAnsi" w:hAnsiTheme="minorHAnsi" w:cstheme="minorHAnsi"/>
          <w:lang w:val="en-GB"/>
        </w:rPr>
        <w:t xml:space="preserve">turns out that the </w:t>
      </w:r>
      <w:r w:rsidRPr="005E0923">
        <w:rPr>
          <w:rFonts w:asciiTheme="minorHAnsi" w:hAnsiTheme="minorHAnsi"/>
          <w:lang w:val="en-GB"/>
        </w:rPr>
        <w:t>product</w:t>
      </w:r>
      <w:r w:rsidRPr="005E0923">
        <w:rPr>
          <w:rFonts w:asciiTheme="minorHAnsi" w:hAnsiTheme="minorHAnsi" w:cstheme="minorHAnsi"/>
          <w:lang w:val="en-GB"/>
        </w:rPr>
        <w:t xml:space="preserve"> is a cosmetic product, a classification as </w:t>
      </w:r>
      <w:r w:rsidRPr="005E0923">
        <w:rPr>
          <w:rFonts w:asciiTheme="minorHAnsi" w:hAnsiTheme="minorHAnsi"/>
          <w:lang w:val="en-GB"/>
        </w:rPr>
        <w:t xml:space="preserve">food </w:t>
      </w:r>
      <w:r w:rsidR="00475F81" w:rsidRPr="005E0923">
        <w:rPr>
          <w:rFonts w:asciiTheme="minorHAnsi" w:hAnsiTheme="minorHAnsi"/>
          <w:lang w:val="en-GB"/>
        </w:rPr>
        <w:t xml:space="preserve">is excluded </w:t>
      </w:r>
      <w:r w:rsidRPr="005E0923">
        <w:rPr>
          <w:rFonts w:asciiTheme="minorHAnsi" w:hAnsiTheme="minorHAnsi"/>
          <w:lang w:val="en-GB"/>
        </w:rPr>
        <w:t>accor</w:t>
      </w:r>
      <w:r w:rsidRPr="005E0923">
        <w:rPr>
          <w:rFonts w:asciiTheme="minorHAnsi" w:hAnsiTheme="minorHAnsi"/>
          <w:lang w:val="en-GB"/>
        </w:rPr>
        <w:t>d</w:t>
      </w:r>
      <w:r w:rsidRPr="005E0923">
        <w:rPr>
          <w:rFonts w:asciiTheme="minorHAnsi" w:hAnsiTheme="minorHAnsi"/>
          <w:lang w:val="en-GB"/>
        </w:rPr>
        <w:t xml:space="preserve">ing to Art. </w:t>
      </w:r>
      <w:proofErr w:type="gramStart"/>
      <w:r w:rsidRPr="005E0923">
        <w:rPr>
          <w:rFonts w:asciiTheme="minorHAnsi" w:hAnsiTheme="minorHAnsi"/>
          <w:lang w:val="en-GB"/>
        </w:rPr>
        <w:t>2 (1) of Regulation (EC) No. 178/2022, and thus also the application of the Novel Food Regulation VO (EU) 2015/2283.</w:t>
      </w:r>
      <w:proofErr w:type="gramEnd"/>
      <w:r w:rsidRPr="005E0923">
        <w:rPr>
          <w:rFonts w:asciiTheme="minorHAnsi" w:hAnsiTheme="minorHAnsi"/>
          <w:lang w:val="en-GB"/>
        </w:rPr>
        <w:t xml:space="preserve"> </w:t>
      </w:r>
    </w:p>
    <w:p w14:paraId="49FB6FE0" w14:textId="06986C1B" w:rsidR="001F13A1" w:rsidRPr="005E0923" w:rsidRDefault="00475F81" w:rsidP="00037B6F">
      <w:pPr>
        <w:jc w:val="both"/>
        <w:rPr>
          <w:rFonts w:asciiTheme="minorHAnsi" w:hAnsiTheme="minorHAnsi"/>
          <w:lang w:val="en-GB"/>
        </w:rPr>
      </w:pPr>
      <w:r>
        <w:rPr>
          <w:rFonts w:asciiTheme="minorHAnsi" w:hAnsiTheme="minorHAnsi"/>
          <w:lang w:val="en-GB"/>
        </w:rPr>
        <w:t>Combined w</w:t>
      </w:r>
      <w:r w:rsidR="003E3E15" w:rsidRPr="005E0923">
        <w:rPr>
          <w:rFonts w:asciiTheme="minorHAnsi" w:hAnsiTheme="minorHAnsi"/>
          <w:lang w:val="en-GB"/>
        </w:rPr>
        <w:t xml:space="preserve">ith proper </w:t>
      </w:r>
      <w:r w:rsidR="005E0923" w:rsidRPr="005E0923">
        <w:rPr>
          <w:rFonts w:asciiTheme="minorHAnsi" w:hAnsiTheme="minorHAnsi"/>
          <w:lang w:val="en-GB"/>
        </w:rPr>
        <w:t>labelling</w:t>
      </w:r>
      <w:r w:rsidR="003E3E15" w:rsidRPr="005E0923">
        <w:rPr>
          <w:rFonts w:asciiTheme="minorHAnsi" w:hAnsiTheme="minorHAnsi"/>
          <w:lang w:val="en-GB"/>
        </w:rPr>
        <w:t xml:space="preserve">, </w:t>
      </w:r>
      <w:proofErr w:type="gramStart"/>
      <w:r w:rsidR="003E3E15" w:rsidRPr="005E0923">
        <w:rPr>
          <w:rFonts w:asciiTheme="minorHAnsi" w:hAnsiTheme="minorHAnsi"/>
          <w:lang w:val="en-GB"/>
        </w:rPr>
        <w:t>a hemp</w:t>
      </w:r>
      <w:proofErr w:type="gramEnd"/>
      <w:r w:rsidR="003E3E15" w:rsidRPr="005E0923">
        <w:rPr>
          <w:rFonts w:asciiTheme="minorHAnsi" w:hAnsiTheme="minorHAnsi"/>
          <w:lang w:val="en-GB"/>
        </w:rPr>
        <w:t xml:space="preserve"> extract oil with cannabinoids is thus marketable as a co</w:t>
      </w:r>
      <w:r w:rsidR="003E3E15" w:rsidRPr="005E0923">
        <w:rPr>
          <w:rFonts w:asciiTheme="minorHAnsi" w:hAnsiTheme="minorHAnsi"/>
          <w:lang w:val="en-GB"/>
        </w:rPr>
        <w:t>s</w:t>
      </w:r>
      <w:r w:rsidR="003E3E15" w:rsidRPr="005E0923">
        <w:rPr>
          <w:rFonts w:asciiTheme="minorHAnsi" w:hAnsiTheme="minorHAnsi"/>
          <w:lang w:val="en-GB"/>
        </w:rPr>
        <w:t>metic.</w:t>
      </w:r>
    </w:p>
    <w:p w14:paraId="4DFFB78B" w14:textId="602669F7" w:rsidR="001F13A1" w:rsidRPr="005E0923" w:rsidRDefault="003E3E15" w:rsidP="00037B6F">
      <w:pPr>
        <w:jc w:val="both"/>
        <w:rPr>
          <w:b/>
          <w:lang w:val="en-GB"/>
        </w:rPr>
      </w:pPr>
      <w:r w:rsidRPr="005E0923">
        <w:rPr>
          <w:b/>
          <w:lang w:val="en-GB"/>
        </w:rPr>
        <w:t xml:space="preserve">VI. </w:t>
      </w:r>
      <w:r w:rsidR="009F4801" w:rsidRPr="005E0923">
        <w:rPr>
          <w:b/>
          <w:lang w:val="en-GB"/>
        </w:rPr>
        <w:t>O</w:t>
      </w:r>
      <w:r w:rsidRPr="005E0923">
        <w:rPr>
          <w:b/>
          <w:lang w:val="en-GB"/>
        </w:rPr>
        <w:t>utlook</w:t>
      </w:r>
    </w:p>
    <w:p w14:paraId="6FE6080C" w14:textId="17CDAC29" w:rsidR="003B75DD" w:rsidRPr="005E0923" w:rsidRDefault="003B75DD" w:rsidP="00037B6F">
      <w:pPr>
        <w:jc w:val="both"/>
        <w:rPr>
          <w:bCs/>
          <w:lang w:val="en-GB"/>
        </w:rPr>
      </w:pPr>
      <w:r w:rsidRPr="005E0923">
        <w:rPr>
          <w:bCs/>
          <w:lang w:val="en-GB"/>
        </w:rPr>
        <w:t xml:space="preserve">In the meantime, a first second-instance decision </w:t>
      </w:r>
      <w:r w:rsidR="00F9748F">
        <w:rPr>
          <w:bCs/>
          <w:lang w:val="en-GB"/>
        </w:rPr>
        <w:t>by</w:t>
      </w:r>
      <w:r w:rsidRPr="005E0923">
        <w:rPr>
          <w:bCs/>
          <w:lang w:val="en-GB"/>
        </w:rPr>
        <w:t xml:space="preserve"> the Administrative Court of Munich from Febr</w:t>
      </w:r>
      <w:r w:rsidRPr="005E0923">
        <w:rPr>
          <w:bCs/>
          <w:lang w:val="en-GB"/>
        </w:rPr>
        <w:t>u</w:t>
      </w:r>
      <w:r w:rsidRPr="005E0923">
        <w:rPr>
          <w:bCs/>
          <w:lang w:val="en-GB"/>
        </w:rPr>
        <w:t xml:space="preserve">ary 2023 has become known, which confirms the decision of the BfArM and the VG Cologne, but without further </w:t>
      </w:r>
      <w:r w:rsidR="00AF527B" w:rsidRPr="005E0923">
        <w:rPr>
          <w:bCs/>
          <w:lang w:val="en-GB"/>
        </w:rPr>
        <w:t xml:space="preserve">gain </w:t>
      </w:r>
      <w:r w:rsidR="00AF527B">
        <w:rPr>
          <w:bCs/>
          <w:lang w:val="en-GB"/>
        </w:rPr>
        <w:t xml:space="preserve">of </w:t>
      </w:r>
      <w:r w:rsidRPr="005E0923">
        <w:rPr>
          <w:bCs/>
          <w:lang w:val="en-GB"/>
        </w:rPr>
        <w:t>argument</w:t>
      </w:r>
      <w:r w:rsidR="00AF527B">
        <w:rPr>
          <w:bCs/>
          <w:lang w:val="en-GB"/>
        </w:rPr>
        <w:t>s</w:t>
      </w:r>
      <w:r w:rsidRPr="005E0923">
        <w:rPr>
          <w:bCs/>
          <w:lang w:val="en-GB"/>
        </w:rPr>
        <w:t xml:space="preserve">. This decision, even if issued </w:t>
      </w:r>
      <w:r w:rsidR="00A00CFD" w:rsidRPr="005E0923">
        <w:rPr>
          <w:bCs/>
          <w:lang w:val="en-GB"/>
        </w:rPr>
        <w:t xml:space="preserve">only </w:t>
      </w:r>
      <w:r w:rsidRPr="005E0923">
        <w:rPr>
          <w:bCs/>
          <w:lang w:val="en-GB"/>
        </w:rPr>
        <w:t>provisionally in summary pr</w:t>
      </w:r>
      <w:r w:rsidRPr="005E0923">
        <w:rPr>
          <w:bCs/>
          <w:lang w:val="en-GB"/>
        </w:rPr>
        <w:t>o</w:t>
      </w:r>
      <w:r w:rsidRPr="005E0923">
        <w:rPr>
          <w:bCs/>
          <w:lang w:val="en-GB"/>
        </w:rPr>
        <w:t xml:space="preserve">ceedings, </w:t>
      </w:r>
      <w:r w:rsidR="00A00CFD">
        <w:rPr>
          <w:bCs/>
          <w:lang w:val="en-GB"/>
        </w:rPr>
        <w:t>emphasizes</w:t>
      </w:r>
      <w:r w:rsidRPr="005E0923">
        <w:rPr>
          <w:bCs/>
          <w:lang w:val="en-GB"/>
        </w:rPr>
        <w:t xml:space="preserve"> the explosive nature of this issue for the CBD market. Similar decisions from other EU countries have not yet become known.</w:t>
      </w:r>
    </w:p>
    <w:p w14:paraId="66314129" w14:textId="074A4EB0" w:rsidR="001F13A1" w:rsidRPr="005E0923" w:rsidRDefault="003E3E15" w:rsidP="00037B6F">
      <w:pPr>
        <w:jc w:val="both"/>
        <w:rPr>
          <w:bCs/>
          <w:lang w:val="en-GB"/>
        </w:rPr>
      </w:pPr>
      <w:r w:rsidRPr="005E0923">
        <w:rPr>
          <w:bCs/>
          <w:lang w:val="en-GB"/>
        </w:rPr>
        <w:t>Several applicants have submitted applications for various CBD products and ingredients to the Eur</w:t>
      </w:r>
      <w:r w:rsidRPr="005E0923">
        <w:rPr>
          <w:bCs/>
          <w:lang w:val="en-GB"/>
        </w:rPr>
        <w:t>o</w:t>
      </w:r>
      <w:r w:rsidRPr="005E0923">
        <w:rPr>
          <w:bCs/>
          <w:lang w:val="en-GB"/>
        </w:rPr>
        <w:t>pean Commission for a</w:t>
      </w:r>
      <w:r w:rsidR="00373A2C">
        <w:rPr>
          <w:bCs/>
          <w:lang w:val="en-GB"/>
        </w:rPr>
        <w:t>uthorisation</w:t>
      </w:r>
      <w:r w:rsidRPr="005E0923">
        <w:rPr>
          <w:bCs/>
          <w:lang w:val="en-GB"/>
        </w:rPr>
        <w:t xml:space="preserve"> as novel foods, </w:t>
      </w:r>
      <w:r w:rsidR="004C344F" w:rsidRPr="005E0923">
        <w:rPr>
          <w:bCs/>
          <w:lang w:val="en-GB"/>
        </w:rPr>
        <w:t xml:space="preserve">such as the </w:t>
      </w:r>
      <w:r w:rsidRPr="005E0923">
        <w:rPr>
          <w:bCs/>
          <w:lang w:val="en-GB"/>
        </w:rPr>
        <w:t xml:space="preserve">EIHA </w:t>
      </w:r>
      <w:r w:rsidR="004C344F" w:rsidRPr="005E0923">
        <w:rPr>
          <w:bCs/>
          <w:lang w:val="en-GB"/>
        </w:rPr>
        <w:t>with its Nov</w:t>
      </w:r>
      <w:r w:rsidRPr="005E0923">
        <w:rPr>
          <w:bCs/>
          <w:lang w:val="en-GB"/>
        </w:rPr>
        <w:t xml:space="preserve">el Food </w:t>
      </w:r>
      <w:r w:rsidR="004C344F" w:rsidRPr="005E0923">
        <w:rPr>
          <w:bCs/>
          <w:lang w:val="en-GB"/>
        </w:rPr>
        <w:t>Consortium</w:t>
      </w:r>
      <w:r w:rsidRPr="005E0923">
        <w:rPr>
          <w:bCs/>
          <w:lang w:val="en-GB"/>
        </w:rPr>
        <w:t xml:space="preserve">. The EIHA represents more than 150 companies in this </w:t>
      </w:r>
      <w:r w:rsidR="009F4801" w:rsidRPr="005E0923">
        <w:rPr>
          <w:bCs/>
          <w:lang w:val="en-GB"/>
        </w:rPr>
        <w:t>procedure and</w:t>
      </w:r>
      <w:r w:rsidRPr="005E0923">
        <w:rPr>
          <w:bCs/>
          <w:lang w:val="en-GB"/>
        </w:rPr>
        <w:t xml:space="preserve"> invests an amount of up to €</w:t>
      </w:r>
      <w:r w:rsidR="00D569C9">
        <w:rPr>
          <w:bCs/>
          <w:lang w:val="en-GB"/>
        </w:rPr>
        <w:t xml:space="preserve"> 3</w:t>
      </w:r>
      <w:proofErr w:type="gramStart"/>
      <w:r w:rsidR="00D569C9">
        <w:rPr>
          <w:bCs/>
          <w:lang w:val="en-GB"/>
        </w:rPr>
        <w:t>,5</w:t>
      </w:r>
      <w:proofErr w:type="gramEnd"/>
      <w:r w:rsidRPr="005E0923">
        <w:rPr>
          <w:bCs/>
          <w:lang w:val="en-GB"/>
        </w:rPr>
        <w:t xml:space="preserve"> million in toxicological studies for 4 different categories. </w:t>
      </w:r>
      <w:r w:rsidR="00373A2C">
        <w:rPr>
          <w:bCs/>
          <w:lang w:val="en-GB"/>
        </w:rPr>
        <w:t xml:space="preserve">It </w:t>
      </w:r>
      <w:r w:rsidR="00373A2C" w:rsidRPr="005E0923">
        <w:rPr>
          <w:bCs/>
          <w:lang w:val="en-GB"/>
        </w:rPr>
        <w:t xml:space="preserve">is </w:t>
      </w:r>
      <w:r w:rsidR="00373A2C">
        <w:rPr>
          <w:bCs/>
          <w:lang w:val="en-GB"/>
        </w:rPr>
        <w:t>p</w:t>
      </w:r>
      <w:r w:rsidRPr="005E0923">
        <w:rPr>
          <w:bCs/>
          <w:lang w:val="en-GB"/>
        </w:rPr>
        <w:t>roblematic in this respect that the medical character of a product continues to be defined at national level, and the European Commi</w:t>
      </w:r>
      <w:r w:rsidRPr="005E0923">
        <w:rPr>
          <w:bCs/>
          <w:lang w:val="en-GB"/>
        </w:rPr>
        <w:t>s</w:t>
      </w:r>
      <w:r w:rsidRPr="005E0923">
        <w:rPr>
          <w:bCs/>
          <w:lang w:val="en-GB"/>
        </w:rPr>
        <w:t xml:space="preserve">sion has no authority to rule on this definition. As recital 18 of the Novel Food Regulation explicitly states, the Member State is entitled to restrict the marketing of a product that is a medicinal product in accordance with </w:t>
      </w:r>
      <w:r w:rsidR="009F4801" w:rsidRPr="005E0923">
        <w:rPr>
          <w:bCs/>
          <w:lang w:val="en-GB"/>
        </w:rPr>
        <w:t>EU</w:t>
      </w:r>
      <w:r w:rsidRPr="005E0923">
        <w:rPr>
          <w:bCs/>
          <w:lang w:val="en-GB"/>
        </w:rPr>
        <w:t xml:space="preserve"> law.</w:t>
      </w:r>
      <w:r w:rsidRPr="005E0923">
        <w:rPr>
          <w:rStyle w:val="Funotenzeichen"/>
          <w:bCs/>
          <w:lang w:val="en-GB"/>
        </w:rPr>
        <w:footnoteReference w:id="47"/>
      </w:r>
    </w:p>
    <w:p w14:paraId="0A9DB0CB" w14:textId="30CC5401" w:rsidR="001F13A1" w:rsidRPr="005E0923" w:rsidRDefault="003E3E15" w:rsidP="00037B6F">
      <w:pPr>
        <w:jc w:val="both"/>
        <w:rPr>
          <w:bCs/>
          <w:lang w:val="en-GB"/>
        </w:rPr>
      </w:pPr>
      <w:r w:rsidRPr="005E0923">
        <w:rPr>
          <w:bCs/>
          <w:lang w:val="en-GB"/>
        </w:rPr>
        <w:t>In this respect, it would be desirable for the European member states to inform each other and, if necessary, even to introduce an obligation to notify products that are to be classified as medicinal products if they can be traded as foodstuffs in other member states. For example, within the fram</w:t>
      </w:r>
      <w:r w:rsidRPr="005E0923">
        <w:rPr>
          <w:bCs/>
          <w:lang w:val="en-GB"/>
        </w:rPr>
        <w:t>e</w:t>
      </w:r>
      <w:r w:rsidRPr="005E0923">
        <w:rPr>
          <w:bCs/>
          <w:lang w:val="en-GB"/>
        </w:rPr>
        <w:lastRenderedPageBreak/>
        <w:t xml:space="preserve">work of Regulation (EU) 2019/515, such cooperation between the Member States is already possible and, in the sense of a common, European </w:t>
      </w:r>
      <w:r w:rsidR="005E0923" w:rsidRPr="005E0923">
        <w:rPr>
          <w:bCs/>
          <w:lang w:val="en-GB"/>
        </w:rPr>
        <w:t>market</w:t>
      </w:r>
      <w:r w:rsidRPr="005E0923">
        <w:rPr>
          <w:bCs/>
          <w:lang w:val="en-GB"/>
        </w:rPr>
        <w:t xml:space="preserve"> is also urgently recommended.</w:t>
      </w:r>
      <w:r w:rsidRPr="005E0923">
        <w:rPr>
          <w:rStyle w:val="Funotenzeichen"/>
          <w:bCs/>
          <w:lang w:val="en-GB"/>
        </w:rPr>
        <w:footnoteReference w:id="48"/>
      </w:r>
    </w:p>
    <w:p w14:paraId="5E9408A0" w14:textId="77777777" w:rsidR="00952994" w:rsidRPr="005E0923" w:rsidRDefault="00952994" w:rsidP="00037B6F">
      <w:pPr>
        <w:jc w:val="both"/>
        <w:rPr>
          <w:bCs/>
          <w:lang w:val="en-GB"/>
        </w:rPr>
      </w:pPr>
    </w:p>
    <w:p w14:paraId="701BDAC2" w14:textId="649BCBA1" w:rsidR="00FA1566" w:rsidRPr="005E0923" w:rsidRDefault="00FA1566">
      <w:pPr>
        <w:rPr>
          <w:bCs/>
          <w:lang w:val="en-GB"/>
        </w:rPr>
      </w:pPr>
      <w:r w:rsidRPr="005E0923">
        <w:rPr>
          <w:bCs/>
          <w:lang w:val="en-GB"/>
        </w:rPr>
        <w:br w:type="page"/>
      </w:r>
    </w:p>
    <w:p w14:paraId="2464CB23" w14:textId="77777777" w:rsidR="00FA1566" w:rsidRPr="005E0923" w:rsidRDefault="00FA1566" w:rsidP="00FA1566">
      <w:pPr>
        <w:spacing w:before="100" w:beforeAutospacing="1"/>
        <w:ind w:left="705" w:hanging="705"/>
        <w:rPr>
          <w:b/>
          <w:bCs/>
          <w:u w:val="single"/>
          <w:lang w:val="en-GB"/>
        </w:rPr>
      </w:pPr>
      <w:r w:rsidRPr="005E0923">
        <w:rPr>
          <w:b/>
          <w:bCs/>
          <w:u w:val="single"/>
          <w:lang w:val="en-GB"/>
        </w:rPr>
        <w:lastRenderedPageBreak/>
        <w:t>Appendix 1:</w:t>
      </w:r>
    </w:p>
    <w:p w14:paraId="49D1C0B3" w14:textId="65CB1CF4" w:rsidR="00FA1566" w:rsidRPr="005E0923" w:rsidRDefault="00FA1566" w:rsidP="00FA1566">
      <w:pPr>
        <w:spacing w:before="100" w:beforeAutospacing="1"/>
        <w:rPr>
          <w:b/>
          <w:bCs/>
          <w:lang w:val="en-GB"/>
        </w:rPr>
      </w:pPr>
      <w:r w:rsidRPr="005E0923">
        <w:rPr>
          <w:b/>
          <w:bCs/>
          <w:lang w:val="en-GB"/>
        </w:rPr>
        <w:t xml:space="preserve">On the pharmacological and therapeutic effects of CBD in </w:t>
      </w:r>
      <w:r w:rsidR="005E0923" w:rsidRPr="005E0923">
        <w:rPr>
          <w:b/>
          <w:bCs/>
          <w:lang w:val="en-GB"/>
        </w:rPr>
        <w:t>humans</w:t>
      </w:r>
    </w:p>
    <w:p w14:paraId="0EDA7BB5" w14:textId="77777777" w:rsidR="00FA1566" w:rsidRPr="005E0923" w:rsidRDefault="00FA1566" w:rsidP="00FA1566">
      <w:pPr>
        <w:spacing w:before="100" w:beforeAutospacing="1" w:after="100" w:afterAutospacing="1"/>
        <w:jc w:val="both"/>
        <w:rPr>
          <w:lang w:val="en-GB"/>
        </w:rPr>
      </w:pPr>
      <w:r w:rsidRPr="005E0923">
        <w:rPr>
          <w:lang w:val="en-GB"/>
        </w:rPr>
        <w:t>In 1979, the state of knowledge was still: from summary studies on toxicity and tolerability of CBD, it emerged that CBD only showed any observable / measurable effects at all from an oral dose of a</w:t>
      </w:r>
      <w:r w:rsidRPr="005E0923">
        <w:rPr>
          <w:lang w:val="en-GB"/>
        </w:rPr>
        <w:t>p</w:t>
      </w:r>
      <w:r w:rsidRPr="005E0923">
        <w:rPr>
          <w:lang w:val="en-GB"/>
        </w:rPr>
        <w:t>prox. 160 mg/d.</w:t>
      </w:r>
      <w:r w:rsidRPr="005E0923">
        <w:rPr>
          <w:rStyle w:val="Funotenzeichen"/>
          <w:lang w:val="en-GB"/>
        </w:rPr>
        <w:footnoteReference w:id="49"/>
      </w:r>
    </w:p>
    <w:p w14:paraId="6EC878B6" w14:textId="129A926B" w:rsidR="00FA1566" w:rsidRPr="005E0923" w:rsidRDefault="00FA1566" w:rsidP="00FA1566">
      <w:pPr>
        <w:spacing w:before="100" w:beforeAutospacing="1" w:after="100" w:afterAutospacing="1"/>
        <w:jc w:val="both"/>
        <w:rPr>
          <w:lang w:val="en-GB"/>
        </w:rPr>
      </w:pPr>
      <w:r w:rsidRPr="005E0923">
        <w:rPr>
          <w:lang w:val="en-GB"/>
        </w:rPr>
        <w:t xml:space="preserve">In the meantime, a great many clinical </w:t>
      </w:r>
      <w:r w:rsidR="00425D1A" w:rsidRPr="005E0923">
        <w:rPr>
          <w:lang w:val="en-GB"/>
        </w:rPr>
        <w:t>studies,</w:t>
      </w:r>
      <w:r w:rsidRPr="005E0923">
        <w:rPr>
          <w:lang w:val="en-GB"/>
        </w:rPr>
        <w:t xml:space="preserve"> and observational studies on the pharmacological and presumed potential therapeutic effect of CBD at low doses have been added. Only the most recent review articles from the scientific literature with the individual studies cited therein are listed here.</w:t>
      </w:r>
    </w:p>
    <w:p w14:paraId="1BCBD388" w14:textId="29B8D6A8" w:rsidR="00FA1566" w:rsidRPr="005E0923" w:rsidRDefault="00FA1566" w:rsidP="00FA1566">
      <w:pPr>
        <w:spacing w:before="100" w:beforeAutospacing="1" w:after="100" w:afterAutospacing="1"/>
        <w:jc w:val="both"/>
        <w:rPr>
          <w:lang w:val="en-GB"/>
        </w:rPr>
      </w:pPr>
      <w:r w:rsidRPr="005E0923">
        <w:rPr>
          <w:lang w:val="en-GB"/>
        </w:rPr>
        <w:t xml:space="preserve">Millar and </w:t>
      </w:r>
      <w:r w:rsidR="005E0923" w:rsidRPr="005E0923">
        <w:rPr>
          <w:lang w:val="en-GB"/>
        </w:rPr>
        <w:t>co-workers</w:t>
      </w:r>
      <w:r w:rsidRPr="005E0923">
        <w:rPr>
          <w:lang w:val="en-GB"/>
        </w:rPr>
        <w:t xml:space="preserve"> (2019)</w:t>
      </w:r>
      <w:r w:rsidRPr="005E0923">
        <w:rPr>
          <w:rStyle w:val="Funotenzeichen"/>
          <w:lang w:val="en-GB"/>
        </w:rPr>
        <w:footnoteReference w:id="50"/>
      </w:r>
      <w:r w:rsidRPr="005E0923">
        <w:rPr>
          <w:lang w:val="en-GB"/>
        </w:rPr>
        <w:t xml:space="preserve"> concluded from a meta-analysis of 35 studies with a CBD dosage range of &lt;1 to 50 mg/kg/d: </w:t>
      </w:r>
      <w:r w:rsidRPr="005E0923">
        <w:rPr>
          <w:i/>
          <w:lang w:val="en-GB"/>
        </w:rPr>
        <w:t>"There was no signal of positive activity of CBD in small randomized co</w:t>
      </w:r>
      <w:r w:rsidRPr="005E0923">
        <w:rPr>
          <w:i/>
          <w:lang w:val="en-GB"/>
        </w:rPr>
        <w:t>n</w:t>
      </w:r>
      <w:r w:rsidRPr="005E0923">
        <w:rPr>
          <w:i/>
          <w:lang w:val="en-GB"/>
        </w:rPr>
        <w:t xml:space="preserve">trolled trials (range </w:t>
      </w:r>
      <w:r w:rsidRPr="005E0923">
        <w:rPr>
          <w:i/>
          <w:iCs/>
          <w:lang w:val="en-GB"/>
        </w:rPr>
        <w:t xml:space="preserve">n </w:t>
      </w:r>
      <w:r w:rsidRPr="005E0923">
        <w:rPr>
          <w:i/>
          <w:lang w:val="en-GB"/>
        </w:rPr>
        <w:t>= 6-62) assessing diabetes, Crohn's disease, ocular hypertension, fatty liver di</w:t>
      </w:r>
      <w:r w:rsidRPr="005E0923">
        <w:rPr>
          <w:i/>
          <w:lang w:val="en-GB"/>
        </w:rPr>
        <w:t>s</w:t>
      </w:r>
      <w:r w:rsidRPr="005E0923">
        <w:rPr>
          <w:i/>
          <w:lang w:val="en-GB"/>
        </w:rPr>
        <w:t>ease or chronic pain. However, low doses (average 2.4 mg/kg/d) were used in these studies. ... Pha</w:t>
      </w:r>
      <w:r w:rsidRPr="005E0923">
        <w:rPr>
          <w:i/>
          <w:lang w:val="en-GB"/>
        </w:rPr>
        <w:t>r</w:t>
      </w:r>
      <w:r w:rsidRPr="005E0923">
        <w:rPr>
          <w:i/>
          <w:lang w:val="en-GB"/>
        </w:rPr>
        <w:t xml:space="preserve">macokinetic studies as well as conclusive phase III trials to elucidate effective plasma concentrations within medical contexts are severely lacking and highly encouraged." </w:t>
      </w:r>
      <w:r w:rsidRPr="005E0923">
        <w:rPr>
          <w:lang w:val="en-GB"/>
        </w:rPr>
        <w:t>The average dose of 2.4 mg/kg/d studied here corresponds to a daily dose of 144 mg CBD at 60 kg body weight. If individual studies with even lower doses are taken into account, no proven therapeutic effect (for whatever indication) can be demonstrated for doses below 100 mg CBD per day.</w:t>
      </w:r>
    </w:p>
    <w:p w14:paraId="757ED428" w14:textId="4EEFBD6E" w:rsidR="00FA1566" w:rsidRPr="005E0923" w:rsidRDefault="00FA1566" w:rsidP="00FA1566">
      <w:pPr>
        <w:spacing w:before="100" w:beforeAutospacing="1" w:after="100" w:afterAutospacing="1"/>
        <w:jc w:val="both"/>
        <w:rPr>
          <w:i/>
          <w:lang w:val="en-GB"/>
        </w:rPr>
      </w:pPr>
      <w:r w:rsidRPr="005E0923">
        <w:rPr>
          <w:lang w:val="en-GB"/>
        </w:rPr>
        <w:t>A study by the Australian Health Authority (2020)</w:t>
      </w:r>
      <w:r w:rsidRPr="005E0923">
        <w:rPr>
          <w:rStyle w:val="Funotenzeichen"/>
          <w:lang w:val="en-GB"/>
        </w:rPr>
        <w:footnoteReference w:id="51"/>
      </w:r>
      <w:r w:rsidRPr="005E0923">
        <w:rPr>
          <w:lang w:val="en-GB"/>
        </w:rPr>
        <w:t xml:space="preserve"> on potential therapeutic effects and safety profile of low dose CBD concluded: </w:t>
      </w:r>
      <w:r w:rsidRPr="005E0923">
        <w:rPr>
          <w:i/>
          <w:lang w:val="en-GB"/>
        </w:rPr>
        <w:t xml:space="preserve">"There was a paucity of </w:t>
      </w:r>
      <w:r w:rsidR="00425D1A" w:rsidRPr="005E0923">
        <w:rPr>
          <w:i/>
          <w:lang w:val="en-GB"/>
        </w:rPr>
        <w:t>high-quality</w:t>
      </w:r>
      <w:r w:rsidRPr="005E0923">
        <w:rPr>
          <w:i/>
          <w:lang w:val="en-GB"/>
        </w:rPr>
        <w:t xml:space="preserve"> published trials (meta-analyses and RCTs) with the majority of the literature for analysis being lower quality exploratory studies or case series with no placebo control. Thus, </w:t>
      </w:r>
      <w:r w:rsidRPr="005E0923">
        <w:rPr>
          <w:b/>
          <w:i/>
          <w:lang w:val="en-GB"/>
        </w:rPr>
        <w:t xml:space="preserve">no clear conclusions can be drawn on efficacy of CBD at low doses </w:t>
      </w:r>
      <w:r w:rsidRPr="005E0923">
        <w:rPr>
          <w:i/>
          <w:lang w:val="en-GB"/>
        </w:rPr>
        <w:t>as larger phase III and conclusive efficacy trials have not been conducted."</w:t>
      </w:r>
    </w:p>
    <w:p w14:paraId="1D9DF4E0" w14:textId="77777777" w:rsidR="00FA1566" w:rsidRPr="005E0923" w:rsidRDefault="00FA1566" w:rsidP="00FA1566">
      <w:pPr>
        <w:rPr>
          <w:lang w:val="en-GB"/>
        </w:rPr>
      </w:pPr>
      <w:r w:rsidRPr="005E0923">
        <w:rPr>
          <w:lang w:val="en-GB"/>
        </w:rPr>
        <w:t>A completely new overview is given by Arnold and colleagues (2023)</w:t>
      </w:r>
      <w:r w:rsidRPr="005E0923">
        <w:rPr>
          <w:rStyle w:val="Funotenzeichen"/>
          <w:lang w:val="en-GB"/>
        </w:rPr>
        <w:footnoteReference w:id="52"/>
      </w:r>
      <w:r w:rsidRPr="005E0923">
        <w:rPr>
          <w:lang w:val="en-GB"/>
        </w:rPr>
        <w:t xml:space="preserve"> on the most recent studies on safety and efficacy of low-dose CBD. Even with the state of knowledge as of September 2022, they conclude, </w:t>
      </w:r>
      <w:r w:rsidRPr="005E0923">
        <w:rPr>
          <w:i/>
          <w:lang w:val="en-GB"/>
        </w:rPr>
        <w:t>"Therapeutic benefits of CBD became more clearly evident at doses greater than or equal to 300 mg. ..... At doses of 300- 400 mg, there is evidence of efficacy with respect to reduced anxiety, as well as anti-addiction effects in drug-dependent individuals. More marginal and less consistent ther</w:t>
      </w:r>
      <w:r w:rsidRPr="005E0923">
        <w:rPr>
          <w:i/>
          <w:lang w:val="en-GB"/>
        </w:rPr>
        <w:t>a</w:t>
      </w:r>
      <w:r w:rsidRPr="005E0923">
        <w:rPr>
          <w:i/>
          <w:lang w:val="en-GB"/>
        </w:rPr>
        <w:t>peutic effects on insomnia, neurological disorders, and chronic pain were also apparent. Larger, more robust clinical trials are needed to confirm the therapeutic potential of lower (i.e., &lt;300 mg/day) oral doses of CBD."</w:t>
      </w:r>
      <w:r w:rsidRPr="005E0923">
        <w:rPr>
          <w:i/>
          <w:lang w:val="en-GB"/>
        </w:rPr>
        <w:br/>
      </w:r>
      <w:r w:rsidRPr="005E0923">
        <w:rPr>
          <w:lang w:val="en-GB"/>
        </w:rPr>
        <w:t>Thus, therapeutic efficacy for the previously suspected indications of insomnia, neurological diso</w:t>
      </w:r>
      <w:r w:rsidRPr="005E0923">
        <w:rPr>
          <w:lang w:val="en-GB"/>
        </w:rPr>
        <w:t>r</w:t>
      </w:r>
      <w:r w:rsidRPr="005E0923">
        <w:rPr>
          <w:lang w:val="en-GB"/>
        </w:rPr>
        <w:lastRenderedPageBreak/>
        <w:t>ders, or chronic pain, could not be demonstrated or medically confirmed (as evidence-based) for CBD doses below 300 mg/d.</w:t>
      </w:r>
    </w:p>
    <w:p w14:paraId="4450B874" w14:textId="6034E7BD" w:rsidR="00FA1566" w:rsidRPr="005E0923" w:rsidRDefault="00FA1566" w:rsidP="00FA1566">
      <w:pPr>
        <w:pStyle w:val="StandardWeb"/>
        <w:spacing w:line="276" w:lineRule="auto"/>
        <w:rPr>
          <w:rFonts w:asciiTheme="minorHAnsi" w:hAnsiTheme="minorHAnsi" w:cstheme="minorHAnsi"/>
          <w:sz w:val="22"/>
          <w:szCs w:val="22"/>
          <w:lang w:val="en-GB"/>
        </w:rPr>
        <w:sectPr w:rsidR="00FA1566" w:rsidRPr="005E0923">
          <w:footerReference w:type="default" r:id="rId11"/>
          <w:pgSz w:w="11906" w:h="16838"/>
          <w:pgMar w:top="1417" w:right="1417" w:bottom="1134" w:left="1417" w:header="708" w:footer="708" w:gutter="0"/>
          <w:cols w:space="708"/>
          <w:docGrid w:linePitch="360"/>
        </w:sectPr>
      </w:pPr>
    </w:p>
    <w:p w14:paraId="67C1078A" w14:textId="77777777" w:rsidR="00FA1566" w:rsidRPr="005E0923" w:rsidRDefault="00FA1566" w:rsidP="00FA1566">
      <w:pPr>
        <w:spacing w:before="100" w:beforeAutospacing="1" w:after="120"/>
        <w:rPr>
          <w:b/>
          <w:bCs/>
          <w:sz w:val="24"/>
          <w:szCs w:val="24"/>
          <w:lang w:val="en-GB"/>
        </w:rPr>
      </w:pPr>
      <w:r w:rsidRPr="005E0923">
        <w:rPr>
          <w:b/>
          <w:bCs/>
          <w:sz w:val="24"/>
          <w:szCs w:val="24"/>
          <w:lang w:val="en-GB"/>
        </w:rPr>
        <w:lastRenderedPageBreak/>
        <w:t>Annex 2</w:t>
      </w:r>
    </w:p>
    <w:p w14:paraId="734B2B52" w14:textId="77777777" w:rsidR="00FA1566" w:rsidRPr="005E0923" w:rsidRDefault="00FA1566" w:rsidP="00FA1566">
      <w:pPr>
        <w:spacing w:before="100" w:beforeAutospacing="1" w:after="120"/>
        <w:rPr>
          <w:b/>
          <w:bCs/>
          <w:sz w:val="24"/>
          <w:szCs w:val="24"/>
          <w:lang w:val="en-GB"/>
        </w:rPr>
      </w:pPr>
      <w:r w:rsidRPr="005E0923">
        <w:rPr>
          <w:b/>
          <w:bCs/>
          <w:sz w:val="24"/>
          <w:szCs w:val="24"/>
          <w:lang w:val="en-GB"/>
        </w:rPr>
        <w:t>CBD as a food ingredient: occurrence in foods</w:t>
      </w:r>
    </w:p>
    <w:p w14:paraId="25C9E21A" w14:textId="00954357" w:rsidR="00FA1566" w:rsidRPr="005E0923" w:rsidRDefault="00FA1566" w:rsidP="00FA1566">
      <w:pPr>
        <w:spacing w:before="100" w:beforeAutospacing="1" w:after="120"/>
        <w:rPr>
          <w:bCs/>
          <w:lang w:val="en-GB"/>
        </w:rPr>
      </w:pPr>
      <w:r w:rsidRPr="005E0923">
        <w:rPr>
          <w:bCs/>
          <w:lang w:val="en-GB"/>
        </w:rPr>
        <w:t xml:space="preserve">CBD has always been present as the most abundant cannabinoid in commercial hemp, particularly in the inflorescences and fruit clusters and in the leaves, but also on the hull of the hemp seeds, and thus also in hemp seed products, such as hemp seed oil. </w:t>
      </w:r>
      <w:r w:rsidRPr="005E0923">
        <w:rPr>
          <w:bCs/>
          <w:lang w:val="en-GB"/>
        </w:rPr>
        <w:br/>
        <w:t xml:space="preserve">In a field sample of commercial hemp, which is carried out to control the THC content (according to EU legislation), CBD can generally be detected in a </w:t>
      </w:r>
      <w:r w:rsidRPr="005E0923">
        <w:rPr>
          <w:bCs/>
          <w:lang w:val="en-GB"/>
        </w:rPr>
        <w:br/>
        <w:t xml:space="preserve">quantity ratio of 15 to 30 to THC. Measured CBD contents in the plant are between 1% and max. </w:t>
      </w:r>
      <w:proofErr w:type="gramStart"/>
      <w:r w:rsidRPr="005E0923">
        <w:rPr>
          <w:bCs/>
          <w:lang w:val="en-GB"/>
        </w:rPr>
        <w:t xml:space="preserve">5%, but usually below 3% </w:t>
      </w:r>
      <w:r w:rsidRPr="005E0923">
        <w:rPr>
          <w:rStyle w:val="Funotenzeichen"/>
          <w:bCs/>
          <w:lang w:val="en-GB"/>
        </w:rPr>
        <w:footnoteReference w:id="53"/>
      </w:r>
      <w:r w:rsidR="00AF464D">
        <w:rPr>
          <w:bCs/>
          <w:lang w:val="en-GB"/>
        </w:rPr>
        <w:t xml:space="preserve"> </w:t>
      </w:r>
      <w:r w:rsidRPr="005E0923">
        <w:rPr>
          <w:rStyle w:val="Funotenzeichen"/>
          <w:bCs/>
          <w:lang w:val="en-GB"/>
        </w:rPr>
        <w:footnoteReference w:id="54"/>
      </w:r>
      <w:r w:rsidRPr="005E0923">
        <w:rPr>
          <w:bCs/>
          <w:lang w:val="en-GB"/>
        </w:rPr>
        <w:t xml:space="preserve"> </w:t>
      </w:r>
      <w:r w:rsidRPr="005E0923">
        <w:rPr>
          <w:rStyle w:val="Funotenzeichen"/>
          <w:bCs/>
          <w:lang w:val="en-GB"/>
        </w:rPr>
        <w:footnoteReference w:id="55"/>
      </w:r>
      <w:r w:rsidRPr="005E0923">
        <w:rPr>
          <w:bCs/>
          <w:lang w:val="en-GB"/>
        </w:rPr>
        <w:t xml:space="preserve"> .</w:t>
      </w:r>
      <w:proofErr w:type="gramEnd"/>
      <w:r w:rsidRPr="005E0923">
        <w:rPr>
          <w:bCs/>
          <w:lang w:val="en-GB"/>
        </w:rPr>
        <w:t xml:space="preserve"> In hemp leaves, depending on the growing season, up to 3% total CBD (sum of CBD + CBDA, normalized to CBD) can be detected</w:t>
      </w:r>
      <w:r w:rsidRPr="005E0923">
        <w:rPr>
          <w:rStyle w:val="Funotenzeichen"/>
          <w:bCs/>
          <w:lang w:val="en-GB"/>
        </w:rPr>
        <w:footnoteReference w:id="56"/>
      </w:r>
      <w:r w:rsidRPr="005E0923">
        <w:rPr>
          <w:bCs/>
          <w:lang w:val="en-GB"/>
        </w:rPr>
        <w:t xml:space="preserve"> .</w:t>
      </w:r>
    </w:p>
    <w:p w14:paraId="4CF3B5EB" w14:textId="77777777" w:rsidR="00FA1566" w:rsidRPr="005E0923" w:rsidRDefault="00FA1566" w:rsidP="00FA1566">
      <w:pPr>
        <w:spacing w:before="100" w:beforeAutospacing="1" w:after="120"/>
        <w:rPr>
          <w:bCs/>
          <w:lang w:val="en-GB"/>
        </w:rPr>
      </w:pPr>
      <w:proofErr w:type="spellStart"/>
      <w:r w:rsidRPr="005E0923">
        <w:rPr>
          <w:bCs/>
          <w:lang w:val="en-GB"/>
        </w:rPr>
        <w:t>Lalge</w:t>
      </w:r>
      <w:proofErr w:type="spellEnd"/>
      <w:r w:rsidRPr="005E0923">
        <w:rPr>
          <w:bCs/>
          <w:lang w:val="en-GB"/>
        </w:rPr>
        <w:t xml:space="preserve"> et al.</w:t>
      </w:r>
      <w:r w:rsidRPr="005E0923">
        <w:rPr>
          <w:rStyle w:val="Funotenzeichen"/>
          <w:bCs/>
          <w:lang w:val="en-GB"/>
        </w:rPr>
        <w:footnoteReference w:id="57"/>
      </w:r>
      <w:r w:rsidRPr="005E0923">
        <w:rPr>
          <w:bCs/>
          <w:lang w:val="en-GB"/>
        </w:rPr>
        <w:t xml:space="preserve"> examined foods with different proportions of hemp seed products and found CBD co</w:t>
      </w:r>
      <w:r w:rsidRPr="005E0923">
        <w:rPr>
          <w:bCs/>
          <w:lang w:val="en-GB"/>
        </w:rPr>
        <w:t>n</w:t>
      </w:r>
      <w:r w:rsidRPr="005E0923">
        <w:rPr>
          <w:bCs/>
          <w:lang w:val="en-GB"/>
        </w:rPr>
        <w:t>tents up to 0.34%. If one consumes e.g. 30 of such a product, one takes in approx. 100 mg CBD, which even corresponds to more than twice the daily intake when consuming the higher-percentage hemp extract in question (45 mg). This shows that the daily CBD intake from hemp extracts with na</w:t>
      </w:r>
      <w:r w:rsidRPr="005E0923">
        <w:rPr>
          <w:bCs/>
          <w:lang w:val="en-GB"/>
        </w:rPr>
        <w:t>t</w:t>
      </w:r>
      <w:r w:rsidRPr="005E0923">
        <w:rPr>
          <w:bCs/>
          <w:lang w:val="en-GB"/>
        </w:rPr>
        <w:t>ural CBD contents does not necessarily have to exceed the CBD intake with common (and market</w:t>
      </w:r>
      <w:r w:rsidRPr="005E0923">
        <w:rPr>
          <w:bCs/>
          <w:lang w:val="en-GB"/>
        </w:rPr>
        <w:t>a</w:t>
      </w:r>
      <w:r w:rsidRPr="005E0923">
        <w:rPr>
          <w:bCs/>
          <w:lang w:val="en-GB"/>
        </w:rPr>
        <w:t>ble) hemp foods.</w:t>
      </w:r>
    </w:p>
    <w:p w14:paraId="3C96D43C" w14:textId="77777777" w:rsidR="00FA1566" w:rsidRPr="005E0923" w:rsidRDefault="00FA1566" w:rsidP="007F38E0">
      <w:pPr>
        <w:spacing w:before="100" w:beforeAutospacing="1" w:after="120"/>
        <w:rPr>
          <w:bCs/>
          <w:lang w:val="en-GB"/>
        </w:rPr>
      </w:pPr>
      <w:proofErr w:type="spellStart"/>
      <w:r w:rsidRPr="005E0923">
        <w:rPr>
          <w:bCs/>
          <w:lang w:val="en-GB"/>
        </w:rPr>
        <w:t>Citti</w:t>
      </w:r>
      <w:proofErr w:type="spellEnd"/>
      <w:r w:rsidRPr="005E0923">
        <w:rPr>
          <w:bCs/>
          <w:lang w:val="en-GB"/>
        </w:rPr>
        <w:t xml:space="preserve"> et al. (2018)</w:t>
      </w:r>
      <w:r w:rsidRPr="005E0923">
        <w:rPr>
          <w:rStyle w:val="Funotenzeichen"/>
          <w:bCs/>
          <w:lang w:val="en-GB"/>
        </w:rPr>
        <w:footnoteReference w:id="58"/>
      </w:r>
      <w:r w:rsidRPr="005E0923">
        <w:rPr>
          <w:bCs/>
          <w:lang w:val="en-GB"/>
        </w:rPr>
        <w:t xml:space="preserve"> investigated the levels of CBD and THC (and their natural precursors CBDA and THCA) in 13 different commercial hemp seed oils from commercial hemp varieties. CBD levels ran</w:t>
      </w:r>
      <w:r w:rsidRPr="005E0923">
        <w:rPr>
          <w:bCs/>
          <w:lang w:val="en-GB"/>
        </w:rPr>
        <w:t>g</w:t>
      </w:r>
      <w:r w:rsidRPr="005E0923">
        <w:rPr>
          <w:bCs/>
          <w:lang w:val="en-GB"/>
        </w:rPr>
        <w:t>ing from "undetectable" to 1056 ppm (mg/kg) were found; CBDA levels ranged from "undetectable" to 821 ppm. On average, between 50 and 100 ppm CBD can be detected in hemp seed oil.</w:t>
      </w:r>
    </w:p>
    <w:p w14:paraId="0158CFCD" w14:textId="77777777" w:rsidR="00FA1566" w:rsidRPr="005E0923" w:rsidRDefault="00FA1566" w:rsidP="00FA1566">
      <w:pPr>
        <w:spacing w:before="100" w:beforeAutospacing="1" w:after="120"/>
        <w:rPr>
          <w:bCs/>
          <w:lang w:val="en-GB"/>
        </w:rPr>
      </w:pPr>
      <w:proofErr w:type="spellStart"/>
      <w:r w:rsidRPr="005E0923">
        <w:rPr>
          <w:bCs/>
          <w:lang w:val="en-GB"/>
        </w:rPr>
        <w:t>Izzo</w:t>
      </w:r>
      <w:proofErr w:type="spellEnd"/>
      <w:r w:rsidRPr="005E0923">
        <w:rPr>
          <w:bCs/>
          <w:lang w:val="en-GB"/>
        </w:rPr>
        <w:t xml:space="preserve"> et al.</w:t>
      </w:r>
      <w:r w:rsidRPr="005E0923">
        <w:rPr>
          <w:rStyle w:val="Funotenzeichen"/>
          <w:bCs/>
          <w:lang w:val="en-GB"/>
        </w:rPr>
        <w:footnoteReference w:id="59"/>
      </w:r>
      <w:r w:rsidRPr="005E0923">
        <w:rPr>
          <w:bCs/>
          <w:lang w:val="en-GB"/>
        </w:rPr>
        <w:t xml:space="preserve"> also investigated the CBDA content in 13 commercial hemp seed oils in Italy from EU-approved commercial hemp varieties. They found CBDA levels ranging from 0.28 to 3.8 mg/g (280-3800 ppm). When evaluating this, it must be taken into account that CBDA transforms into CBD when the oil is stored and heated (see also </w:t>
      </w:r>
      <w:proofErr w:type="spellStart"/>
      <w:r w:rsidRPr="005E0923">
        <w:rPr>
          <w:bCs/>
          <w:lang w:val="en-GB"/>
        </w:rPr>
        <w:t>Citti</w:t>
      </w:r>
      <w:proofErr w:type="spellEnd"/>
      <w:r w:rsidRPr="005E0923">
        <w:rPr>
          <w:bCs/>
          <w:lang w:val="en-GB"/>
        </w:rPr>
        <w:t xml:space="preserve"> et al., loc. cit.). Thus, when consumed, CBD is also absorbed in addition to CBDA, and in the case of 2 tablespoons of hemp oil (approx. 27 g) approx. 50 mg CBD, when 50% of the CBDA has already been converted into CBD.</w:t>
      </w:r>
    </w:p>
    <w:p w14:paraId="4728A252" w14:textId="42BEC926" w:rsidR="00FA1566" w:rsidRPr="005E0923" w:rsidRDefault="00FA1566" w:rsidP="00FA1566">
      <w:pPr>
        <w:spacing w:after="120"/>
        <w:rPr>
          <w:rFonts w:asciiTheme="minorHAnsi" w:hAnsiTheme="minorHAnsi" w:cstheme="minorHAnsi"/>
          <w:lang w:val="en-GB"/>
        </w:rPr>
      </w:pPr>
      <w:r w:rsidRPr="00CB63DA">
        <w:rPr>
          <w:rFonts w:asciiTheme="minorHAnsi" w:hAnsiTheme="minorHAnsi" w:cstheme="minorHAnsi"/>
          <w:b/>
          <w:lang w:val="en-GB"/>
        </w:rPr>
        <w:t xml:space="preserve">For </w:t>
      </w:r>
      <w:r w:rsidRPr="005E0923">
        <w:rPr>
          <w:rFonts w:asciiTheme="minorHAnsi" w:hAnsiTheme="minorHAnsi" w:cstheme="minorHAnsi"/>
          <w:b/>
          <w:lang w:val="en-GB"/>
        </w:rPr>
        <w:t xml:space="preserve">the </w:t>
      </w:r>
      <w:r w:rsidRPr="00CB63DA">
        <w:rPr>
          <w:rFonts w:asciiTheme="minorHAnsi" w:hAnsiTheme="minorHAnsi" w:cstheme="minorHAnsi"/>
          <w:b/>
          <w:u w:val="single"/>
          <w:lang w:val="en-GB"/>
        </w:rPr>
        <w:t>evidence</w:t>
      </w:r>
      <w:r w:rsidRPr="005E0923">
        <w:rPr>
          <w:rFonts w:asciiTheme="minorHAnsi" w:hAnsiTheme="minorHAnsi" w:cstheme="minorHAnsi"/>
          <w:b/>
          <w:lang w:val="en-GB"/>
        </w:rPr>
        <w:t xml:space="preserve"> of hemp extract or hemp </w:t>
      </w:r>
      <w:r w:rsidR="00AF464D">
        <w:rPr>
          <w:rFonts w:asciiTheme="minorHAnsi" w:hAnsiTheme="minorHAnsi" w:cstheme="minorHAnsi"/>
          <w:b/>
          <w:lang w:val="en-GB"/>
        </w:rPr>
        <w:t>flower (</w:t>
      </w:r>
      <w:r w:rsidRPr="005E0923">
        <w:rPr>
          <w:rFonts w:asciiTheme="minorHAnsi" w:hAnsiTheme="minorHAnsi" w:cstheme="minorHAnsi"/>
          <w:b/>
          <w:lang w:val="en-GB"/>
        </w:rPr>
        <w:t>petals</w:t>
      </w:r>
      <w:r w:rsidR="00AF464D">
        <w:rPr>
          <w:rFonts w:asciiTheme="minorHAnsi" w:hAnsiTheme="minorHAnsi" w:cstheme="minorHAnsi"/>
          <w:b/>
          <w:lang w:val="en-GB"/>
        </w:rPr>
        <w:t>)</w:t>
      </w:r>
      <w:r w:rsidRPr="005E0923">
        <w:rPr>
          <w:rFonts w:asciiTheme="minorHAnsi" w:hAnsiTheme="minorHAnsi" w:cstheme="minorHAnsi"/>
          <w:b/>
          <w:lang w:val="en-GB"/>
        </w:rPr>
        <w:t xml:space="preserve"> as a </w:t>
      </w:r>
      <w:r w:rsidRPr="005E0923">
        <w:rPr>
          <w:rFonts w:asciiTheme="minorHAnsi" w:hAnsiTheme="minorHAnsi" w:cstheme="minorHAnsi"/>
          <w:b/>
          <w:u w:val="single"/>
          <w:lang w:val="en-GB"/>
        </w:rPr>
        <w:t>traditional food</w:t>
      </w:r>
      <w:r w:rsidRPr="001B720C">
        <w:rPr>
          <w:rFonts w:asciiTheme="minorHAnsi" w:hAnsiTheme="minorHAnsi" w:cstheme="minorHAnsi"/>
          <w:b/>
          <w:lang w:val="en-GB"/>
        </w:rPr>
        <w:t xml:space="preserve">, </w:t>
      </w:r>
      <w:proofErr w:type="spellStart"/>
      <w:r w:rsidRPr="001B720C">
        <w:rPr>
          <w:rFonts w:asciiTheme="minorHAnsi" w:hAnsiTheme="minorHAnsi" w:cstheme="minorHAnsi"/>
          <w:b/>
          <w:lang w:val="en-GB"/>
        </w:rPr>
        <w:t>the</w:t>
      </w:r>
      <w:r w:rsidRPr="005E0923">
        <w:rPr>
          <w:rFonts w:asciiTheme="minorHAnsi" w:hAnsiTheme="minorHAnsi" w:cstheme="minorHAnsi"/>
          <w:lang w:val="en-GB"/>
        </w:rPr>
        <w:t>following</w:t>
      </w:r>
      <w:proofErr w:type="spellEnd"/>
      <w:r w:rsidRPr="005E0923">
        <w:rPr>
          <w:rFonts w:asciiTheme="minorHAnsi" w:hAnsiTheme="minorHAnsi" w:cstheme="minorHAnsi"/>
          <w:lang w:val="en-GB"/>
        </w:rPr>
        <w:t xml:space="preserve"> refe</w:t>
      </w:r>
      <w:r w:rsidRPr="005E0923">
        <w:rPr>
          <w:rFonts w:asciiTheme="minorHAnsi" w:hAnsiTheme="minorHAnsi" w:cstheme="minorHAnsi"/>
          <w:lang w:val="en-GB"/>
        </w:rPr>
        <w:t>r</w:t>
      </w:r>
      <w:r w:rsidRPr="005E0923">
        <w:rPr>
          <w:rFonts w:asciiTheme="minorHAnsi" w:hAnsiTheme="minorHAnsi" w:cstheme="minorHAnsi"/>
          <w:lang w:val="en-GB"/>
        </w:rPr>
        <w:t>ences can be cited:</w:t>
      </w:r>
    </w:p>
    <w:p w14:paraId="7CE7FC21" w14:textId="5EFC65A8" w:rsidR="00FA1566" w:rsidRPr="00E21AE8" w:rsidRDefault="00FA1566" w:rsidP="00E21AE8">
      <w:pPr>
        <w:pStyle w:val="Listenabsatz"/>
        <w:numPr>
          <w:ilvl w:val="0"/>
          <w:numId w:val="10"/>
        </w:numPr>
        <w:spacing w:after="120"/>
        <w:rPr>
          <w:rFonts w:asciiTheme="minorHAnsi" w:hAnsiTheme="minorHAnsi" w:cstheme="minorHAnsi"/>
          <w:lang w:val="en-GB"/>
        </w:rPr>
      </w:pPr>
      <w:r w:rsidRPr="00E21AE8">
        <w:rPr>
          <w:rFonts w:asciiTheme="minorHAnsi" w:hAnsiTheme="minorHAnsi" w:cstheme="minorHAnsi"/>
          <w:lang w:val="en-GB"/>
        </w:rPr>
        <w:lastRenderedPageBreak/>
        <w:t>The company Dupetit writes on its website</w:t>
      </w:r>
      <w:r w:rsidRPr="005E0923">
        <w:rPr>
          <w:rStyle w:val="Funotenzeichen"/>
          <w:rFonts w:asciiTheme="minorHAnsi" w:hAnsiTheme="minorHAnsi" w:cstheme="minorHAnsi"/>
          <w:lang w:val="en-GB"/>
        </w:rPr>
        <w:footnoteReference w:id="60"/>
      </w:r>
      <w:r w:rsidRPr="00E21AE8">
        <w:rPr>
          <w:rFonts w:asciiTheme="minorHAnsi" w:hAnsiTheme="minorHAnsi" w:cstheme="minorHAnsi"/>
          <w:lang w:val="en-GB"/>
        </w:rPr>
        <w:t xml:space="preserve"> , that since 1994, in addition to the production of hemp oil, the company is also dedicated to the production of hemp extracts for use in food:</w:t>
      </w:r>
    </w:p>
    <w:p w14:paraId="34688250" w14:textId="1C818938" w:rsidR="007F37D8" w:rsidRPr="00E21AE8" w:rsidRDefault="007F37D8" w:rsidP="00E21AE8">
      <w:pPr>
        <w:spacing w:after="120"/>
        <w:ind w:left="360"/>
        <w:rPr>
          <w:rFonts w:asciiTheme="minorHAnsi" w:hAnsiTheme="minorHAnsi" w:cstheme="minorHAnsi"/>
          <w:lang w:val="en-GB"/>
        </w:rPr>
      </w:pPr>
      <w:r>
        <w:rPr>
          <w:noProof/>
          <w:lang w:val="en-GB" w:eastAsia="en-GB"/>
        </w:rPr>
        <w:drawing>
          <wp:inline distT="0" distB="0" distL="0" distR="0" wp14:anchorId="3079F818" wp14:editId="0534A003">
            <wp:extent cx="5640019" cy="3218688"/>
            <wp:effectExtent l="0" t="0" r="0" b="127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41099" cy="3219304"/>
                    </a:xfrm>
                    <a:prstGeom prst="rect">
                      <a:avLst/>
                    </a:prstGeom>
                  </pic:spPr>
                </pic:pic>
              </a:graphicData>
            </a:graphic>
          </wp:inline>
        </w:drawing>
      </w:r>
    </w:p>
    <w:p w14:paraId="5F753316" w14:textId="5E430564" w:rsidR="007F38E0" w:rsidRPr="00405F2A" w:rsidRDefault="007F38E0" w:rsidP="00E21AE8">
      <w:pPr>
        <w:spacing w:before="100" w:beforeAutospacing="1" w:after="120"/>
        <w:rPr>
          <w:bCs/>
          <w:i/>
          <w:lang w:val="en-GB"/>
        </w:rPr>
      </w:pPr>
      <w:r w:rsidRPr="00405F2A">
        <w:rPr>
          <w:bCs/>
          <w:i/>
          <w:lang w:val="en-GB"/>
        </w:rPr>
        <w:t xml:space="preserve">Over 20 years of experience in the manufacturing of high-quality extracts from hemp as raw material are warranty for our valuable products. </w:t>
      </w:r>
      <w:proofErr w:type="spellStart"/>
      <w:r w:rsidRPr="00405F2A">
        <w:rPr>
          <w:bCs/>
          <w:i/>
          <w:lang w:val="en-GB"/>
        </w:rPr>
        <w:t>Canna</w:t>
      </w:r>
      <w:r w:rsidRPr="00405F2A">
        <w:rPr>
          <w:rFonts w:cs="Calibri"/>
          <w:bCs/>
          <w:i/>
          <w:lang w:val="en-GB"/>
        </w:rPr>
        <w:t>®</w:t>
      </w:r>
      <w:r w:rsidRPr="00405F2A">
        <w:rPr>
          <w:bCs/>
          <w:i/>
          <w:lang w:val="en-GB"/>
        </w:rPr>
        <w:t>Hemp</w:t>
      </w:r>
      <w:proofErr w:type="spellEnd"/>
      <w:r w:rsidRPr="00405F2A">
        <w:rPr>
          <w:bCs/>
          <w:i/>
          <w:lang w:val="en-GB"/>
        </w:rPr>
        <w:t xml:space="preserve"> Extract is a 100% solvent free extract without any chemical additives. The carbon dioxide extract is distilled under mild conditions, and is high in CBD and CBDA content. T</w:t>
      </w:r>
      <w:r w:rsidR="00181583" w:rsidRPr="00405F2A">
        <w:rPr>
          <w:bCs/>
          <w:i/>
          <w:lang w:val="en-GB"/>
        </w:rPr>
        <w:t>h</w:t>
      </w:r>
      <w:r w:rsidRPr="00405F2A">
        <w:rPr>
          <w:bCs/>
          <w:i/>
          <w:lang w:val="en-GB"/>
        </w:rPr>
        <w:t>e product was examined and certified by a renowned German analytic laboratory</w:t>
      </w:r>
      <w:r w:rsidR="00181583" w:rsidRPr="00405F2A">
        <w:rPr>
          <w:bCs/>
          <w:i/>
          <w:lang w:val="en-GB"/>
        </w:rPr>
        <w:t>. Made from carefully selected raw materials, the product contains CBD together with its natural precursor CBDA</w:t>
      </w:r>
      <w:r w:rsidR="008B2E4E" w:rsidRPr="00405F2A">
        <w:rPr>
          <w:bCs/>
          <w:i/>
          <w:lang w:val="en-GB"/>
        </w:rPr>
        <w:t>, both having no inebriant effects at all</w:t>
      </w:r>
      <w:r w:rsidR="00A15FF7" w:rsidRPr="00405F2A">
        <w:rPr>
          <w:bCs/>
          <w:i/>
          <w:lang w:val="en-GB"/>
        </w:rPr>
        <w:t xml:space="preserve"> </w:t>
      </w:r>
      <w:proofErr w:type="gramStart"/>
      <w:r w:rsidR="00A15FF7" w:rsidRPr="00405F2A">
        <w:rPr>
          <w:bCs/>
          <w:i/>
          <w:lang w:val="en-GB"/>
        </w:rPr>
        <w:t>This</w:t>
      </w:r>
      <w:proofErr w:type="gramEnd"/>
      <w:r w:rsidR="00A15FF7" w:rsidRPr="00405F2A">
        <w:rPr>
          <w:bCs/>
          <w:i/>
          <w:lang w:val="en-GB"/>
        </w:rPr>
        <w:t xml:space="preserve"> extract is manufactured without any addition of synthetic chemicals or preservatives.</w:t>
      </w:r>
      <w:r w:rsidR="00BC5DBA" w:rsidRPr="00405F2A">
        <w:rPr>
          <w:bCs/>
          <w:i/>
          <w:lang w:val="en-GB"/>
        </w:rPr>
        <w:br/>
        <w:t>Freshness and a high content of CBDA (cannabidiolic acid) as well as of terpenes and phenols make ou</w:t>
      </w:r>
      <w:r w:rsidR="0053460B" w:rsidRPr="00405F2A">
        <w:rPr>
          <w:bCs/>
          <w:i/>
          <w:lang w:val="en-GB"/>
        </w:rPr>
        <w:t>r</w:t>
      </w:r>
      <w:r w:rsidR="00BC5DBA" w:rsidRPr="00405F2A">
        <w:rPr>
          <w:bCs/>
          <w:i/>
          <w:lang w:val="en-GB"/>
        </w:rPr>
        <w:t xml:space="preserve"> </w:t>
      </w:r>
      <w:proofErr w:type="spellStart"/>
      <w:r w:rsidR="00BC5DBA" w:rsidRPr="00405F2A">
        <w:rPr>
          <w:bCs/>
          <w:i/>
          <w:lang w:val="en-GB"/>
        </w:rPr>
        <w:t>Canna</w:t>
      </w:r>
      <w:r w:rsidR="00BC5DBA" w:rsidRPr="00405F2A">
        <w:rPr>
          <w:rFonts w:cs="Calibri"/>
          <w:bCs/>
          <w:i/>
          <w:lang w:val="en-GB"/>
        </w:rPr>
        <w:t>®</w:t>
      </w:r>
      <w:r w:rsidR="00BC5DBA" w:rsidRPr="00405F2A">
        <w:rPr>
          <w:bCs/>
          <w:i/>
          <w:lang w:val="en-GB"/>
        </w:rPr>
        <w:t>Extract</w:t>
      </w:r>
      <w:proofErr w:type="spellEnd"/>
      <w:r w:rsidR="00BC5DBA" w:rsidRPr="00405F2A">
        <w:rPr>
          <w:bCs/>
          <w:i/>
          <w:lang w:val="en-GB"/>
        </w:rPr>
        <w:t xml:space="preserve"> </w:t>
      </w:r>
      <w:proofErr w:type="gramStart"/>
      <w:r w:rsidR="00BC5DBA" w:rsidRPr="00405F2A">
        <w:rPr>
          <w:bCs/>
          <w:i/>
          <w:lang w:val="en-GB"/>
        </w:rPr>
        <w:t xml:space="preserve">( </w:t>
      </w:r>
      <w:r w:rsidR="00425D1A" w:rsidRPr="00405F2A">
        <w:rPr>
          <w:bCs/>
          <w:i/>
          <w:lang w:val="en-GB"/>
        </w:rPr>
        <w:t>…</w:t>
      </w:r>
      <w:proofErr w:type="gramEnd"/>
      <w:r w:rsidR="00425D1A" w:rsidRPr="00405F2A">
        <w:rPr>
          <w:bCs/>
          <w:i/>
          <w:lang w:val="en-GB"/>
        </w:rPr>
        <w:t>.</w:t>
      </w:r>
      <w:r w:rsidR="00BC5DBA" w:rsidRPr="00405F2A">
        <w:rPr>
          <w:bCs/>
          <w:i/>
          <w:lang w:val="en-GB"/>
        </w:rPr>
        <w:t>) a unique product</w:t>
      </w:r>
      <w:r w:rsidR="00945266" w:rsidRPr="00405F2A">
        <w:rPr>
          <w:bCs/>
          <w:i/>
          <w:lang w:val="en-GB"/>
        </w:rPr>
        <w:t>. The hemp flavouring may also be used as an antioxidant in food and cosmetics.</w:t>
      </w:r>
      <w:r w:rsidR="00BC5DBA" w:rsidRPr="00405F2A">
        <w:rPr>
          <w:bCs/>
          <w:i/>
          <w:lang w:val="en-GB"/>
        </w:rPr>
        <w:t>”</w:t>
      </w:r>
    </w:p>
    <w:p w14:paraId="729113C2" w14:textId="6630CE8E" w:rsidR="00FA1566" w:rsidRPr="005E0923" w:rsidRDefault="00FA1566" w:rsidP="00FA1566">
      <w:pPr>
        <w:spacing w:line="360" w:lineRule="atLeast"/>
        <w:rPr>
          <w:rFonts w:asciiTheme="minorHAnsi" w:hAnsiTheme="minorHAnsi" w:cstheme="minorHAnsi"/>
          <w:lang w:val="en-GB"/>
        </w:rPr>
      </w:pPr>
    </w:p>
    <w:p w14:paraId="42AFDCD5" w14:textId="52B35B35" w:rsidR="00FA1566" w:rsidRPr="005E0923" w:rsidRDefault="00FA1566" w:rsidP="00FA1566">
      <w:pPr>
        <w:spacing w:after="0"/>
        <w:rPr>
          <w:rFonts w:asciiTheme="minorHAnsi" w:hAnsiTheme="minorHAnsi" w:cstheme="minorHAnsi"/>
          <w:i/>
          <w:lang w:val="en-GB"/>
        </w:rPr>
      </w:pPr>
      <w:r w:rsidRPr="005E0923">
        <w:rPr>
          <w:rFonts w:asciiTheme="minorHAnsi" w:hAnsiTheme="minorHAnsi" w:cstheme="minorHAnsi"/>
          <w:lang w:val="en-GB"/>
        </w:rPr>
        <w:t>So</w:t>
      </w:r>
      <w:r w:rsidR="005E0923">
        <w:rPr>
          <w:rFonts w:asciiTheme="minorHAnsi" w:hAnsiTheme="minorHAnsi" w:cstheme="minorHAnsi"/>
          <w:lang w:val="en-GB"/>
        </w:rPr>
        <w:t>,</w:t>
      </w:r>
      <w:r w:rsidRPr="005E0923">
        <w:rPr>
          <w:rFonts w:asciiTheme="minorHAnsi" w:hAnsiTheme="minorHAnsi" w:cstheme="minorHAnsi"/>
          <w:lang w:val="en-GB"/>
        </w:rPr>
        <w:t xml:space="preserve"> Dupetit explicitly states in the chapter "History": </w:t>
      </w:r>
      <w:r w:rsidRPr="005E0923">
        <w:rPr>
          <w:rFonts w:asciiTheme="minorHAnsi" w:hAnsiTheme="minorHAnsi" w:cstheme="minorHAnsi"/>
          <w:i/>
          <w:lang w:val="en-GB"/>
        </w:rPr>
        <w:t xml:space="preserve">"Since </w:t>
      </w:r>
      <w:r w:rsidRPr="005E0923">
        <w:rPr>
          <w:rFonts w:asciiTheme="minorHAnsi" w:hAnsiTheme="minorHAnsi" w:cstheme="minorHAnsi"/>
          <w:b/>
          <w:i/>
          <w:lang w:val="en-GB"/>
        </w:rPr>
        <w:t xml:space="preserve">1994 </w:t>
      </w:r>
      <w:r w:rsidRPr="005E0923">
        <w:rPr>
          <w:rFonts w:asciiTheme="minorHAnsi" w:hAnsiTheme="minorHAnsi" w:cstheme="minorHAnsi"/>
          <w:i/>
          <w:lang w:val="en-GB"/>
        </w:rPr>
        <w:t xml:space="preserve">hemp products are produced and distributed in our company. ... </w:t>
      </w:r>
      <w:r w:rsidRPr="005E0923">
        <w:rPr>
          <w:rFonts w:asciiTheme="minorHAnsi" w:hAnsiTheme="minorHAnsi" w:cstheme="minorHAnsi"/>
          <w:b/>
          <w:i/>
          <w:lang w:val="en-GB"/>
        </w:rPr>
        <w:t xml:space="preserve">From the beginning we </w:t>
      </w:r>
      <w:r w:rsidRPr="005E0923">
        <w:rPr>
          <w:rFonts w:asciiTheme="minorHAnsi" w:hAnsiTheme="minorHAnsi" w:cstheme="minorHAnsi"/>
          <w:i/>
          <w:lang w:val="en-GB"/>
        </w:rPr>
        <w:t xml:space="preserve">dedicated ourselves to the production of </w:t>
      </w:r>
      <w:r w:rsidR="00425D1A" w:rsidRPr="005E0923">
        <w:rPr>
          <w:rFonts w:asciiTheme="minorHAnsi" w:hAnsiTheme="minorHAnsi" w:cstheme="minorHAnsi"/>
          <w:i/>
          <w:lang w:val="en-GB"/>
        </w:rPr>
        <w:t>high-quality</w:t>
      </w:r>
      <w:r w:rsidRPr="005E0923">
        <w:rPr>
          <w:rFonts w:asciiTheme="minorHAnsi" w:hAnsiTheme="minorHAnsi" w:cstheme="minorHAnsi"/>
          <w:i/>
          <w:lang w:val="en-GB"/>
        </w:rPr>
        <w:t xml:space="preserve"> hemp oil and </w:t>
      </w:r>
      <w:r w:rsidRPr="005E0923">
        <w:rPr>
          <w:rFonts w:asciiTheme="minorHAnsi" w:hAnsiTheme="minorHAnsi" w:cstheme="minorHAnsi"/>
          <w:b/>
          <w:i/>
          <w:lang w:val="en-GB"/>
        </w:rPr>
        <w:t>hemp extract for use in food</w:t>
      </w:r>
      <w:r w:rsidR="00425D1A" w:rsidRPr="005E0923">
        <w:rPr>
          <w:rFonts w:asciiTheme="minorHAnsi" w:hAnsiTheme="minorHAnsi" w:cstheme="minorHAnsi"/>
          <w:i/>
          <w:lang w:val="en-GB"/>
        </w:rPr>
        <w:t>....</w:t>
      </w:r>
      <w:r w:rsidRPr="005E0923">
        <w:rPr>
          <w:rFonts w:asciiTheme="minorHAnsi" w:hAnsiTheme="minorHAnsi" w:cstheme="minorHAnsi"/>
          <w:i/>
          <w:lang w:val="en-GB"/>
        </w:rPr>
        <w:t>"</w:t>
      </w:r>
    </w:p>
    <w:p w14:paraId="6FB7ABD2" w14:textId="0847A4BE" w:rsidR="00FA1566" w:rsidRPr="005E0923" w:rsidRDefault="005E0923" w:rsidP="00FA1566">
      <w:pPr>
        <w:spacing w:after="0"/>
        <w:rPr>
          <w:rFonts w:asciiTheme="minorHAnsi" w:hAnsiTheme="minorHAnsi" w:cstheme="minorHAnsi"/>
          <w:lang w:val="en-GB"/>
        </w:rPr>
      </w:pPr>
      <w:r w:rsidRPr="005E0923">
        <w:rPr>
          <w:rFonts w:asciiTheme="minorHAnsi" w:hAnsiTheme="minorHAnsi" w:cstheme="minorHAnsi"/>
          <w:lang w:val="en-GB"/>
        </w:rPr>
        <w:t>And</w:t>
      </w:r>
      <w:r w:rsidR="00FA1566" w:rsidRPr="005E0923">
        <w:rPr>
          <w:rFonts w:asciiTheme="minorHAnsi" w:hAnsiTheme="minorHAnsi" w:cstheme="minorHAnsi"/>
          <w:lang w:val="en-GB"/>
        </w:rPr>
        <w:t>:</w:t>
      </w:r>
    </w:p>
    <w:p w14:paraId="74478C53" w14:textId="522D2638" w:rsidR="00FA1566" w:rsidRPr="005E0923" w:rsidRDefault="00FA1566" w:rsidP="00FA1566">
      <w:pPr>
        <w:spacing w:after="0"/>
        <w:rPr>
          <w:rFonts w:asciiTheme="minorHAnsi" w:hAnsiTheme="minorHAnsi" w:cstheme="minorHAnsi"/>
          <w:i/>
          <w:lang w:val="en-GB"/>
        </w:rPr>
      </w:pPr>
      <w:r w:rsidRPr="005E0923">
        <w:rPr>
          <w:rFonts w:asciiTheme="minorHAnsi" w:hAnsiTheme="minorHAnsi" w:cstheme="minorHAnsi"/>
          <w:i/>
          <w:lang w:val="en-GB"/>
        </w:rPr>
        <w:t xml:space="preserve">"The extract is produced by us exclusively as </w:t>
      </w:r>
      <w:proofErr w:type="gramStart"/>
      <w:r w:rsidRPr="005E0923">
        <w:rPr>
          <w:rFonts w:asciiTheme="minorHAnsi" w:hAnsiTheme="minorHAnsi" w:cstheme="minorHAnsi"/>
          <w:i/>
          <w:lang w:val="en-GB"/>
        </w:rPr>
        <w:t xml:space="preserve">a </w:t>
      </w:r>
      <w:r w:rsidR="005E0923" w:rsidRPr="005E0923">
        <w:rPr>
          <w:rFonts w:asciiTheme="minorHAnsi" w:hAnsiTheme="minorHAnsi" w:cstheme="minorHAnsi"/>
          <w:i/>
          <w:lang w:val="en-GB"/>
        </w:rPr>
        <w:t>flavour</w:t>
      </w:r>
      <w:r w:rsidR="00820F3D">
        <w:rPr>
          <w:rFonts w:asciiTheme="minorHAnsi" w:hAnsiTheme="minorHAnsi" w:cstheme="minorHAnsi"/>
          <w:i/>
          <w:lang w:val="en-GB"/>
        </w:rPr>
        <w:t>ing</w:t>
      </w:r>
      <w:proofErr w:type="gramEnd"/>
      <w:r w:rsidRPr="005E0923">
        <w:rPr>
          <w:rFonts w:asciiTheme="minorHAnsi" w:hAnsiTheme="minorHAnsi" w:cstheme="minorHAnsi"/>
          <w:i/>
          <w:lang w:val="en-GB"/>
        </w:rPr>
        <w:t>..."</w:t>
      </w:r>
    </w:p>
    <w:p w14:paraId="77DF41DD" w14:textId="77777777" w:rsidR="00FA1566" w:rsidRPr="005E0923" w:rsidRDefault="00FA1566" w:rsidP="00FA1566">
      <w:pPr>
        <w:spacing w:after="0"/>
        <w:rPr>
          <w:rFonts w:asciiTheme="minorHAnsi" w:hAnsiTheme="minorHAnsi" w:cstheme="minorHAnsi"/>
          <w:i/>
          <w:lang w:val="en-GB"/>
        </w:rPr>
      </w:pPr>
    </w:p>
    <w:p w14:paraId="4AEEA2E9" w14:textId="45BEEF73" w:rsidR="00FA1566" w:rsidRPr="005E0923" w:rsidRDefault="00FA1566" w:rsidP="00FA1566">
      <w:pPr>
        <w:spacing w:after="0"/>
        <w:rPr>
          <w:rFonts w:asciiTheme="minorHAnsi" w:hAnsiTheme="minorHAnsi" w:cstheme="minorHAnsi"/>
          <w:lang w:val="en-GB"/>
        </w:rPr>
      </w:pPr>
      <w:proofErr w:type="spellStart"/>
      <w:r w:rsidRPr="005E0923">
        <w:rPr>
          <w:rFonts w:asciiTheme="minorHAnsi" w:hAnsiTheme="minorHAnsi" w:cstheme="minorHAnsi"/>
          <w:b/>
          <w:lang w:val="en-GB"/>
        </w:rPr>
        <w:t>Dupetit's</w:t>
      </w:r>
      <w:proofErr w:type="spellEnd"/>
      <w:r w:rsidRPr="005E0923">
        <w:rPr>
          <w:rFonts w:asciiTheme="minorHAnsi" w:hAnsiTheme="minorHAnsi" w:cstheme="minorHAnsi"/>
          <w:b/>
          <w:lang w:val="en-GB"/>
        </w:rPr>
        <w:t xml:space="preserve"> data allow the following conclusions about the hemp extract</w:t>
      </w:r>
      <w:proofErr w:type="gramStart"/>
      <w:r w:rsidRPr="005E0923">
        <w:rPr>
          <w:rFonts w:asciiTheme="minorHAnsi" w:hAnsiTheme="minorHAnsi" w:cstheme="minorHAnsi"/>
          <w:b/>
          <w:lang w:val="en-GB"/>
        </w:rPr>
        <w:t>:</w:t>
      </w:r>
      <w:proofErr w:type="gramEnd"/>
      <w:r w:rsidRPr="005E0923">
        <w:rPr>
          <w:rFonts w:asciiTheme="minorHAnsi" w:hAnsiTheme="minorHAnsi" w:cstheme="minorHAnsi"/>
          <w:b/>
          <w:lang w:val="en-GB"/>
        </w:rPr>
        <w:br/>
      </w:r>
      <w:r w:rsidRPr="005E0923">
        <w:rPr>
          <w:rFonts w:asciiTheme="minorHAnsi" w:hAnsiTheme="minorHAnsi" w:cstheme="minorHAnsi"/>
          <w:lang w:val="en-GB"/>
        </w:rPr>
        <w:t xml:space="preserve">1) </w:t>
      </w:r>
      <w:r w:rsidR="005E0923" w:rsidRPr="005E0923">
        <w:rPr>
          <w:rFonts w:asciiTheme="minorHAnsi" w:hAnsiTheme="minorHAnsi" w:cstheme="minorHAnsi"/>
          <w:lang w:val="en-GB"/>
        </w:rPr>
        <w:t>it</w:t>
      </w:r>
      <w:r w:rsidRPr="005E0923">
        <w:rPr>
          <w:rFonts w:asciiTheme="minorHAnsi" w:hAnsiTheme="minorHAnsi" w:cstheme="minorHAnsi"/>
          <w:lang w:val="en-GB"/>
        </w:rPr>
        <w:t xml:space="preserve"> is a </w:t>
      </w:r>
      <w:r w:rsidR="005E0923" w:rsidRPr="005E0923">
        <w:rPr>
          <w:rFonts w:asciiTheme="minorHAnsi" w:hAnsiTheme="minorHAnsi" w:cstheme="minorHAnsi"/>
          <w:lang w:val="en-GB"/>
        </w:rPr>
        <w:t>flavour</w:t>
      </w:r>
      <w:r w:rsidR="002E6B06">
        <w:rPr>
          <w:rFonts w:asciiTheme="minorHAnsi" w:hAnsiTheme="minorHAnsi" w:cstheme="minorHAnsi"/>
          <w:lang w:val="en-GB"/>
        </w:rPr>
        <w:t>ing</w:t>
      </w:r>
      <w:r w:rsidRPr="005E0923">
        <w:rPr>
          <w:rFonts w:asciiTheme="minorHAnsi" w:hAnsiTheme="minorHAnsi" w:cstheme="minorHAnsi"/>
          <w:lang w:val="en-GB"/>
        </w:rPr>
        <w:t xml:space="preserve"> extract. From today's point of view - </w:t>
      </w:r>
      <w:r w:rsidR="00425D1A" w:rsidRPr="005E0923">
        <w:rPr>
          <w:rFonts w:asciiTheme="minorHAnsi" w:hAnsiTheme="minorHAnsi" w:cstheme="minorHAnsi"/>
          <w:lang w:val="en-GB"/>
        </w:rPr>
        <w:t>i.e.,</w:t>
      </w:r>
      <w:r w:rsidRPr="005E0923">
        <w:rPr>
          <w:rFonts w:asciiTheme="minorHAnsi" w:hAnsiTheme="minorHAnsi" w:cstheme="minorHAnsi"/>
          <w:lang w:val="en-GB"/>
        </w:rPr>
        <w:t xml:space="preserve"> for the time after the </w:t>
      </w:r>
      <w:r w:rsidR="002E6B06">
        <w:rPr>
          <w:rFonts w:asciiTheme="minorHAnsi" w:hAnsiTheme="minorHAnsi" w:cstheme="minorHAnsi"/>
          <w:lang w:val="en-GB"/>
        </w:rPr>
        <w:t xml:space="preserve">EU </w:t>
      </w:r>
      <w:r w:rsidRPr="005E0923">
        <w:rPr>
          <w:rFonts w:asciiTheme="minorHAnsi" w:hAnsiTheme="minorHAnsi" w:cstheme="minorHAnsi"/>
          <w:lang w:val="en-GB"/>
        </w:rPr>
        <w:t>Flavour</w:t>
      </w:r>
      <w:r w:rsidR="002E6B06">
        <w:rPr>
          <w:rFonts w:asciiTheme="minorHAnsi" w:hAnsiTheme="minorHAnsi" w:cstheme="minorHAnsi"/>
          <w:lang w:val="en-GB"/>
        </w:rPr>
        <w:t>ing</w:t>
      </w:r>
      <w:r w:rsidR="006F33B5">
        <w:rPr>
          <w:rFonts w:asciiTheme="minorHAnsi" w:hAnsiTheme="minorHAnsi" w:cstheme="minorHAnsi"/>
          <w:lang w:val="en-GB"/>
        </w:rPr>
        <w:t>s</w:t>
      </w:r>
      <w:r w:rsidRPr="005E0923">
        <w:rPr>
          <w:rFonts w:asciiTheme="minorHAnsi" w:hAnsiTheme="minorHAnsi" w:cstheme="minorHAnsi"/>
          <w:lang w:val="en-GB"/>
        </w:rPr>
        <w:t xml:space="preserve"> Regulation 1334/2008 came into force on 20.01.2011 - Dupetit has been producing flavour</w:t>
      </w:r>
      <w:r w:rsidR="002E6B06">
        <w:rPr>
          <w:rFonts w:asciiTheme="minorHAnsi" w:hAnsiTheme="minorHAnsi" w:cstheme="minorHAnsi"/>
          <w:lang w:val="en-GB"/>
        </w:rPr>
        <w:t>ing</w:t>
      </w:r>
      <w:r w:rsidRPr="005E0923">
        <w:rPr>
          <w:rFonts w:asciiTheme="minorHAnsi" w:hAnsiTheme="minorHAnsi" w:cstheme="minorHAnsi"/>
          <w:lang w:val="en-GB"/>
        </w:rPr>
        <w:t xml:space="preserve"> e</w:t>
      </w:r>
      <w:r w:rsidRPr="005E0923">
        <w:rPr>
          <w:rFonts w:asciiTheme="minorHAnsi" w:hAnsiTheme="minorHAnsi" w:cstheme="minorHAnsi"/>
          <w:lang w:val="en-GB"/>
        </w:rPr>
        <w:t>x</w:t>
      </w:r>
      <w:r w:rsidRPr="005E0923">
        <w:rPr>
          <w:rFonts w:asciiTheme="minorHAnsi" w:hAnsiTheme="minorHAnsi" w:cstheme="minorHAnsi"/>
          <w:lang w:val="en-GB"/>
        </w:rPr>
        <w:t xml:space="preserve">tracts </w:t>
      </w:r>
      <w:r w:rsidR="006F33B5">
        <w:rPr>
          <w:rFonts w:asciiTheme="minorHAnsi" w:hAnsiTheme="minorHAnsi" w:cstheme="minorHAnsi"/>
          <w:lang w:val="en-GB"/>
        </w:rPr>
        <w:t xml:space="preserve">(flavouring preparations) </w:t>
      </w:r>
      <w:r w:rsidRPr="005E0923">
        <w:rPr>
          <w:rFonts w:asciiTheme="minorHAnsi" w:hAnsiTheme="minorHAnsi" w:cstheme="minorHAnsi"/>
          <w:lang w:val="en-GB"/>
        </w:rPr>
        <w:t>from hemp in the sense of the definition of this regulation since 1994.</w:t>
      </w:r>
    </w:p>
    <w:p w14:paraId="3FECA693" w14:textId="425A595A" w:rsidR="00FA1566" w:rsidRPr="005E0923" w:rsidRDefault="00FA1566" w:rsidP="00E15368">
      <w:pPr>
        <w:spacing w:after="0"/>
        <w:rPr>
          <w:rFonts w:asciiTheme="minorHAnsi" w:hAnsiTheme="minorHAnsi" w:cstheme="minorHAnsi"/>
          <w:lang w:val="en-GB"/>
        </w:rPr>
      </w:pPr>
      <w:r w:rsidRPr="005E0923">
        <w:rPr>
          <w:rFonts w:asciiTheme="minorHAnsi" w:hAnsiTheme="minorHAnsi" w:cstheme="minorHAnsi"/>
          <w:lang w:val="en-GB"/>
        </w:rPr>
        <w:lastRenderedPageBreak/>
        <w:t>2) from the information on the hemp extracts offered today, it is clear that it is either a primary e</w:t>
      </w:r>
      <w:r w:rsidRPr="005E0923">
        <w:rPr>
          <w:rFonts w:asciiTheme="minorHAnsi" w:hAnsiTheme="minorHAnsi" w:cstheme="minorHAnsi"/>
          <w:lang w:val="en-GB"/>
        </w:rPr>
        <w:t>x</w:t>
      </w:r>
      <w:r w:rsidRPr="005E0923">
        <w:rPr>
          <w:rFonts w:asciiTheme="minorHAnsi" w:hAnsiTheme="minorHAnsi" w:cstheme="minorHAnsi"/>
          <w:lang w:val="en-GB"/>
        </w:rPr>
        <w:t xml:space="preserve">tract (not heat treated), because it still contains CBDA, or </w:t>
      </w:r>
      <w:r w:rsidR="006F33B5">
        <w:rPr>
          <w:rFonts w:asciiTheme="minorHAnsi" w:hAnsiTheme="minorHAnsi" w:cstheme="minorHAnsi"/>
          <w:lang w:val="en-GB"/>
        </w:rPr>
        <w:t xml:space="preserve">an </w:t>
      </w:r>
      <w:r w:rsidR="006F33B5" w:rsidRPr="005E0923">
        <w:rPr>
          <w:rFonts w:asciiTheme="minorHAnsi" w:hAnsiTheme="minorHAnsi" w:cstheme="minorHAnsi"/>
          <w:lang w:val="en-GB"/>
        </w:rPr>
        <w:t xml:space="preserve">extract </w:t>
      </w:r>
      <w:r w:rsidRPr="005E0923">
        <w:rPr>
          <w:rFonts w:asciiTheme="minorHAnsi" w:hAnsiTheme="minorHAnsi" w:cstheme="minorHAnsi"/>
          <w:lang w:val="en-GB"/>
        </w:rPr>
        <w:t xml:space="preserve">only partially decarboxylated. </w:t>
      </w:r>
      <w:r w:rsidRPr="005E0923">
        <w:rPr>
          <w:rFonts w:asciiTheme="minorHAnsi" w:hAnsiTheme="minorHAnsi" w:cstheme="minorHAnsi"/>
          <w:lang w:val="en-GB"/>
        </w:rPr>
        <w:br/>
        <w:t>Because freshness and content of terpenes and phenols are advertised, it can be assumed that the primary extract is not decarboxylated. If it is decarboxylated, the volatile terpenes are either kept in the boiler (process under inherent pressure) or added to the decarboxylate after distillation.</w:t>
      </w:r>
    </w:p>
    <w:p w14:paraId="74BF3EC0" w14:textId="77777777" w:rsidR="00FA1566" w:rsidRPr="005E0923" w:rsidRDefault="00FA1566" w:rsidP="002E1B4D">
      <w:pPr>
        <w:rPr>
          <w:rFonts w:asciiTheme="minorHAnsi" w:hAnsiTheme="minorHAnsi" w:cstheme="minorHAnsi"/>
          <w:lang w:val="en-GB"/>
        </w:rPr>
      </w:pPr>
      <w:r w:rsidRPr="005E0923">
        <w:rPr>
          <w:rFonts w:asciiTheme="minorHAnsi" w:hAnsiTheme="minorHAnsi" w:cstheme="minorHAnsi"/>
          <w:lang w:val="en-GB"/>
        </w:rPr>
        <w:t>3) Since the hemp extract was already produced and distributed for use in food approx. 3 years b</w:t>
      </w:r>
      <w:r w:rsidRPr="005E0923">
        <w:rPr>
          <w:rFonts w:asciiTheme="minorHAnsi" w:hAnsiTheme="minorHAnsi" w:cstheme="minorHAnsi"/>
          <w:lang w:val="en-GB"/>
        </w:rPr>
        <w:t>e</w:t>
      </w:r>
      <w:r w:rsidRPr="005E0923">
        <w:rPr>
          <w:rFonts w:asciiTheme="minorHAnsi" w:hAnsiTheme="minorHAnsi" w:cstheme="minorHAnsi"/>
          <w:lang w:val="en-GB"/>
        </w:rPr>
        <w:t xml:space="preserve">fore the deadline of May 15, 1997 of the Novel Food VO, a significant consumption can be assumed. Thus, </w:t>
      </w:r>
      <w:r w:rsidRPr="005E0923">
        <w:rPr>
          <w:rFonts w:asciiTheme="minorHAnsi" w:hAnsiTheme="minorHAnsi" w:cstheme="minorHAnsi"/>
          <w:b/>
          <w:u w:val="single"/>
          <w:lang w:val="en-GB"/>
        </w:rPr>
        <w:t xml:space="preserve">this </w:t>
      </w:r>
      <w:r w:rsidRPr="005E0923">
        <w:rPr>
          <w:rFonts w:asciiTheme="minorHAnsi" w:hAnsiTheme="minorHAnsi" w:cstheme="minorHAnsi"/>
          <w:lang w:val="en-GB"/>
        </w:rPr>
        <w:t>hemp extract is a traditional food.</w:t>
      </w:r>
    </w:p>
    <w:p w14:paraId="67D7346C" w14:textId="34A542BB" w:rsidR="00FA1566" w:rsidRPr="005E0923" w:rsidRDefault="00FA1566" w:rsidP="00FA1566">
      <w:pPr>
        <w:rPr>
          <w:rFonts w:asciiTheme="minorHAnsi" w:hAnsiTheme="minorHAnsi" w:cstheme="minorHAnsi"/>
          <w:lang w:val="en-GB"/>
        </w:rPr>
      </w:pPr>
      <w:r w:rsidRPr="00E21AE8">
        <w:rPr>
          <w:rFonts w:asciiTheme="minorHAnsi" w:hAnsiTheme="minorHAnsi" w:cstheme="minorHAnsi"/>
          <w:b/>
          <w:lang w:val="en-GB"/>
        </w:rPr>
        <w:t>B)</w:t>
      </w:r>
      <w:r w:rsidRPr="005E0923">
        <w:rPr>
          <w:rFonts w:asciiTheme="minorHAnsi" w:hAnsiTheme="minorHAnsi" w:cstheme="minorHAnsi"/>
          <w:lang w:val="en-GB"/>
        </w:rPr>
        <w:t xml:space="preserve"> </w:t>
      </w:r>
      <w:r w:rsidR="006D50E5">
        <w:rPr>
          <w:rFonts w:asciiTheme="minorHAnsi" w:hAnsiTheme="minorHAnsi" w:cstheme="minorHAnsi"/>
          <w:lang w:val="en-GB"/>
        </w:rPr>
        <w:tab/>
      </w:r>
      <w:proofErr w:type="spellStart"/>
      <w:r w:rsidRPr="005E0923">
        <w:rPr>
          <w:rFonts w:asciiTheme="minorHAnsi" w:hAnsiTheme="minorHAnsi" w:cstheme="minorHAnsi"/>
          <w:lang w:val="en-GB"/>
        </w:rPr>
        <w:t>Cannabia</w:t>
      </w:r>
      <w:proofErr w:type="spellEnd"/>
      <w:r w:rsidRPr="005E0923">
        <w:rPr>
          <w:rFonts w:asciiTheme="minorHAnsi" w:hAnsiTheme="minorHAnsi" w:cstheme="minorHAnsi"/>
          <w:lang w:val="en-GB"/>
        </w:rPr>
        <w:t xml:space="preserve">® </w:t>
      </w:r>
      <w:r w:rsidRPr="005E0923">
        <w:rPr>
          <w:rFonts w:asciiTheme="minorHAnsi" w:hAnsiTheme="minorHAnsi" w:cstheme="minorHAnsi"/>
          <w:b/>
          <w:lang w:val="en-GB"/>
        </w:rPr>
        <w:t>hemp beer</w:t>
      </w:r>
      <w:r w:rsidR="00777250">
        <w:rPr>
          <w:rStyle w:val="Funotenzeichen"/>
          <w:rFonts w:asciiTheme="minorHAnsi" w:hAnsiTheme="minorHAnsi" w:cstheme="minorHAnsi"/>
          <w:b/>
          <w:lang w:val="en-GB"/>
        </w:rPr>
        <w:footnoteReference w:id="61"/>
      </w:r>
      <w:r w:rsidRPr="005E0923">
        <w:rPr>
          <w:rFonts w:asciiTheme="minorHAnsi" w:hAnsiTheme="minorHAnsi" w:cstheme="minorHAnsi"/>
          <w:b/>
          <w:lang w:val="en-GB"/>
        </w:rPr>
        <w:t xml:space="preserve"> </w:t>
      </w:r>
      <w:r w:rsidRPr="005E0923">
        <w:rPr>
          <w:rFonts w:asciiTheme="minorHAnsi" w:hAnsiTheme="minorHAnsi" w:cstheme="minorHAnsi"/>
          <w:lang w:val="en-GB"/>
        </w:rPr>
        <w:t xml:space="preserve">has been brewed by Dupetit </w:t>
      </w:r>
      <w:r w:rsidRPr="005E0923">
        <w:rPr>
          <w:rFonts w:asciiTheme="minorHAnsi" w:hAnsiTheme="minorHAnsi" w:cstheme="minorHAnsi"/>
          <w:b/>
          <w:lang w:val="en-GB"/>
        </w:rPr>
        <w:t>since 1996</w:t>
      </w:r>
      <w:r w:rsidRPr="005E0923">
        <w:rPr>
          <w:rFonts w:asciiTheme="minorHAnsi" w:hAnsiTheme="minorHAnsi" w:cstheme="minorHAnsi"/>
          <w:lang w:val="en-GB"/>
        </w:rPr>
        <w:t xml:space="preserve">, using hemp tips (processed in a "gentle process") for </w:t>
      </w:r>
      <w:r w:rsidR="005E0923" w:rsidRPr="005E0923">
        <w:rPr>
          <w:rFonts w:asciiTheme="minorHAnsi" w:hAnsiTheme="minorHAnsi" w:cstheme="minorHAnsi"/>
          <w:lang w:val="en-GB"/>
        </w:rPr>
        <w:t>flavouring</w:t>
      </w:r>
      <w:r w:rsidRPr="005E0923">
        <w:rPr>
          <w:rFonts w:asciiTheme="minorHAnsi" w:hAnsiTheme="minorHAnsi" w:cstheme="minorHAnsi"/>
          <w:lang w:val="en-GB"/>
        </w:rPr>
        <w:t>:</w:t>
      </w:r>
    </w:p>
    <w:p w14:paraId="75F2777D" w14:textId="5B0787DB" w:rsidR="00EB588F" w:rsidRPr="00E21AE8" w:rsidRDefault="00EB588F" w:rsidP="00EB588F">
      <w:pPr>
        <w:pStyle w:val="berschrift6"/>
        <w:rPr>
          <w:lang w:val="en-GB"/>
        </w:rPr>
      </w:pPr>
      <w:r>
        <w:rPr>
          <w:lang w:val="en-GB"/>
        </w:rPr>
        <w:t>“</w:t>
      </w:r>
      <w:proofErr w:type="spellStart"/>
      <w:r w:rsidRPr="00E21AE8">
        <w:rPr>
          <w:lang w:val="en-GB"/>
        </w:rPr>
        <w:t>Cannabía</w:t>
      </w:r>
      <w:proofErr w:type="spellEnd"/>
      <w:r w:rsidRPr="00E21AE8">
        <w:rPr>
          <w:rStyle w:val="s4"/>
          <w:lang w:val="en-GB"/>
        </w:rPr>
        <w:t>®</w:t>
      </w:r>
      <w:r>
        <w:rPr>
          <w:rStyle w:val="s4"/>
          <w:lang w:val="en-GB"/>
        </w:rPr>
        <w:t xml:space="preserve"> </w:t>
      </w:r>
      <w:r>
        <w:rPr>
          <w:rStyle w:val="s4"/>
          <w:lang w:val="en-GB"/>
        </w:rPr>
        <w:br/>
      </w:r>
      <w:r w:rsidRPr="00E21AE8">
        <w:rPr>
          <w:lang w:val="en-GB"/>
        </w:rPr>
        <w:t> </w:t>
      </w:r>
      <w:r w:rsidR="00425D1A" w:rsidRPr="00E21AE8">
        <w:rPr>
          <w:lang w:val="en-GB"/>
        </w:rPr>
        <w:t>first hemp</w:t>
      </w:r>
      <w:r w:rsidRPr="00E21AE8">
        <w:rPr>
          <w:lang w:val="en-GB"/>
        </w:rPr>
        <w:t xml:space="preserve"> beverage </w:t>
      </w:r>
      <w:r w:rsidR="00425D1A" w:rsidRPr="00E21AE8">
        <w:rPr>
          <w:lang w:val="en-GB"/>
        </w:rPr>
        <w:t>(Cannabis</w:t>
      </w:r>
      <w:r w:rsidRPr="00E21AE8">
        <w:rPr>
          <w:lang w:val="en-GB"/>
        </w:rPr>
        <w:t xml:space="preserve"> </w:t>
      </w:r>
      <w:r w:rsidR="00425D1A" w:rsidRPr="00E21AE8">
        <w:rPr>
          <w:lang w:val="en-GB"/>
        </w:rPr>
        <w:t>beer)</w:t>
      </w:r>
      <w:r w:rsidRPr="00E21AE8">
        <w:rPr>
          <w:lang w:val="en-GB"/>
        </w:rPr>
        <w:t xml:space="preserve"> of mankind</w:t>
      </w:r>
    </w:p>
    <w:p w14:paraId="07959629" w14:textId="6A971DAD" w:rsidR="00EB588F" w:rsidRPr="00E21AE8" w:rsidRDefault="00EB588F" w:rsidP="00EB588F">
      <w:pPr>
        <w:rPr>
          <w:i/>
          <w:lang w:val="en-GB"/>
        </w:rPr>
      </w:pPr>
      <w:proofErr w:type="gramStart"/>
      <w:r w:rsidRPr="00E21AE8">
        <w:rPr>
          <w:rStyle w:val="s6"/>
          <w:i/>
          <w:lang w:val="en-GB"/>
        </w:rPr>
        <w:t>was</w:t>
      </w:r>
      <w:proofErr w:type="gramEnd"/>
      <w:r w:rsidRPr="00E21AE8">
        <w:rPr>
          <w:rStyle w:val="s6"/>
          <w:i/>
          <w:lang w:val="en-GB"/>
        </w:rPr>
        <w:t xml:space="preserve"> born in March 1996 , when Germany officially authorized the cultivation of hemp, the so called "fibre hemp".</w:t>
      </w:r>
      <w:r w:rsidRPr="00E21AE8">
        <w:rPr>
          <w:rStyle w:val="s6"/>
          <w:i/>
          <w:lang w:val="en-GB"/>
        </w:rPr>
        <w:br/>
      </w:r>
      <w:r w:rsidRPr="00E21AE8">
        <w:rPr>
          <w:i/>
          <w:lang w:val="en-GB"/>
        </w:rPr>
        <w:t xml:space="preserve">A secret combination of by hand selected and harvested </w:t>
      </w:r>
      <w:proofErr w:type="gramStart"/>
      <w:r w:rsidRPr="00E21AE8">
        <w:rPr>
          <w:i/>
          <w:lang w:val="en-GB"/>
        </w:rPr>
        <w:t>organic :</w:t>
      </w:r>
      <w:proofErr w:type="gramEnd"/>
      <w:r w:rsidRPr="00E21AE8">
        <w:rPr>
          <w:i/>
          <w:lang w:val="en-GB"/>
        </w:rPr>
        <w:t xml:space="preserve"> barley malt, hops and hemp, give as result the unmistakable hemp aroma of </w:t>
      </w:r>
      <w:proofErr w:type="spellStart"/>
      <w:r w:rsidRPr="00E21AE8">
        <w:rPr>
          <w:i/>
          <w:lang w:val="en-GB"/>
        </w:rPr>
        <w:t>Cannabía</w:t>
      </w:r>
      <w:proofErr w:type="spellEnd"/>
      <w:r w:rsidRPr="00E21AE8">
        <w:rPr>
          <w:i/>
          <w:lang w:val="en-GB"/>
        </w:rPr>
        <w:t>®.</w:t>
      </w:r>
      <w:r w:rsidRPr="00E21AE8">
        <w:rPr>
          <w:i/>
          <w:lang w:val="en-GB"/>
        </w:rPr>
        <w:br/>
        <w:t> </w:t>
      </w:r>
      <w:proofErr w:type="spellStart"/>
      <w:r w:rsidRPr="00E21AE8">
        <w:rPr>
          <w:rStyle w:val="s6"/>
          <w:i/>
          <w:lang w:val="en-GB"/>
        </w:rPr>
        <w:t>dupetit</w:t>
      </w:r>
      <w:proofErr w:type="spellEnd"/>
      <w:r w:rsidRPr="00E21AE8">
        <w:rPr>
          <w:rStyle w:val="s6"/>
          <w:i/>
          <w:lang w:val="en-GB"/>
        </w:rPr>
        <w:t xml:space="preserve"> Natural Products was already working with and on hemp aroma for its food, sweets and pe</w:t>
      </w:r>
      <w:r w:rsidRPr="00E21AE8">
        <w:rPr>
          <w:rStyle w:val="s6"/>
          <w:i/>
          <w:lang w:val="en-GB"/>
        </w:rPr>
        <w:t>r</w:t>
      </w:r>
      <w:r w:rsidRPr="00E21AE8">
        <w:rPr>
          <w:rStyle w:val="s6"/>
          <w:i/>
          <w:lang w:val="en-GB"/>
        </w:rPr>
        <w:t>fume as well as the organic cosmetic line... and we like beer ...</w:t>
      </w:r>
      <w:r>
        <w:rPr>
          <w:rStyle w:val="s6"/>
          <w:i/>
          <w:lang w:val="en-GB"/>
        </w:rPr>
        <w:br/>
      </w:r>
      <w:r w:rsidRPr="00E21AE8">
        <w:rPr>
          <w:rStyle w:val="s6"/>
          <w:i/>
          <w:lang w:val="en-GB"/>
        </w:rPr>
        <w:t xml:space="preserve">Together with </w:t>
      </w:r>
      <w:proofErr w:type="spellStart"/>
      <w:r w:rsidRPr="00E21AE8">
        <w:rPr>
          <w:rStyle w:val="s6"/>
          <w:i/>
          <w:lang w:val="en-GB"/>
        </w:rPr>
        <w:t>dupetit</w:t>
      </w:r>
      <w:proofErr w:type="spellEnd"/>
      <w:r w:rsidRPr="00E21AE8">
        <w:rPr>
          <w:rStyle w:val="s6"/>
          <w:i/>
          <w:lang w:val="en-GB"/>
        </w:rPr>
        <w:t xml:space="preserve"> Natural Products he carefully crafted the idea into the finished recipe by adding to our organic German hemp this experience and knowledge, as well his organic malt, hops and yeast giving</w:t>
      </w:r>
      <w:r w:rsidRPr="00E21AE8">
        <w:rPr>
          <w:rStyle w:val="Fett"/>
          <w:i/>
          <w:lang w:val="en-GB"/>
        </w:rPr>
        <w:t xml:space="preserve"> </w:t>
      </w:r>
      <w:proofErr w:type="spellStart"/>
      <w:r w:rsidRPr="00E21AE8">
        <w:rPr>
          <w:rStyle w:val="Fett"/>
          <w:i/>
          <w:lang w:val="en-GB"/>
        </w:rPr>
        <w:t>Cannabía</w:t>
      </w:r>
      <w:proofErr w:type="spellEnd"/>
      <w:r w:rsidRPr="00E21AE8">
        <w:rPr>
          <w:rStyle w:val="Fett"/>
          <w:i/>
          <w:lang w:val="en-GB"/>
        </w:rPr>
        <w:t>®</w:t>
      </w:r>
      <w:r w:rsidRPr="00E21AE8">
        <w:rPr>
          <w:rStyle w:val="s6"/>
          <w:i/>
          <w:lang w:val="en-GB"/>
        </w:rPr>
        <w:t xml:space="preserve"> its unique taste.</w:t>
      </w:r>
      <w:r w:rsidR="001D1381">
        <w:rPr>
          <w:rStyle w:val="s6"/>
          <w:i/>
          <w:lang w:val="en-GB"/>
        </w:rPr>
        <w:t>”</w:t>
      </w:r>
    </w:p>
    <w:p w14:paraId="68821C96"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The following can be read about hemp beer in the hemp magazine</w:t>
      </w:r>
      <w:r w:rsidRPr="005E0923">
        <w:rPr>
          <w:rStyle w:val="Funotenzeichen"/>
          <w:rFonts w:asciiTheme="minorHAnsi" w:hAnsiTheme="minorHAnsi" w:cstheme="minorHAnsi"/>
          <w:lang w:val="en-GB"/>
        </w:rPr>
        <w:footnoteReference w:id="62"/>
      </w:r>
      <w:r w:rsidRPr="005E0923">
        <w:rPr>
          <w:rFonts w:asciiTheme="minorHAnsi" w:hAnsiTheme="minorHAnsi" w:cstheme="minorHAnsi"/>
          <w:lang w:val="en-GB"/>
        </w:rPr>
        <w:t xml:space="preserve"> :</w:t>
      </w:r>
    </w:p>
    <w:p w14:paraId="628F8F3D"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noProof/>
          <w:lang w:val="en-GB" w:eastAsia="en-GB"/>
        </w:rPr>
        <w:drawing>
          <wp:inline distT="0" distB="0" distL="0" distR="0" wp14:anchorId="322B6702" wp14:editId="461B8667">
            <wp:extent cx="5760720" cy="1912620"/>
            <wp:effectExtent l="0" t="0" r="0" b="0"/>
            <wp:docPr id="10" name="Grafik 10"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Screenshot, Schrift, Zahl enthält.&#10;&#10;Automatisch generierte Beschreibu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912620"/>
                    </a:xfrm>
                    <a:prstGeom prst="rect">
                      <a:avLst/>
                    </a:prstGeom>
                    <a:noFill/>
                    <a:ln>
                      <a:noFill/>
                    </a:ln>
                  </pic:spPr>
                </pic:pic>
              </a:graphicData>
            </a:graphic>
          </wp:inline>
        </w:drawing>
      </w:r>
    </w:p>
    <w:p w14:paraId="387714D1" w14:textId="4AF3C888" w:rsidR="00FA1566" w:rsidRPr="005E0923" w:rsidRDefault="00425D1A" w:rsidP="00FA1566">
      <w:pPr>
        <w:rPr>
          <w:rFonts w:asciiTheme="minorHAnsi" w:hAnsiTheme="minorHAnsi" w:cstheme="minorHAnsi"/>
          <w:lang w:val="en-GB"/>
        </w:rPr>
      </w:pPr>
      <w:r w:rsidRPr="005E0923">
        <w:rPr>
          <w:rFonts w:asciiTheme="minorHAnsi" w:hAnsiTheme="minorHAnsi" w:cstheme="minorHAnsi"/>
          <w:lang w:val="en-GB"/>
        </w:rPr>
        <w:t>So,</w:t>
      </w:r>
      <w:r w:rsidR="00FA1566" w:rsidRPr="005E0923">
        <w:rPr>
          <w:rFonts w:asciiTheme="minorHAnsi" w:hAnsiTheme="minorHAnsi" w:cstheme="minorHAnsi"/>
          <w:lang w:val="en-GB"/>
        </w:rPr>
        <w:t xml:space="preserve"> these "hemp beers" and the cannabis tips used are traditional foods. However, the hemp beers do not talk about extracts.</w:t>
      </w:r>
    </w:p>
    <w:p w14:paraId="28D04C43" w14:textId="6F822A7F" w:rsidR="006D50E5" w:rsidRPr="00E21AE8" w:rsidRDefault="00FA1566" w:rsidP="00E21AE8">
      <w:pPr>
        <w:spacing w:after="120"/>
        <w:rPr>
          <w:rFonts w:asciiTheme="minorHAnsi" w:hAnsiTheme="minorHAnsi" w:cstheme="minorHAnsi"/>
          <w:i/>
          <w:lang w:val="en-GB"/>
        </w:rPr>
      </w:pPr>
      <w:r w:rsidRPr="00E21AE8">
        <w:rPr>
          <w:rFonts w:asciiTheme="minorHAnsi" w:hAnsiTheme="minorHAnsi" w:cstheme="minorHAnsi"/>
          <w:lang w:val="en-GB"/>
        </w:rPr>
        <w:t>Lachenmeier</w:t>
      </w:r>
      <w:r w:rsidRPr="005E0923">
        <w:rPr>
          <w:rStyle w:val="Funotenzeichen"/>
          <w:rFonts w:asciiTheme="minorHAnsi" w:hAnsiTheme="minorHAnsi" w:cstheme="minorHAnsi"/>
          <w:lang w:val="en-GB"/>
        </w:rPr>
        <w:footnoteReference w:id="63"/>
      </w:r>
      <w:r w:rsidRPr="00E21AE8">
        <w:rPr>
          <w:rFonts w:asciiTheme="minorHAnsi" w:hAnsiTheme="minorHAnsi" w:cstheme="minorHAnsi"/>
          <w:lang w:val="en-GB"/>
        </w:rPr>
        <w:t xml:space="preserve"> writes on hemp flowers and hemp beer</w:t>
      </w:r>
      <w:proofErr w:type="gramStart"/>
      <w:r w:rsidRPr="00E21AE8">
        <w:rPr>
          <w:rFonts w:asciiTheme="minorHAnsi" w:hAnsiTheme="minorHAnsi" w:cstheme="minorHAnsi"/>
          <w:lang w:val="en-GB"/>
        </w:rPr>
        <w:t>:</w:t>
      </w:r>
      <w:proofErr w:type="gramEnd"/>
      <w:r w:rsidR="00E15368">
        <w:rPr>
          <w:rFonts w:asciiTheme="minorHAnsi" w:hAnsiTheme="minorHAnsi" w:cstheme="minorHAnsi"/>
          <w:lang w:val="en-GB"/>
        </w:rPr>
        <w:br/>
      </w:r>
      <w:r w:rsidR="00D9513F">
        <w:rPr>
          <w:rFonts w:asciiTheme="minorHAnsi" w:hAnsiTheme="minorHAnsi" w:cstheme="minorHAnsi"/>
          <w:i/>
          <w:lang w:val="en-GB"/>
        </w:rPr>
        <w:t>“</w:t>
      </w:r>
      <w:r w:rsidR="006D50E5" w:rsidRPr="00E21AE8">
        <w:rPr>
          <w:rFonts w:asciiTheme="minorHAnsi" w:hAnsiTheme="minorHAnsi" w:cstheme="minorHAnsi"/>
          <w:i/>
          <w:lang w:val="en-GB"/>
        </w:rPr>
        <w:t>Hemp Beer</w:t>
      </w:r>
      <w:r w:rsidR="00E15368" w:rsidRPr="00E21AE8">
        <w:rPr>
          <w:rFonts w:asciiTheme="minorHAnsi" w:hAnsiTheme="minorHAnsi" w:cstheme="minorHAnsi"/>
          <w:i/>
          <w:lang w:val="en-GB"/>
        </w:rPr>
        <w:br/>
      </w:r>
      <w:r w:rsidR="006D50E5" w:rsidRPr="00E21AE8">
        <w:rPr>
          <w:rFonts w:asciiTheme="minorHAnsi" w:hAnsiTheme="minorHAnsi" w:cstheme="minorHAnsi"/>
          <w:i/>
          <w:lang w:val="en-GB"/>
        </w:rPr>
        <w:lastRenderedPageBreak/>
        <w:t xml:space="preserve">In work by </w:t>
      </w:r>
      <w:proofErr w:type="spellStart"/>
      <w:r w:rsidR="006D50E5" w:rsidRPr="00E21AE8">
        <w:rPr>
          <w:rFonts w:asciiTheme="minorHAnsi" w:hAnsiTheme="minorHAnsi" w:cstheme="minorHAnsi"/>
          <w:i/>
          <w:lang w:val="en-GB"/>
        </w:rPr>
        <w:t>Hupf</w:t>
      </w:r>
      <w:proofErr w:type="spellEnd"/>
      <w:r w:rsidR="006D50E5" w:rsidRPr="00E21AE8">
        <w:rPr>
          <w:rFonts w:asciiTheme="minorHAnsi" w:hAnsiTheme="minorHAnsi" w:cstheme="minorHAnsi"/>
          <w:i/>
          <w:lang w:val="en-GB"/>
        </w:rPr>
        <w:t xml:space="preserve"> et al. (1997) the </w:t>
      </w:r>
      <w:proofErr w:type="spellStart"/>
      <w:r w:rsidR="006D50E5" w:rsidRPr="00E21AE8">
        <w:rPr>
          <w:rFonts w:asciiTheme="minorHAnsi" w:hAnsiTheme="minorHAnsi" w:cstheme="minorHAnsi"/>
          <w:i/>
          <w:lang w:val="en-GB"/>
        </w:rPr>
        <w:t>organoleptical</w:t>
      </w:r>
      <w:proofErr w:type="spellEnd"/>
      <w:r w:rsidR="006D50E5" w:rsidRPr="00E21AE8">
        <w:rPr>
          <w:rFonts w:asciiTheme="minorHAnsi" w:hAnsiTheme="minorHAnsi" w:cstheme="minorHAnsi"/>
          <w:i/>
          <w:lang w:val="en-GB"/>
        </w:rPr>
        <w:t xml:space="preserve"> value, and therefore</w:t>
      </w:r>
      <w:r w:rsidR="00E15368" w:rsidRPr="00E21AE8">
        <w:rPr>
          <w:rFonts w:asciiTheme="minorHAnsi" w:hAnsiTheme="minorHAnsi" w:cstheme="minorHAnsi"/>
          <w:i/>
          <w:lang w:val="en-GB"/>
        </w:rPr>
        <w:t xml:space="preserve"> </w:t>
      </w:r>
      <w:r w:rsidR="006D50E5" w:rsidRPr="00E21AE8">
        <w:rPr>
          <w:rFonts w:asciiTheme="minorHAnsi" w:hAnsiTheme="minorHAnsi" w:cstheme="minorHAnsi"/>
          <w:i/>
          <w:lang w:val="en-GB"/>
        </w:rPr>
        <w:t xml:space="preserve">the character of dried hemp inflorescence, watery </w:t>
      </w:r>
      <w:r w:rsidR="00425D1A" w:rsidRPr="00E21AE8">
        <w:rPr>
          <w:rFonts w:asciiTheme="minorHAnsi" w:hAnsiTheme="minorHAnsi" w:cstheme="minorHAnsi"/>
          <w:i/>
          <w:lang w:val="en-GB"/>
        </w:rPr>
        <w:t>infusions,</w:t>
      </w:r>
      <w:r w:rsidR="006D50E5" w:rsidRPr="00E21AE8">
        <w:rPr>
          <w:rFonts w:asciiTheme="minorHAnsi" w:hAnsiTheme="minorHAnsi" w:cstheme="minorHAnsi"/>
          <w:i/>
          <w:lang w:val="en-GB"/>
        </w:rPr>
        <w:t xml:space="preserve"> and beer ex</w:t>
      </w:r>
      <w:r w:rsidR="00E15368" w:rsidRPr="00E21AE8">
        <w:rPr>
          <w:rFonts w:asciiTheme="minorHAnsi" w:hAnsiTheme="minorHAnsi" w:cstheme="minorHAnsi"/>
          <w:i/>
          <w:lang w:val="en-GB"/>
        </w:rPr>
        <w:t>tracts (called hemp beer) as food products were exa</w:t>
      </w:r>
      <w:r w:rsidR="00E15368" w:rsidRPr="00E21AE8">
        <w:rPr>
          <w:rFonts w:asciiTheme="minorHAnsi" w:hAnsiTheme="minorHAnsi" w:cstheme="minorHAnsi"/>
          <w:i/>
          <w:lang w:val="en-GB"/>
        </w:rPr>
        <w:t>m</w:t>
      </w:r>
      <w:r w:rsidR="00E15368" w:rsidRPr="00E21AE8">
        <w:rPr>
          <w:rFonts w:asciiTheme="minorHAnsi" w:hAnsiTheme="minorHAnsi" w:cstheme="minorHAnsi"/>
          <w:i/>
          <w:lang w:val="en-GB"/>
        </w:rPr>
        <w:t xml:space="preserve">ined. After the </w:t>
      </w:r>
      <w:proofErr w:type="spellStart"/>
      <w:r w:rsidR="00E15368" w:rsidRPr="00E21AE8">
        <w:rPr>
          <w:rFonts w:asciiTheme="minorHAnsi" w:hAnsiTheme="minorHAnsi" w:cstheme="minorHAnsi"/>
          <w:i/>
          <w:lang w:val="en-GB"/>
        </w:rPr>
        <w:t>organoleptical</w:t>
      </w:r>
      <w:proofErr w:type="spellEnd"/>
      <w:r w:rsidR="00E15368" w:rsidRPr="00E21AE8">
        <w:rPr>
          <w:rFonts w:asciiTheme="minorHAnsi" w:hAnsiTheme="minorHAnsi" w:cstheme="minorHAnsi"/>
          <w:i/>
          <w:lang w:val="en-GB"/>
        </w:rPr>
        <w:t xml:space="preserve"> tests, the authors came to the conclusion that none of the products provided a significant consumption value. Official food control first classified hemp inflorescences as additives (BgVV, 1997) (</w:t>
      </w:r>
      <w:r w:rsidR="00425D1A" w:rsidRPr="00E21AE8">
        <w:rPr>
          <w:rFonts w:asciiTheme="minorHAnsi" w:hAnsiTheme="minorHAnsi" w:cstheme="minorHAnsi"/>
          <w:i/>
          <w:lang w:val="en-GB"/>
        </w:rPr>
        <w:t>e.g.,</w:t>
      </w:r>
      <w:r w:rsidR="00E15368" w:rsidRPr="00E21AE8">
        <w:rPr>
          <w:rFonts w:asciiTheme="minorHAnsi" w:hAnsiTheme="minorHAnsi" w:cstheme="minorHAnsi"/>
          <w:i/>
          <w:lang w:val="en-GB"/>
        </w:rPr>
        <w:t xml:space="preserve"> taste enhancing substance), but this opinion was not affirmed because it </w:t>
      </w:r>
      <w:r w:rsidR="00E15368" w:rsidRPr="00E21AE8">
        <w:rPr>
          <w:rFonts w:asciiTheme="minorHAnsi" w:hAnsiTheme="minorHAnsi" w:cstheme="minorHAnsi"/>
          <w:b/>
          <w:i/>
          <w:lang w:val="en-GB"/>
        </w:rPr>
        <w:t>was determined that they have prevailing attributes as food</w:t>
      </w:r>
      <w:r w:rsidR="00E15368" w:rsidRPr="00E21AE8">
        <w:rPr>
          <w:rFonts w:asciiTheme="minorHAnsi" w:hAnsiTheme="minorHAnsi" w:cstheme="minorHAnsi"/>
          <w:i/>
          <w:lang w:val="en-GB"/>
        </w:rPr>
        <w:t>. Such products also do not fall into the requirements of regulation No 258/97 (EC) regarding novel food products and ingredients (</w:t>
      </w:r>
      <w:proofErr w:type="spellStart"/>
      <w:r w:rsidR="00E15368" w:rsidRPr="00E21AE8">
        <w:rPr>
          <w:rFonts w:asciiTheme="minorHAnsi" w:hAnsiTheme="minorHAnsi" w:cstheme="minorHAnsi"/>
          <w:i/>
          <w:lang w:val="en-GB"/>
        </w:rPr>
        <w:t>Taschan</w:t>
      </w:r>
      <w:proofErr w:type="spellEnd"/>
      <w:r w:rsidR="00E15368" w:rsidRPr="00E21AE8">
        <w:rPr>
          <w:rFonts w:asciiTheme="minorHAnsi" w:hAnsiTheme="minorHAnsi" w:cstheme="minorHAnsi"/>
          <w:i/>
          <w:lang w:val="en-GB"/>
        </w:rPr>
        <w:t>, 1999).”</w:t>
      </w:r>
    </w:p>
    <w:p w14:paraId="5755D3B9"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Discussion: Hereby the food property is granted to the hemp inflorescences; however, there is no mention of extracts either.</w:t>
      </w:r>
    </w:p>
    <w:p w14:paraId="12A848A9"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D) In the Novel Food Catalogue</w:t>
      </w:r>
      <w:r w:rsidRPr="005E0923">
        <w:rPr>
          <w:rStyle w:val="Funotenzeichen"/>
          <w:rFonts w:asciiTheme="minorHAnsi" w:hAnsiTheme="minorHAnsi" w:cstheme="minorHAnsi"/>
          <w:lang w:val="en-GB"/>
        </w:rPr>
        <w:footnoteReference w:id="64"/>
      </w:r>
      <w:r w:rsidRPr="005E0923">
        <w:rPr>
          <w:rFonts w:asciiTheme="minorHAnsi" w:hAnsiTheme="minorHAnsi" w:cstheme="minorHAnsi"/>
          <w:lang w:val="en-GB"/>
        </w:rPr>
        <w:t xml:space="preserve"> of the EU it was documented under the entry "</w:t>
      </w:r>
      <w:r w:rsidRPr="005E0923">
        <w:rPr>
          <w:rFonts w:asciiTheme="minorHAnsi" w:hAnsiTheme="minorHAnsi" w:cstheme="minorHAnsi"/>
          <w:b/>
          <w:lang w:val="en-GB"/>
        </w:rPr>
        <w:t>Cannabis sativa</w:t>
      </w:r>
      <w:r w:rsidRPr="005E0923">
        <w:rPr>
          <w:rFonts w:asciiTheme="minorHAnsi" w:hAnsiTheme="minorHAnsi" w:cstheme="minorHAnsi"/>
          <w:lang w:val="en-GB"/>
        </w:rPr>
        <w:t>" that hemp leaves are (traditionally) added to soups in Southeast Asia:</w:t>
      </w:r>
    </w:p>
    <w:p w14:paraId="5CF836D0"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noProof/>
          <w:lang w:val="en-GB" w:eastAsia="en-GB"/>
        </w:rPr>
        <w:drawing>
          <wp:inline distT="0" distB="0" distL="0" distR="0" wp14:anchorId="70CB87F5" wp14:editId="4B2BC01C">
            <wp:extent cx="5760720" cy="3139440"/>
            <wp:effectExtent l="0" t="0" r="0" b="3810"/>
            <wp:docPr id="6" name="Grafik 6"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Screenshot, Schrift, Zahl enthält.&#10;&#10;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139440"/>
                    </a:xfrm>
                    <a:prstGeom prst="rect">
                      <a:avLst/>
                    </a:prstGeom>
                    <a:noFill/>
                    <a:ln>
                      <a:noFill/>
                    </a:ln>
                  </pic:spPr>
                </pic:pic>
              </a:graphicData>
            </a:graphic>
          </wp:inline>
        </w:drawing>
      </w:r>
    </w:p>
    <w:p w14:paraId="395BA4FA" w14:textId="77777777" w:rsidR="00FA1566" w:rsidRPr="005E0923" w:rsidRDefault="00FA1566" w:rsidP="00FA1566">
      <w:pPr>
        <w:spacing w:after="0"/>
        <w:rPr>
          <w:lang w:val="en-GB"/>
        </w:rPr>
      </w:pPr>
      <w:r w:rsidRPr="005E0923">
        <w:rPr>
          <w:lang w:val="en-GB"/>
        </w:rPr>
        <w:t>Thus, it is hereby shown that, in addition to the commonly used hemp seeds, hemp flowers and hemp leaves of industrial hemp are also traditional foods and are used as such.</w:t>
      </w:r>
    </w:p>
    <w:p w14:paraId="0BD4D561" w14:textId="77777777" w:rsidR="00FA1566" w:rsidRPr="005E0923" w:rsidRDefault="00FA1566" w:rsidP="00FA1566">
      <w:pPr>
        <w:spacing w:after="0"/>
        <w:rPr>
          <w:lang w:val="en-GB"/>
        </w:rPr>
      </w:pPr>
      <w:r w:rsidRPr="005E0923">
        <w:rPr>
          <w:lang w:val="en-GB"/>
        </w:rPr>
        <w:t xml:space="preserve">There is a traditional cooking recipe from Lithuania called </w:t>
      </w:r>
      <w:proofErr w:type="spellStart"/>
      <w:r w:rsidRPr="005E0923">
        <w:rPr>
          <w:lang w:val="en-GB"/>
        </w:rPr>
        <w:t>šnitka</w:t>
      </w:r>
      <w:proofErr w:type="spellEnd"/>
      <w:r w:rsidRPr="005E0923">
        <w:rPr>
          <w:rStyle w:val="Funotenzeichen"/>
          <w:lang w:val="en-GB"/>
        </w:rPr>
        <w:footnoteReference w:id="65"/>
      </w:r>
      <w:r w:rsidRPr="005E0923">
        <w:rPr>
          <w:lang w:val="en-GB"/>
        </w:rPr>
        <w:t xml:space="preserve"> :</w:t>
      </w:r>
    </w:p>
    <w:p w14:paraId="7F0A9372" w14:textId="77777777" w:rsidR="00FA1566" w:rsidRPr="005E0923" w:rsidRDefault="00FA1566" w:rsidP="00FA1566">
      <w:pPr>
        <w:spacing w:after="0"/>
        <w:rPr>
          <w:lang w:val="en-GB"/>
        </w:rPr>
      </w:pPr>
      <w:r w:rsidRPr="005E0923">
        <w:rPr>
          <w:lang w:val="en-GB"/>
        </w:rPr>
        <w:t xml:space="preserve">"The dish called </w:t>
      </w:r>
      <w:proofErr w:type="spellStart"/>
      <w:r w:rsidRPr="005E0923">
        <w:rPr>
          <w:lang w:val="en-GB"/>
        </w:rPr>
        <w:t>šnitka</w:t>
      </w:r>
      <w:proofErr w:type="spellEnd"/>
      <w:r w:rsidRPr="005E0923">
        <w:rPr>
          <w:lang w:val="en-GB"/>
        </w:rPr>
        <w:t xml:space="preserve"> was prepared in the lands of the north-eastern GDL. The dish is made from hemp leaves and is used to improve overall well-being" (English translation from the original).</w:t>
      </w:r>
    </w:p>
    <w:p w14:paraId="53C778DE" w14:textId="77777777" w:rsidR="00FA1566" w:rsidRPr="005E0923" w:rsidRDefault="00FA1566" w:rsidP="00FA1566">
      <w:pPr>
        <w:spacing w:after="0"/>
        <w:rPr>
          <w:rFonts w:asciiTheme="minorHAnsi" w:hAnsiTheme="minorHAnsi" w:cstheme="minorHAnsi"/>
          <w:lang w:val="en-GB"/>
        </w:rPr>
      </w:pPr>
    </w:p>
    <w:p w14:paraId="2674D19D" w14:textId="77777777" w:rsidR="00FA1566" w:rsidRPr="005E0923" w:rsidRDefault="00FA1566" w:rsidP="00FA1566">
      <w:pPr>
        <w:spacing w:after="0"/>
        <w:rPr>
          <w:rFonts w:asciiTheme="minorHAnsi" w:hAnsiTheme="minorHAnsi" w:cstheme="minorHAnsi"/>
          <w:lang w:val="en-GB"/>
        </w:rPr>
      </w:pPr>
      <w:r w:rsidRPr="005E0923">
        <w:rPr>
          <w:rFonts w:asciiTheme="minorHAnsi" w:hAnsiTheme="minorHAnsi" w:cstheme="minorHAnsi"/>
          <w:lang w:val="en-GB"/>
        </w:rPr>
        <w:t>In the meantime, this entry has been changed and is now</w:t>
      </w:r>
      <w:r w:rsidRPr="005E0923">
        <w:rPr>
          <w:rStyle w:val="Funotenzeichen"/>
          <w:rFonts w:asciiTheme="minorHAnsi" w:hAnsiTheme="minorHAnsi" w:cstheme="minorHAnsi"/>
          <w:lang w:val="en-GB"/>
        </w:rPr>
        <w:footnoteReference w:id="66"/>
      </w:r>
      <w:r w:rsidRPr="005E0923">
        <w:rPr>
          <w:rFonts w:asciiTheme="minorHAnsi" w:hAnsiTheme="minorHAnsi" w:cstheme="minorHAnsi"/>
          <w:lang w:val="en-GB"/>
        </w:rPr>
        <w:t xml:space="preserve"> :</w:t>
      </w:r>
    </w:p>
    <w:p w14:paraId="6A9A3C44"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noProof/>
          <w:lang w:val="en-GB" w:eastAsia="en-GB"/>
        </w:rPr>
        <w:lastRenderedPageBreak/>
        <w:drawing>
          <wp:inline distT="0" distB="0" distL="0" distR="0" wp14:anchorId="6875C09F" wp14:editId="086B746C">
            <wp:extent cx="5410200" cy="2369820"/>
            <wp:effectExtent l="0" t="0" r="0" b="0"/>
            <wp:docPr id="5" name="Grafik 5"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Screenshot, Schrift enthält.&#10;&#10;Automatisch generierte Beschreibu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2369820"/>
                    </a:xfrm>
                    <a:prstGeom prst="rect">
                      <a:avLst/>
                    </a:prstGeom>
                    <a:noFill/>
                    <a:ln>
                      <a:noFill/>
                    </a:ln>
                  </pic:spPr>
                </pic:pic>
              </a:graphicData>
            </a:graphic>
          </wp:inline>
        </w:drawing>
      </w:r>
    </w:p>
    <w:p w14:paraId="3A06DA70"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noProof/>
          <w:lang w:val="en-GB" w:eastAsia="en-GB"/>
        </w:rPr>
        <w:drawing>
          <wp:inline distT="0" distB="0" distL="0" distR="0" wp14:anchorId="1D5E12DA" wp14:editId="3D05F0D7">
            <wp:extent cx="5013960" cy="1059180"/>
            <wp:effectExtent l="0" t="0" r="0" b="7620"/>
            <wp:docPr id="4" name="Grafik 4"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Screenshot, Schrift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960" cy="1059180"/>
                    </a:xfrm>
                    <a:prstGeom prst="rect">
                      <a:avLst/>
                    </a:prstGeom>
                    <a:noFill/>
                    <a:ln>
                      <a:noFill/>
                    </a:ln>
                  </pic:spPr>
                </pic:pic>
              </a:graphicData>
            </a:graphic>
          </wp:inline>
        </w:drawing>
      </w:r>
    </w:p>
    <w:p w14:paraId="33F6DD72" w14:textId="6FA54CA9"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 xml:space="preserve">The old entry in the Novel Food </w:t>
      </w:r>
      <w:r w:rsidR="005E0923" w:rsidRPr="005E0923">
        <w:rPr>
          <w:rFonts w:asciiTheme="minorHAnsi" w:hAnsiTheme="minorHAnsi" w:cstheme="minorHAnsi"/>
          <w:lang w:val="en-GB"/>
        </w:rPr>
        <w:t>Catalogue</w:t>
      </w:r>
      <w:r w:rsidRPr="005E0923">
        <w:rPr>
          <w:rFonts w:asciiTheme="minorHAnsi" w:hAnsiTheme="minorHAnsi" w:cstheme="minorHAnsi"/>
          <w:lang w:val="en-GB"/>
        </w:rPr>
        <w:t xml:space="preserve"> of the EU has at least mentioned that besides the co</w:t>
      </w:r>
      <w:r w:rsidRPr="005E0923">
        <w:rPr>
          <w:rFonts w:asciiTheme="minorHAnsi" w:hAnsiTheme="minorHAnsi" w:cstheme="minorHAnsi"/>
          <w:lang w:val="en-GB"/>
        </w:rPr>
        <w:t>m</w:t>
      </w:r>
      <w:r w:rsidRPr="005E0923">
        <w:rPr>
          <w:rFonts w:asciiTheme="minorHAnsi" w:hAnsiTheme="minorHAnsi" w:cstheme="minorHAnsi"/>
          <w:lang w:val="en-GB"/>
        </w:rPr>
        <w:t xml:space="preserve">monly used hemp seeds also hemp leaves are traditional food and are used as such. However, there are still restrictions to this: the old NFVO 258/97 is ".... not applicable to </w:t>
      </w:r>
      <w:r w:rsidRPr="005E0923">
        <w:rPr>
          <w:rFonts w:asciiTheme="minorHAnsi" w:hAnsiTheme="minorHAnsi" w:cstheme="minorHAnsi"/>
          <w:u w:val="single"/>
          <w:lang w:val="en-GB"/>
        </w:rPr>
        <w:t xml:space="preserve">most foods </w:t>
      </w:r>
      <w:r w:rsidRPr="005E0923">
        <w:rPr>
          <w:rFonts w:asciiTheme="minorHAnsi" w:hAnsiTheme="minorHAnsi" w:cstheme="minorHAnsi"/>
          <w:lang w:val="en-GB"/>
        </w:rPr>
        <w:t>and food ingr</w:t>
      </w:r>
      <w:r w:rsidRPr="005E0923">
        <w:rPr>
          <w:rFonts w:asciiTheme="minorHAnsi" w:hAnsiTheme="minorHAnsi" w:cstheme="minorHAnsi"/>
          <w:lang w:val="en-GB"/>
        </w:rPr>
        <w:t>e</w:t>
      </w:r>
      <w:r w:rsidRPr="005E0923">
        <w:rPr>
          <w:rFonts w:asciiTheme="minorHAnsi" w:hAnsiTheme="minorHAnsi" w:cstheme="minorHAnsi"/>
          <w:lang w:val="en-GB"/>
        </w:rPr>
        <w:t xml:space="preserve">dients of this plant" (regarding the consumption of hemp and hemp products). </w:t>
      </w:r>
      <w:r w:rsidR="00425D1A" w:rsidRPr="005E0923">
        <w:rPr>
          <w:rFonts w:asciiTheme="minorHAnsi" w:hAnsiTheme="minorHAnsi" w:cstheme="minorHAnsi"/>
          <w:lang w:val="en-GB"/>
        </w:rPr>
        <w:t>So,</w:t>
      </w:r>
      <w:r w:rsidRPr="005E0923">
        <w:rPr>
          <w:rFonts w:asciiTheme="minorHAnsi" w:hAnsiTheme="minorHAnsi" w:cstheme="minorHAnsi"/>
          <w:lang w:val="en-GB"/>
        </w:rPr>
        <w:t xml:space="preserve"> there is no carte blanche issued for all foods made from hemp.</w:t>
      </w:r>
    </w:p>
    <w:p w14:paraId="209A2154"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The reference to specific national legislation on marketing in EU member states indicates the non-harmonized status of plant extracts (see Chapter 3).</w:t>
      </w:r>
    </w:p>
    <w:p w14:paraId="53FD4EDC" w14:textId="77777777" w:rsidR="00FA1566" w:rsidRPr="005E0923" w:rsidRDefault="00FA1566" w:rsidP="00FA1566">
      <w:pPr>
        <w:spacing w:line="360" w:lineRule="atLeast"/>
        <w:rPr>
          <w:rFonts w:asciiTheme="minorHAnsi" w:hAnsiTheme="minorHAnsi" w:cstheme="minorHAnsi"/>
          <w:lang w:val="en-GB"/>
        </w:rPr>
      </w:pPr>
    </w:p>
    <w:p w14:paraId="37C7225E"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e) The EU Novel Food Catalogue</w:t>
      </w:r>
      <w:r w:rsidRPr="005E0923">
        <w:rPr>
          <w:rStyle w:val="Funotenzeichen"/>
          <w:rFonts w:asciiTheme="minorHAnsi" w:hAnsiTheme="minorHAnsi" w:cstheme="minorHAnsi"/>
          <w:lang w:val="en-GB"/>
        </w:rPr>
        <w:footnoteReference w:id="67"/>
      </w:r>
      <w:r w:rsidRPr="005E0923">
        <w:rPr>
          <w:rFonts w:asciiTheme="minorHAnsi" w:hAnsiTheme="minorHAnsi" w:cstheme="minorHAnsi"/>
          <w:lang w:val="en-GB"/>
        </w:rPr>
        <w:t xml:space="preserve"> states the following about </w:t>
      </w:r>
      <w:r w:rsidRPr="005E0923">
        <w:rPr>
          <w:rFonts w:asciiTheme="minorHAnsi" w:hAnsiTheme="minorHAnsi" w:cstheme="minorHAnsi"/>
          <w:b/>
          <w:lang w:val="en-GB"/>
        </w:rPr>
        <w:t>cannabidiol:</w:t>
      </w:r>
    </w:p>
    <w:p w14:paraId="6D7E3ED2"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noProof/>
          <w:lang w:val="en-GB" w:eastAsia="en-GB"/>
        </w:rPr>
        <w:drawing>
          <wp:inline distT="0" distB="0" distL="0" distR="0" wp14:anchorId="27F53210" wp14:editId="048E4E02">
            <wp:extent cx="4572000" cy="1684020"/>
            <wp:effectExtent l="0" t="0" r="0" b="0"/>
            <wp:docPr id="3" name="Grafik 3"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reenshot, Schrif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1684020"/>
                    </a:xfrm>
                    <a:prstGeom prst="rect">
                      <a:avLst/>
                    </a:prstGeom>
                    <a:noFill/>
                    <a:ln>
                      <a:noFill/>
                    </a:ln>
                  </pic:spPr>
                </pic:pic>
              </a:graphicData>
            </a:graphic>
          </wp:inline>
        </w:drawing>
      </w:r>
    </w:p>
    <w:p w14:paraId="1F3CF3DB"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noProof/>
          <w:lang w:val="en-GB" w:eastAsia="en-GB"/>
        </w:rPr>
        <w:lastRenderedPageBreak/>
        <w:drawing>
          <wp:inline distT="0" distB="0" distL="0" distR="0" wp14:anchorId="62534D0F" wp14:editId="30C02A57">
            <wp:extent cx="5486400" cy="1150620"/>
            <wp:effectExtent l="0" t="0" r="0" b="0"/>
            <wp:docPr id="2" name="Grafik 2" descr="Ein Bild, das Text,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rift, Screenshot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150620"/>
                    </a:xfrm>
                    <a:prstGeom prst="rect">
                      <a:avLst/>
                    </a:prstGeom>
                    <a:noFill/>
                    <a:ln>
                      <a:noFill/>
                    </a:ln>
                  </pic:spPr>
                </pic:pic>
              </a:graphicData>
            </a:graphic>
          </wp:inline>
        </w:drawing>
      </w:r>
    </w:p>
    <w:p w14:paraId="0063CBE4"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 xml:space="preserve">This entry is about </w:t>
      </w:r>
      <w:r w:rsidRPr="005E0923">
        <w:rPr>
          <w:rFonts w:asciiTheme="minorHAnsi" w:hAnsiTheme="minorHAnsi" w:cstheme="minorHAnsi"/>
          <w:b/>
          <w:lang w:val="en-GB"/>
        </w:rPr>
        <w:t xml:space="preserve">extracts for </w:t>
      </w:r>
      <w:r w:rsidRPr="005E0923">
        <w:rPr>
          <w:rFonts w:asciiTheme="minorHAnsi" w:hAnsiTheme="minorHAnsi" w:cstheme="minorHAnsi"/>
          <w:lang w:val="en-GB"/>
        </w:rPr>
        <w:t xml:space="preserve">the first time, and specifically about a </w:t>
      </w:r>
      <w:r w:rsidRPr="005E0923">
        <w:rPr>
          <w:rFonts w:asciiTheme="minorHAnsi" w:hAnsiTheme="minorHAnsi" w:cstheme="minorHAnsi"/>
          <w:b/>
          <w:lang w:val="en-GB"/>
        </w:rPr>
        <w:t>CBD-enriched hemp extract</w:t>
      </w:r>
      <w:r w:rsidRPr="005E0923">
        <w:rPr>
          <w:rFonts w:asciiTheme="minorHAnsi" w:hAnsiTheme="minorHAnsi" w:cstheme="minorHAnsi"/>
          <w:lang w:val="en-GB"/>
        </w:rPr>
        <w:t>, whatever "enriched" means here.</w:t>
      </w:r>
    </w:p>
    <w:p w14:paraId="0F918734"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The EU does not make any statement about a natural hemp extract.</w:t>
      </w:r>
    </w:p>
    <w:p w14:paraId="5CFC9129" w14:textId="77777777" w:rsidR="00FA1566" w:rsidRPr="005E0923" w:rsidRDefault="00FA1566" w:rsidP="00FA1566">
      <w:pPr>
        <w:spacing w:line="360" w:lineRule="atLeast"/>
        <w:rPr>
          <w:rFonts w:asciiTheme="minorHAnsi" w:hAnsiTheme="minorHAnsi" w:cstheme="minorHAnsi"/>
          <w:lang w:val="en-GB"/>
        </w:rPr>
      </w:pPr>
    </w:p>
    <w:p w14:paraId="6059ADBC"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The following conclusions can be drawn from the information in the EU Novel Food database:</w:t>
      </w:r>
    </w:p>
    <w:p w14:paraId="6B6B0187" w14:textId="03239899" w:rsidR="00FA1566" w:rsidRPr="005E0923" w:rsidRDefault="005E0923" w:rsidP="00FA1566">
      <w:pPr>
        <w:numPr>
          <w:ilvl w:val="0"/>
          <w:numId w:val="9"/>
        </w:numPr>
        <w:spacing w:after="0" w:line="360" w:lineRule="atLeast"/>
        <w:rPr>
          <w:rFonts w:asciiTheme="minorHAnsi" w:hAnsiTheme="minorHAnsi" w:cstheme="minorHAnsi"/>
          <w:lang w:val="en-GB"/>
        </w:rPr>
      </w:pPr>
      <w:r w:rsidRPr="005E0923">
        <w:rPr>
          <w:rFonts w:asciiTheme="minorHAnsi" w:hAnsiTheme="minorHAnsi" w:cstheme="minorHAnsi"/>
          <w:lang w:val="en-GB"/>
        </w:rPr>
        <w:t>The</w:t>
      </w:r>
      <w:r w:rsidR="00FA1566" w:rsidRPr="005E0923">
        <w:rPr>
          <w:rFonts w:asciiTheme="minorHAnsi" w:hAnsiTheme="minorHAnsi" w:cstheme="minorHAnsi"/>
          <w:lang w:val="en-GB"/>
        </w:rPr>
        <w:t xml:space="preserve"> raw, not further treated and not heated hemp extract (mainly containing CBDA) could still be classified as traditional food, however, further restrictions by national legislation on the allowed plant parts for plant extracts have to be considered.</w:t>
      </w:r>
    </w:p>
    <w:p w14:paraId="03267808" w14:textId="7F130D1E" w:rsidR="00FA1566" w:rsidRPr="005E0923" w:rsidRDefault="005E0923" w:rsidP="00FA1566">
      <w:pPr>
        <w:numPr>
          <w:ilvl w:val="0"/>
          <w:numId w:val="9"/>
        </w:numPr>
        <w:spacing w:after="0" w:line="360" w:lineRule="atLeast"/>
        <w:rPr>
          <w:rFonts w:asciiTheme="minorHAnsi" w:hAnsiTheme="minorHAnsi" w:cstheme="minorHAnsi"/>
          <w:lang w:val="en-GB"/>
        </w:rPr>
      </w:pPr>
      <w:r w:rsidRPr="005E0923">
        <w:rPr>
          <w:rFonts w:asciiTheme="minorHAnsi" w:hAnsiTheme="minorHAnsi" w:cstheme="minorHAnsi"/>
          <w:lang w:val="en-GB"/>
        </w:rPr>
        <w:t>The</w:t>
      </w:r>
      <w:r w:rsidR="00FA1566" w:rsidRPr="005E0923">
        <w:rPr>
          <w:rFonts w:asciiTheme="minorHAnsi" w:hAnsiTheme="minorHAnsi" w:cstheme="minorHAnsi"/>
          <w:lang w:val="en-GB"/>
        </w:rPr>
        <w:t xml:space="preserve"> hemp extract decarboxylated in the manufacturing process, which contains CBD as the main component of the cannabinoids, would then be classified as Novel Food in the sense of 258/97/EC Art.1, No. 2 (f). This is especially so because the decarboxylation of CBDA to form CBD amounts to nothing more than enrichment of the crude extract with CBD, thus increa</w:t>
      </w:r>
      <w:r w:rsidR="00FA1566" w:rsidRPr="005E0923">
        <w:rPr>
          <w:rFonts w:asciiTheme="minorHAnsi" w:hAnsiTheme="minorHAnsi" w:cstheme="minorHAnsi"/>
          <w:lang w:val="en-GB"/>
        </w:rPr>
        <w:t>s</w:t>
      </w:r>
      <w:r w:rsidR="00FA1566" w:rsidRPr="005E0923">
        <w:rPr>
          <w:rFonts w:asciiTheme="minorHAnsi" w:hAnsiTheme="minorHAnsi" w:cstheme="minorHAnsi"/>
          <w:lang w:val="en-GB"/>
        </w:rPr>
        <w:t>ing the concentration of CBD in the final product.</w:t>
      </w:r>
      <w:r w:rsidR="00FA1566" w:rsidRPr="005E0923">
        <w:rPr>
          <w:rFonts w:asciiTheme="minorHAnsi" w:hAnsiTheme="minorHAnsi" w:cstheme="minorHAnsi"/>
          <w:lang w:val="en-GB"/>
        </w:rPr>
        <w:br/>
        <w:t xml:space="preserve"> On the other hand, an enriched extract could also be formed by adding pure CBD to a crude extract, after which CBD would then be present in the product alongside CBDA </w:t>
      </w:r>
      <w:r w:rsidRPr="005E0923">
        <w:rPr>
          <w:rFonts w:asciiTheme="minorHAnsi" w:hAnsiTheme="minorHAnsi" w:cstheme="minorHAnsi"/>
          <w:lang w:val="en-GB"/>
        </w:rPr>
        <w:t>and</w:t>
      </w:r>
      <w:r w:rsidR="00FA1566" w:rsidRPr="005E0923">
        <w:rPr>
          <w:rFonts w:asciiTheme="minorHAnsi" w:hAnsiTheme="minorHAnsi" w:cstheme="minorHAnsi"/>
          <w:lang w:val="en-GB"/>
        </w:rPr>
        <w:t xml:space="preserve"> THCA/THC. Such a product would also be classified as novel food.</w:t>
      </w:r>
    </w:p>
    <w:p w14:paraId="75D7723E" w14:textId="77777777" w:rsidR="00FA1566" w:rsidRPr="005E0923" w:rsidRDefault="00FA1566" w:rsidP="00FA1566">
      <w:pPr>
        <w:spacing w:line="360" w:lineRule="atLeast"/>
        <w:rPr>
          <w:rFonts w:asciiTheme="minorHAnsi" w:hAnsiTheme="minorHAnsi" w:cstheme="minorHAnsi"/>
          <w:lang w:val="en-GB"/>
        </w:rPr>
      </w:pPr>
    </w:p>
    <w:p w14:paraId="65469C39" w14:textId="2EF3C70B"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 xml:space="preserve">The findings suggest that a CBD-containing hemp extract that still contains CBDA is recognized as a traditional food or </w:t>
      </w:r>
      <w:r w:rsidR="005E0923" w:rsidRPr="005E0923">
        <w:rPr>
          <w:rFonts w:asciiTheme="minorHAnsi" w:hAnsiTheme="minorHAnsi" w:cstheme="minorHAnsi"/>
          <w:lang w:val="en-GB"/>
        </w:rPr>
        <w:t>flavouring</w:t>
      </w:r>
      <w:r w:rsidRPr="005E0923">
        <w:rPr>
          <w:rFonts w:asciiTheme="minorHAnsi" w:hAnsiTheme="minorHAnsi" w:cstheme="minorHAnsi"/>
          <w:lang w:val="en-GB"/>
        </w:rPr>
        <w:t xml:space="preserve"> extract based on </w:t>
      </w:r>
      <w:proofErr w:type="spellStart"/>
      <w:r w:rsidRPr="005E0923">
        <w:rPr>
          <w:rFonts w:asciiTheme="minorHAnsi" w:hAnsiTheme="minorHAnsi" w:cstheme="minorHAnsi"/>
          <w:lang w:val="en-GB"/>
        </w:rPr>
        <w:t>Dupetit's</w:t>
      </w:r>
      <w:proofErr w:type="spellEnd"/>
      <w:r w:rsidRPr="005E0923">
        <w:rPr>
          <w:rFonts w:asciiTheme="minorHAnsi" w:hAnsiTheme="minorHAnsi" w:cstheme="minorHAnsi"/>
          <w:lang w:val="en-GB"/>
        </w:rPr>
        <w:t xml:space="preserve"> claims.</w:t>
      </w:r>
    </w:p>
    <w:p w14:paraId="60E4369C" w14:textId="77777777" w:rsidR="00FA1566" w:rsidRPr="005E0923" w:rsidRDefault="00FA1566" w:rsidP="00FA1566">
      <w:pPr>
        <w:spacing w:line="360" w:lineRule="atLeast"/>
        <w:rPr>
          <w:rFonts w:asciiTheme="minorHAnsi" w:hAnsiTheme="minorHAnsi" w:cstheme="minorHAnsi"/>
          <w:lang w:val="en-GB"/>
        </w:rPr>
      </w:pPr>
      <w:r w:rsidRPr="005E0923">
        <w:rPr>
          <w:rFonts w:asciiTheme="minorHAnsi" w:hAnsiTheme="minorHAnsi" w:cstheme="minorHAnsi"/>
          <w:lang w:val="en-GB"/>
        </w:rPr>
        <w:t>A fully decarboxylated extract that has a significantly higher CBD content and CBDA/CBD ratio than occurs naturally in the plant would have to be registered as a Novel Food (at least there is no ev</w:t>
      </w:r>
      <w:r w:rsidRPr="005E0923">
        <w:rPr>
          <w:rFonts w:asciiTheme="minorHAnsi" w:hAnsiTheme="minorHAnsi" w:cstheme="minorHAnsi"/>
          <w:lang w:val="en-GB"/>
        </w:rPr>
        <w:t>i</w:t>
      </w:r>
      <w:r w:rsidRPr="005E0923">
        <w:rPr>
          <w:rFonts w:asciiTheme="minorHAnsi" w:hAnsiTheme="minorHAnsi" w:cstheme="minorHAnsi"/>
          <w:lang w:val="en-GB"/>
        </w:rPr>
        <w:t>dence that a fully decarboxylated extract has been consumed as a food in significant quantities b</w:t>
      </w:r>
      <w:r w:rsidRPr="005E0923">
        <w:rPr>
          <w:rFonts w:asciiTheme="minorHAnsi" w:hAnsiTheme="minorHAnsi" w:cstheme="minorHAnsi"/>
          <w:lang w:val="en-GB"/>
        </w:rPr>
        <w:t>e</w:t>
      </w:r>
      <w:r w:rsidRPr="005E0923">
        <w:rPr>
          <w:rFonts w:asciiTheme="minorHAnsi" w:hAnsiTheme="minorHAnsi" w:cstheme="minorHAnsi"/>
          <w:lang w:val="en-GB"/>
        </w:rPr>
        <w:t>fore May 15, 1997).</w:t>
      </w:r>
    </w:p>
    <w:p w14:paraId="47DFCCE2" w14:textId="3C63EF0E" w:rsidR="00CA3C54" w:rsidRPr="005E0923" w:rsidRDefault="00FA1566" w:rsidP="00CB63DA">
      <w:pPr>
        <w:jc w:val="both"/>
        <w:rPr>
          <w:bCs/>
          <w:lang w:val="en-GB"/>
        </w:rPr>
      </w:pPr>
      <w:r w:rsidRPr="005E0923">
        <w:rPr>
          <w:rFonts w:asciiTheme="minorHAnsi" w:hAnsiTheme="minorHAnsi" w:cstheme="minorHAnsi"/>
          <w:lang w:val="en-GB"/>
        </w:rPr>
        <w:t xml:space="preserve">This assessment is also in line with the findings in the legal opinion Novel Food by </w:t>
      </w:r>
      <w:proofErr w:type="spellStart"/>
      <w:r w:rsidRPr="005E0923">
        <w:rPr>
          <w:rFonts w:asciiTheme="minorHAnsi" w:hAnsiTheme="minorHAnsi" w:cstheme="minorHAnsi"/>
          <w:lang w:val="en-GB"/>
        </w:rPr>
        <w:t>Forstmann</w:t>
      </w:r>
      <w:proofErr w:type="spellEnd"/>
      <w:r w:rsidRPr="005E0923">
        <w:rPr>
          <w:rFonts w:asciiTheme="minorHAnsi" w:hAnsiTheme="minorHAnsi" w:cstheme="minorHAnsi"/>
          <w:lang w:val="en-GB"/>
        </w:rPr>
        <w:t xml:space="preserve"> and </w:t>
      </w:r>
      <w:proofErr w:type="spellStart"/>
      <w:r w:rsidRPr="005E0923">
        <w:rPr>
          <w:rFonts w:asciiTheme="minorHAnsi" w:hAnsiTheme="minorHAnsi" w:cstheme="minorHAnsi"/>
          <w:lang w:val="en-GB"/>
        </w:rPr>
        <w:t>Büttner</w:t>
      </w:r>
      <w:proofErr w:type="spellEnd"/>
      <w:r w:rsidRPr="005E0923">
        <w:rPr>
          <w:rStyle w:val="Funotenzeichen"/>
          <w:rFonts w:asciiTheme="minorHAnsi" w:hAnsiTheme="minorHAnsi" w:cstheme="minorHAnsi"/>
          <w:lang w:val="en-GB"/>
        </w:rPr>
        <w:footnoteReference w:id="68"/>
      </w:r>
      <w:r w:rsidRPr="005E0923">
        <w:rPr>
          <w:rFonts w:asciiTheme="minorHAnsi" w:hAnsiTheme="minorHAnsi" w:cstheme="minorHAnsi"/>
          <w:lang w:val="en-GB"/>
        </w:rPr>
        <w:t xml:space="preserve"> .</w:t>
      </w:r>
    </w:p>
    <w:sectPr w:rsidR="00CA3C54" w:rsidRPr="005E0923">
      <w:footerReference w:type="defaul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2337A8" w14:textId="77777777" w:rsidR="008A45F5" w:rsidRDefault="008A45F5" w:rsidP="003D002A">
      <w:pPr>
        <w:spacing w:after="0" w:line="240" w:lineRule="auto"/>
      </w:pPr>
      <w:r>
        <w:separator/>
      </w:r>
    </w:p>
  </w:endnote>
  <w:endnote w:type="continuationSeparator" w:id="0">
    <w:p w14:paraId="5CEB2154" w14:textId="77777777" w:rsidR="008A45F5" w:rsidRDefault="008A45F5" w:rsidP="003D0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2165123"/>
      <w:docPartObj>
        <w:docPartGallery w:val="Page Numbers (Bottom of Page)"/>
        <w:docPartUnique/>
      </w:docPartObj>
    </w:sdtPr>
    <w:sdtEndPr/>
    <w:sdtContent>
      <w:p w14:paraId="7D8D7101" w14:textId="77777777" w:rsidR="00BC5DBA" w:rsidRDefault="00BC5DBA">
        <w:pPr>
          <w:pStyle w:val="Fuzeile"/>
          <w:jc w:val="right"/>
        </w:pPr>
        <w:r w:rsidRPr="00A160ED">
          <w:rPr>
            <w:b/>
            <w:bCs/>
          </w:rPr>
          <w:t xml:space="preserve">Page </w:t>
        </w:r>
        <w:r w:rsidRPr="00A160ED">
          <w:rPr>
            <w:b/>
            <w:bCs/>
          </w:rPr>
          <w:fldChar w:fldCharType="begin"/>
        </w:r>
        <w:r w:rsidRPr="00A160ED">
          <w:rPr>
            <w:b/>
            <w:bCs/>
          </w:rPr>
          <w:instrText>PAGE   \* MERGEFORMAT</w:instrText>
        </w:r>
        <w:r w:rsidRPr="00A160ED">
          <w:rPr>
            <w:b/>
            <w:bCs/>
          </w:rPr>
          <w:fldChar w:fldCharType="separate"/>
        </w:r>
        <w:r w:rsidR="003E009A">
          <w:rPr>
            <w:b/>
            <w:bCs/>
            <w:noProof/>
          </w:rPr>
          <w:t>13</w:t>
        </w:r>
        <w:r w:rsidRPr="00A160ED">
          <w:rPr>
            <w:b/>
            <w:bCs/>
          </w:rPr>
          <w:fldChar w:fldCharType="end"/>
        </w:r>
      </w:p>
    </w:sdtContent>
  </w:sdt>
  <w:p w14:paraId="36353284" w14:textId="77777777" w:rsidR="00BC5DBA" w:rsidRDefault="00BC5DBA">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7350862"/>
      <w:docPartObj>
        <w:docPartGallery w:val="Page Numbers (Bottom of Page)"/>
        <w:docPartUnique/>
      </w:docPartObj>
    </w:sdtPr>
    <w:sdtEndPr/>
    <w:sdtContent>
      <w:p w14:paraId="3E68A269" w14:textId="77777777" w:rsidR="00BC5DBA" w:rsidRDefault="00BC5DBA">
        <w:pPr>
          <w:pStyle w:val="Fuzeile"/>
          <w:jc w:val="right"/>
        </w:pPr>
        <w:r w:rsidRPr="00A160ED">
          <w:rPr>
            <w:b/>
            <w:bCs/>
          </w:rPr>
          <w:t xml:space="preserve">Page </w:t>
        </w:r>
        <w:r w:rsidRPr="00A160ED">
          <w:rPr>
            <w:b/>
            <w:bCs/>
          </w:rPr>
          <w:fldChar w:fldCharType="begin"/>
        </w:r>
        <w:r w:rsidRPr="00A160ED">
          <w:rPr>
            <w:b/>
            <w:bCs/>
          </w:rPr>
          <w:instrText>PAGE   \* MERGEFORMAT</w:instrText>
        </w:r>
        <w:r w:rsidRPr="00A160ED">
          <w:rPr>
            <w:b/>
            <w:bCs/>
          </w:rPr>
          <w:fldChar w:fldCharType="separate"/>
        </w:r>
        <w:r w:rsidR="003E009A">
          <w:rPr>
            <w:b/>
            <w:bCs/>
            <w:noProof/>
          </w:rPr>
          <w:t>24</w:t>
        </w:r>
        <w:r w:rsidRPr="00A160ED">
          <w:rPr>
            <w:b/>
            <w:bCs/>
          </w:rPr>
          <w:fldChar w:fldCharType="end"/>
        </w:r>
      </w:p>
    </w:sdtContent>
  </w:sdt>
  <w:p w14:paraId="4F2B6B1D" w14:textId="77777777" w:rsidR="00BC5DBA" w:rsidRDefault="00BC5DBA">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F437E2" w14:textId="77777777" w:rsidR="008A45F5" w:rsidRDefault="008A45F5" w:rsidP="003D002A">
      <w:pPr>
        <w:spacing w:after="0" w:line="240" w:lineRule="auto"/>
      </w:pPr>
      <w:r>
        <w:separator/>
      </w:r>
    </w:p>
  </w:footnote>
  <w:footnote w:type="continuationSeparator" w:id="0">
    <w:p w14:paraId="53C59D3F" w14:textId="77777777" w:rsidR="008A45F5" w:rsidRDefault="008A45F5" w:rsidP="003D002A">
      <w:pPr>
        <w:spacing w:after="0" w:line="240" w:lineRule="auto"/>
      </w:pPr>
      <w:r>
        <w:continuationSeparator/>
      </w:r>
    </w:p>
  </w:footnote>
  <w:footnote w:id="1">
    <w:p w14:paraId="17D6EE58" w14:textId="182A6184" w:rsidR="00BC5DBA" w:rsidRPr="00E21AE8" w:rsidRDefault="00BC5DBA">
      <w:pPr>
        <w:spacing w:after="0" w:line="240" w:lineRule="auto"/>
        <w:rPr>
          <w:sz w:val="20"/>
          <w:szCs w:val="20"/>
          <w:vertAlign w:val="superscript"/>
          <w:lang w:val="en-US"/>
        </w:rPr>
      </w:pPr>
      <w:r w:rsidRPr="00E21AE8">
        <w:rPr>
          <w:rStyle w:val="Funotenzeichen"/>
          <w:sz w:val="20"/>
          <w:szCs w:val="20"/>
          <w:lang w:val="en-US"/>
        </w:rPr>
        <w:t xml:space="preserve">* </w:t>
      </w:r>
      <w:r w:rsidRPr="005F471B">
        <w:rPr>
          <w:sz w:val="20"/>
          <w:szCs w:val="20"/>
          <w:lang w:val="en-US"/>
        </w:rPr>
        <w:t xml:space="preserve">The author Kai-Friedrich </w:t>
      </w:r>
      <w:proofErr w:type="spellStart"/>
      <w:r w:rsidRPr="00781FB8">
        <w:rPr>
          <w:i/>
          <w:iCs/>
          <w:sz w:val="20"/>
          <w:szCs w:val="20"/>
          <w:lang w:val="en-US"/>
        </w:rPr>
        <w:t>Niermann</w:t>
      </w:r>
      <w:proofErr w:type="spellEnd"/>
      <w:r w:rsidRPr="005F471B">
        <w:rPr>
          <w:sz w:val="20"/>
          <w:szCs w:val="20"/>
          <w:lang w:val="en-US"/>
        </w:rPr>
        <w:t xml:space="preserve"> is lawyer in the Law office KFN+, Paderborn, and Legal Advisor of the Eur</w:t>
      </w:r>
      <w:r w:rsidRPr="005F471B">
        <w:rPr>
          <w:sz w:val="20"/>
          <w:szCs w:val="20"/>
          <w:lang w:val="en-US"/>
        </w:rPr>
        <w:t>o</w:t>
      </w:r>
      <w:r w:rsidRPr="005F471B">
        <w:rPr>
          <w:sz w:val="20"/>
          <w:szCs w:val="20"/>
          <w:lang w:val="en-US"/>
        </w:rPr>
        <w:t xml:space="preserve">pean Industrial Hemp Association (EIHA); Daniel Kruse is president of the European Industrial Hemp Association </w:t>
      </w:r>
      <w:proofErr w:type="spellStart"/>
      <w:r w:rsidRPr="005F471B">
        <w:rPr>
          <w:sz w:val="20"/>
          <w:szCs w:val="20"/>
          <w:lang w:val="en-US"/>
        </w:rPr>
        <w:t>e.V</w:t>
      </w:r>
      <w:proofErr w:type="spellEnd"/>
      <w:r w:rsidRPr="005F471B">
        <w:rPr>
          <w:sz w:val="20"/>
          <w:szCs w:val="20"/>
          <w:lang w:val="en-US"/>
        </w:rPr>
        <w:t xml:space="preserve">. (EIHA) und hemp entrepreneur; Dr. Bernhard Beitzke is independent consultant of the chemical industry, owner of Beitzke Consultancy and member of the scientific advisory board of </w:t>
      </w:r>
      <w:r w:rsidRPr="005F471B">
        <w:rPr>
          <w:rFonts w:asciiTheme="minorHAnsi" w:hAnsiTheme="minorHAnsi" w:cstheme="minorHAnsi"/>
          <w:sz w:val="20"/>
          <w:szCs w:val="20"/>
          <w:lang w:val="en-US"/>
        </w:rPr>
        <w:t xml:space="preserve">EIHA e. V.; Dr. med., Dr. phil. Gerhard </w:t>
      </w:r>
      <w:proofErr w:type="spellStart"/>
      <w:r w:rsidRPr="005F471B">
        <w:rPr>
          <w:rFonts w:asciiTheme="minorHAnsi" w:hAnsiTheme="minorHAnsi" w:cstheme="minorHAnsi"/>
          <w:sz w:val="20"/>
          <w:szCs w:val="20"/>
          <w:lang w:val="en-US"/>
        </w:rPr>
        <w:t>Nahler</w:t>
      </w:r>
      <w:proofErr w:type="spellEnd"/>
      <w:r w:rsidRPr="005F471B">
        <w:rPr>
          <w:rFonts w:asciiTheme="minorHAnsi" w:hAnsiTheme="minorHAnsi" w:cstheme="minorHAnsi"/>
          <w:sz w:val="20"/>
          <w:szCs w:val="20"/>
          <w:lang w:val="en-US"/>
        </w:rPr>
        <w:t xml:space="preserve"> is independent consultant and managing director of </w:t>
      </w:r>
      <w:r w:rsidRPr="005F471B">
        <w:rPr>
          <w:sz w:val="20"/>
          <w:szCs w:val="20"/>
          <w:lang w:val="en-US"/>
        </w:rPr>
        <w:t xml:space="preserve">CIS Clinical Investigation Support GmbH. </w:t>
      </w:r>
    </w:p>
    <w:p w14:paraId="2B827073" w14:textId="69611920" w:rsidR="00BC5DBA" w:rsidRPr="00E43D77" w:rsidRDefault="00BC5DBA">
      <w:pPr>
        <w:pStyle w:val="Funotentext"/>
      </w:pPr>
      <w:r w:rsidRPr="005F471B">
        <w:rPr>
          <w:rStyle w:val="Funotenzeichen"/>
        </w:rPr>
        <w:footnoteRef/>
      </w:r>
      <w:r w:rsidRPr="005F471B">
        <w:rPr>
          <w:lang w:val="en-US"/>
        </w:rPr>
        <w:t xml:space="preserve"> </w:t>
      </w:r>
      <w:r w:rsidRPr="00781FB8">
        <w:rPr>
          <w:lang w:val="en-US"/>
        </w:rPr>
        <w:t>A</w:t>
      </w:r>
      <w:r w:rsidRPr="005F471B">
        <w:rPr>
          <w:lang w:val="en-US"/>
        </w:rPr>
        <w:t>dministrative Court of Cologne [</w:t>
      </w:r>
      <w:r w:rsidR="00425D1A" w:rsidRPr="005F471B">
        <w:rPr>
          <w:lang w:val="en-US"/>
        </w:rPr>
        <w:t>Köln</w:t>
      </w:r>
      <w:r w:rsidRPr="005F471B">
        <w:rPr>
          <w:lang w:val="en-US"/>
        </w:rPr>
        <w:t xml:space="preserve">], judgment, dated 22. </w:t>
      </w:r>
      <w:r w:rsidRPr="00E43D77">
        <w:t xml:space="preserve">03. 2022, AZ: 7 K 954/20. </w:t>
      </w:r>
      <w:hyperlink r:id="rId1" w:history="1">
        <w:r w:rsidRPr="00E43D77">
          <w:rPr>
            <w:rStyle w:val="Hyperlink"/>
            <w:rFonts w:cstheme="minorBidi"/>
          </w:rPr>
          <w:t>https://openjur.de/u/2393752.html</w:t>
        </w:r>
      </w:hyperlink>
      <w:r w:rsidRPr="00E43D77">
        <w:t xml:space="preserve">. </w:t>
      </w:r>
    </w:p>
  </w:footnote>
  <w:footnote w:id="2">
    <w:p w14:paraId="4620B462" w14:textId="77777777" w:rsidR="00BC5DBA" w:rsidRPr="00781FB8" w:rsidRDefault="00BC5DBA">
      <w:pPr>
        <w:pStyle w:val="Funotentext"/>
        <w:rPr>
          <w:lang w:val="en-US"/>
        </w:rPr>
      </w:pPr>
      <w:r w:rsidRPr="005F471B">
        <w:rPr>
          <w:rStyle w:val="Funotenzeichen"/>
        </w:rPr>
        <w:footnoteRef/>
      </w:r>
      <w:r w:rsidRPr="005F471B">
        <w:rPr>
          <w:lang w:val="en-US"/>
        </w:rPr>
        <w:t xml:space="preserve"> BfArM decision dated July 12, 2019, sent anonymously from BfArM to the author.</w:t>
      </w:r>
    </w:p>
  </w:footnote>
  <w:footnote w:id="3">
    <w:p w14:paraId="6FB4EDD0" w14:textId="46DADF2D" w:rsidR="00BC5DBA" w:rsidRPr="005F471B" w:rsidRDefault="00BC5DBA">
      <w:pPr>
        <w:pStyle w:val="Funotentext"/>
        <w:rPr>
          <w:lang w:val="en-US"/>
        </w:rPr>
      </w:pPr>
      <w:r w:rsidRPr="005F471B">
        <w:rPr>
          <w:rStyle w:val="Funotenzeichen"/>
        </w:rPr>
        <w:footnoteRef/>
      </w:r>
      <w:r w:rsidRPr="005F471B">
        <w:rPr>
          <w:lang w:val="en-US"/>
        </w:rPr>
        <w:t xml:space="preserve"> BfArM decision of July 12, 2019, page 7; </w:t>
      </w:r>
      <w:r w:rsidRPr="00781FB8">
        <w:rPr>
          <w:lang w:val="en-US"/>
        </w:rPr>
        <w:t>Federal Administrative Court, judgment</w:t>
      </w:r>
      <w:r w:rsidRPr="005F471B">
        <w:rPr>
          <w:lang w:val="en-US"/>
        </w:rPr>
        <w:t xml:space="preserve"> dated July 25, 2007, 3 C-21.06; </w:t>
      </w:r>
      <w:hyperlink r:id="rId2" w:history="1">
        <w:r w:rsidRPr="00781FB8">
          <w:rPr>
            <w:rStyle w:val="Hyperlink"/>
            <w:rFonts w:cstheme="minorBidi"/>
            <w:lang w:val="en-US"/>
          </w:rPr>
          <w:t>https://www.bverwg.de/250707U3C21.06.0</w:t>
        </w:r>
      </w:hyperlink>
      <w:r w:rsidRPr="005F471B">
        <w:rPr>
          <w:lang w:val="en-US"/>
        </w:rPr>
        <w:t xml:space="preserve"> </w:t>
      </w:r>
    </w:p>
  </w:footnote>
  <w:footnote w:id="4">
    <w:p w14:paraId="0B143914" w14:textId="1C53BCBC" w:rsidR="00BC5DBA" w:rsidRPr="00300FBD" w:rsidRDefault="00BC5DBA">
      <w:pPr>
        <w:pStyle w:val="Funotentext"/>
        <w:rPr>
          <w:lang w:val="en-US"/>
        </w:rPr>
      </w:pPr>
      <w:r>
        <w:rPr>
          <w:rStyle w:val="Funotenzeichen"/>
        </w:rPr>
        <w:footnoteRef/>
      </w:r>
      <w:r w:rsidRPr="00300FBD">
        <w:rPr>
          <w:lang w:val="en-US"/>
        </w:rPr>
        <w:t xml:space="preserve"> </w:t>
      </w:r>
      <w:r>
        <w:rPr>
          <w:lang w:val="en-US"/>
        </w:rPr>
        <w:t>Administrative Court Cologne [</w:t>
      </w:r>
      <w:r w:rsidRPr="00300FBD">
        <w:rPr>
          <w:lang w:val="en-US"/>
        </w:rPr>
        <w:t>VG Köln</w:t>
      </w:r>
      <w:r>
        <w:rPr>
          <w:lang w:val="en-US"/>
        </w:rPr>
        <w:t>]</w:t>
      </w:r>
      <w:r w:rsidRPr="00300FBD">
        <w:rPr>
          <w:lang w:val="en-US"/>
        </w:rPr>
        <w:t>, judgment</w:t>
      </w:r>
      <w:r>
        <w:rPr>
          <w:lang w:val="en-US"/>
        </w:rPr>
        <w:t xml:space="preserve"> dated</w:t>
      </w:r>
      <w:r w:rsidRPr="00300FBD">
        <w:rPr>
          <w:lang w:val="en-US"/>
        </w:rPr>
        <w:t xml:space="preserve"> 28.4.2015, 7 K 395/13, para. </w:t>
      </w:r>
      <w:proofErr w:type="gramStart"/>
      <w:r w:rsidRPr="00300FBD">
        <w:rPr>
          <w:lang w:val="en-US"/>
        </w:rPr>
        <w:t>93</w:t>
      </w:r>
      <w:r>
        <w:rPr>
          <w:lang w:val="en-US"/>
        </w:rPr>
        <w:t xml:space="preserve">; </w:t>
      </w:r>
      <w:hyperlink r:id="rId3" w:history="1">
        <w:r w:rsidR="00BD64F3" w:rsidRPr="003A064F">
          <w:rPr>
            <w:rStyle w:val="Hyperlink"/>
            <w:rFonts w:cstheme="minorBidi"/>
            <w:lang w:val="en-US"/>
          </w:rPr>
          <w:t>https://openjur.de/u/854818.html</w:t>
        </w:r>
      </w:hyperlink>
      <w:r w:rsidRPr="00300FBD">
        <w:rPr>
          <w:lang w:val="en-US"/>
        </w:rPr>
        <w:t>.</w:t>
      </w:r>
      <w:proofErr w:type="gramEnd"/>
      <w:r w:rsidR="00BD64F3">
        <w:rPr>
          <w:lang w:val="en-US"/>
        </w:rPr>
        <w:t xml:space="preserve"> </w:t>
      </w:r>
    </w:p>
  </w:footnote>
  <w:footnote w:id="5">
    <w:p w14:paraId="54DD1793" w14:textId="77777777" w:rsidR="00BC5DBA" w:rsidRDefault="00BC5DBA" w:rsidP="00D802F1">
      <w:pPr>
        <w:pStyle w:val="Funotentext"/>
        <w:rPr>
          <w:lang w:val="en-GB"/>
        </w:rPr>
      </w:pPr>
      <w:r>
        <w:rPr>
          <w:rStyle w:val="Funotenzeichen"/>
        </w:rPr>
        <w:footnoteRef/>
      </w:r>
      <w:r>
        <w:rPr>
          <w:lang w:val="en-GB"/>
        </w:rPr>
        <w:t xml:space="preserve"> European Commission, DG Enterprise &amp; Industry, Directorate F, Unit F3 "Cosmetics and Medical Devices", A.2.1.1, p. 6, </w:t>
      </w:r>
      <w:r w:rsidRPr="005D6F79">
        <w:rPr>
          <w:lang w:val="en-GB"/>
        </w:rPr>
        <w:t xml:space="preserve">https://www.medical-device-regulation.eu/meddev-guidance-list-download/ </w:t>
      </w:r>
      <w:r>
        <w:rPr>
          <w:lang w:val="en-GB"/>
        </w:rPr>
        <w:t xml:space="preserve">: </w:t>
      </w:r>
      <w:r w:rsidRPr="00384EC7">
        <w:rPr>
          <w:i/>
          <w:lang w:val="en-GB"/>
        </w:rPr>
        <w:t>"Pharmacological means" is understood as an interaction between the molecules of the substance in question and a cellular co</w:t>
      </w:r>
      <w:r w:rsidRPr="00384EC7">
        <w:rPr>
          <w:i/>
          <w:lang w:val="en-GB"/>
        </w:rPr>
        <w:t>n</w:t>
      </w:r>
      <w:r w:rsidRPr="00384EC7">
        <w:rPr>
          <w:i/>
          <w:lang w:val="en-GB"/>
        </w:rPr>
        <w:t>stituent, usually referred to as a receptor, which either results in a direct response, or which blocks the response to another agent. Although not a completely reliable criterion, the presence of a dose-response correlation is indicative of a pharmacological effect.</w:t>
      </w:r>
    </w:p>
  </w:footnote>
  <w:footnote w:id="6">
    <w:p w14:paraId="21DE7920" w14:textId="57377E1F" w:rsidR="00BC5DBA" w:rsidRPr="00300FBD" w:rsidRDefault="00BC5DBA">
      <w:pPr>
        <w:pStyle w:val="Funotentext"/>
        <w:rPr>
          <w:lang w:val="en-US"/>
        </w:rPr>
      </w:pPr>
      <w:r>
        <w:rPr>
          <w:rStyle w:val="Funotenzeichen"/>
        </w:rPr>
        <w:footnoteRef/>
      </w:r>
      <w:r w:rsidRPr="00300FBD">
        <w:rPr>
          <w:lang w:val="en-US"/>
        </w:rPr>
        <w:t xml:space="preserve"> </w:t>
      </w:r>
      <w:r>
        <w:rPr>
          <w:lang w:val="en-US"/>
        </w:rPr>
        <w:t>Administrative Court Cologne [</w:t>
      </w:r>
      <w:r w:rsidRPr="00300FBD">
        <w:rPr>
          <w:lang w:val="en-US"/>
        </w:rPr>
        <w:t>VG Köln</w:t>
      </w:r>
      <w:r>
        <w:rPr>
          <w:lang w:val="en-US"/>
        </w:rPr>
        <w:t>]</w:t>
      </w:r>
      <w:r w:rsidRPr="00300FBD">
        <w:rPr>
          <w:lang w:val="en-US"/>
        </w:rPr>
        <w:t xml:space="preserve">, judgment </w:t>
      </w:r>
      <w:r>
        <w:rPr>
          <w:lang w:val="en-US"/>
        </w:rPr>
        <w:t xml:space="preserve">dated </w:t>
      </w:r>
      <w:r w:rsidRPr="00300FBD">
        <w:rPr>
          <w:lang w:val="en-US"/>
        </w:rPr>
        <w:t>22</w:t>
      </w:r>
      <w:r>
        <w:rPr>
          <w:lang w:val="en-US"/>
        </w:rPr>
        <w:t>.</w:t>
      </w:r>
      <w:r w:rsidRPr="00300FBD">
        <w:rPr>
          <w:lang w:val="en-US"/>
        </w:rPr>
        <w:t xml:space="preserve"> </w:t>
      </w:r>
      <w:r>
        <w:rPr>
          <w:lang w:val="en-US"/>
        </w:rPr>
        <w:t>0</w:t>
      </w:r>
      <w:r w:rsidRPr="00300FBD">
        <w:rPr>
          <w:lang w:val="en-US"/>
        </w:rPr>
        <w:t xml:space="preserve">3. 2022, AZ: 7 K 954/20, para. </w:t>
      </w:r>
      <w:proofErr w:type="gramStart"/>
      <w:r w:rsidRPr="00300FBD">
        <w:rPr>
          <w:lang w:val="en-US"/>
        </w:rPr>
        <w:t>55 ff.</w:t>
      </w:r>
      <w:r w:rsidR="00011E76">
        <w:rPr>
          <w:lang w:val="en-US"/>
        </w:rPr>
        <w:t>,</w:t>
      </w:r>
      <w:r>
        <w:rPr>
          <w:lang w:val="en-US"/>
        </w:rPr>
        <w:t xml:space="preserve"> in partic</w:t>
      </w:r>
      <w:r>
        <w:rPr>
          <w:lang w:val="en-US"/>
        </w:rPr>
        <w:t>u</w:t>
      </w:r>
      <w:r>
        <w:rPr>
          <w:lang w:val="en-US"/>
        </w:rPr>
        <w:t xml:space="preserve">lar para 61; </w:t>
      </w:r>
      <w:hyperlink r:id="rId4" w:history="1">
        <w:r w:rsidRPr="000F519C">
          <w:rPr>
            <w:rStyle w:val="Hyperlink"/>
            <w:rFonts w:cstheme="minorBidi"/>
            <w:lang w:val="en-US"/>
          </w:rPr>
          <w:t>https://openjur.de/u/2393752.html</w:t>
        </w:r>
      </w:hyperlink>
      <w:r>
        <w:rPr>
          <w:lang w:val="en-US"/>
        </w:rPr>
        <w:t>.</w:t>
      </w:r>
      <w:proofErr w:type="gramEnd"/>
    </w:p>
  </w:footnote>
  <w:footnote w:id="7">
    <w:p w14:paraId="05CF8CCB" w14:textId="53F0B232" w:rsidR="00BC5DBA" w:rsidRPr="00CB63DA" w:rsidRDefault="00BC5DBA">
      <w:pPr>
        <w:pStyle w:val="Funotentext"/>
        <w:rPr>
          <w:color w:val="000000"/>
          <w:shd w:val="clear" w:color="auto" w:fill="FFFFFF"/>
        </w:rPr>
      </w:pPr>
      <w:r>
        <w:rPr>
          <w:rStyle w:val="Funotenzeichen"/>
        </w:rPr>
        <w:footnoteRef/>
      </w:r>
      <w:r w:rsidRPr="00300FBD">
        <w:rPr>
          <w:lang w:val="en-US"/>
        </w:rPr>
        <w:t xml:space="preserve"> </w:t>
      </w:r>
      <w:proofErr w:type="gramStart"/>
      <w:r w:rsidRPr="00300FBD">
        <w:rPr>
          <w:lang w:val="en-US"/>
        </w:rPr>
        <w:t xml:space="preserve">ECJ, </w:t>
      </w:r>
      <w:r w:rsidRPr="00300FBD">
        <w:rPr>
          <w:color w:val="000000"/>
          <w:shd w:val="clear" w:color="auto" w:fill="FFFFFF"/>
          <w:lang w:val="en-US"/>
        </w:rPr>
        <w:t xml:space="preserve">Judgments of 30 November 1983, Case 227/82, van </w:t>
      </w:r>
      <w:proofErr w:type="spellStart"/>
      <w:r w:rsidRPr="00300FBD">
        <w:rPr>
          <w:color w:val="000000"/>
          <w:shd w:val="clear" w:color="auto" w:fill="FFFFFF"/>
          <w:lang w:val="en-US"/>
        </w:rPr>
        <w:t>Bennekom</w:t>
      </w:r>
      <w:proofErr w:type="spellEnd"/>
      <w:r w:rsidRPr="00300FBD">
        <w:rPr>
          <w:color w:val="000000"/>
          <w:shd w:val="clear" w:color="auto" w:fill="FFFFFF"/>
          <w:lang w:val="en-US"/>
        </w:rPr>
        <w:t>, para.</w:t>
      </w:r>
      <w:proofErr w:type="gramEnd"/>
      <w:r w:rsidRPr="00300FBD">
        <w:rPr>
          <w:color w:val="000000"/>
          <w:shd w:val="clear" w:color="auto" w:fill="FFFFFF"/>
          <w:lang w:val="en-US"/>
        </w:rPr>
        <w:t xml:space="preserve"> </w:t>
      </w:r>
      <w:proofErr w:type="gramStart"/>
      <w:r w:rsidRPr="00300FBD">
        <w:rPr>
          <w:color w:val="000000"/>
          <w:shd w:val="clear" w:color="auto" w:fill="FFFFFF"/>
          <w:lang w:val="en-US"/>
        </w:rPr>
        <w:t>27 and 29</w:t>
      </w:r>
      <w:r>
        <w:rPr>
          <w:color w:val="000000"/>
          <w:shd w:val="clear" w:color="auto" w:fill="FFFFFF"/>
          <w:lang w:val="en-US"/>
        </w:rPr>
        <w:t>.</w:t>
      </w:r>
      <w:proofErr w:type="gramEnd"/>
      <w:r>
        <w:rPr>
          <w:color w:val="000000"/>
          <w:shd w:val="clear" w:color="auto" w:fill="FFFFFF"/>
          <w:lang w:val="en-US"/>
        </w:rPr>
        <w:t xml:space="preserve"> </w:t>
      </w:r>
      <w:hyperlink r:id="rId5" w:history="1">
        <w:r w:rsidRPr="00CB63DA">
          <w:rPr>
            <w:rStyle w:val="Hyperlink"/>
            <w:rFonts w:cstheme="minorBidi"/>
            <w:shd w:val="clear" w:color="auto" w:fill="FFFFFF"/>
          </w:rPr>
          <w:t>https://eur-lex.europa.eu/legal-content/GA/TXT/?uri=CELEX:61982CJ0227</w:t>
        </w:r>
      </w:hyperlink>
      <w:r w:rsidRPr="00CB63DA">
        <w:rPr>
          <w:color w:val="000000"/>
          <w:shd w:val="clear" w:color="auto" w:fill="FFFFFF"/>
        </w:rPr>
        <w:t xml:space="preserve">. </w:t>
      </w:r>
    </w:p>
    <w:p w14:paraId="6ED997B0" w14:textId="3BADFA22" w:rsidR="00BC5DBA" w:rsidRPr="00E21AE8" w:rsidRDefault="00BC5DBA">
      <w:pPr>
        <w:pStyle w:val="Funotentext"/>
        <w:rPr>
          <w:lang w:val="en-GB"/>
        </w:rPr>
      </w:pPr>
      <w:r w:rsidRPr="00E21AE8">
        <w:rPr>
          <w:color w:val="000000"/>
          <w:shd w:val="clear" w:color="auto" w:fill="FFFFFF"/>
          <w:lang w:val="en-GB"/>
        </w:rPr>
        <w:t xml:space="preserve">–ECJ, Judgment of the Court </w:t>
      </w:r>
      <w:r>
        <w:rPr>
          <w:color w:val="000000"/>
          <w:shd w:val="clear" w:color="auto" w:fill="FFFFFF"/>
          <w:lang w:val="en-GB"/>
        </w:rPr>
        <w:t xml:space="preserve">of 19 April 2004, </w:t>
      </w:r>
      <w:r w:rsidRPr="00E21AE8">
        <w:rPr>
          <w:color w:val="000000"/>
          <w:shd w:val="clear" w:color="auto" w:fill="FFFFFF"/>
          <w:lang w:val="en-GB"/>
        </w:rPr>
        <w:t xml:space="preserve">Case C-150/00, Commission v. Austria, para. </w:t>
      </w:r>
      <w:proofErr w:type="gramStart"/>
      <w:r w:rsidRPr="00E21AE8">
        <w:rPr>
          <w:color w:val="000000"/>
          <w:shd w:val="clear" w:color="auto" w:fill="FFFFFF"/>
          <w:lang w:val="en-GB"/>
        </w:rPr>
        <w:t xml:space="preserve">63 ff.; </w:t>
      </w:r>
      <w:hyperlink r:id="rId6" w:history="1">
        <w:r w:rsidR="00BD64F3" w:rsidRPr="003A064F">
          <w:rPr>
            <w:rStyle w:val="Hyperlink"/>
            <w:rFonts w:cstheme="minorBidi"/>
            <w:shd w:val="clear" w:color="auto" w:fill="FFFFFF"/>
            <w:lang w:val="en-GB"/>
          </w:rPr>
          <w:t>https://curia.europa.eu/juris/liste.jsf?language=en&amp;num=C-150/00</w:t>
        </w:r>
      </w:hyperlink>
      <w:r>
        <w:rPr>
          <w:color w:val="000000"/>
          <w:shd w:val="clear" w:color="auto" w:fill="FFFFFF"/>
          <w:lang w:val="en-GB"/>
        </w:rPr>
        <w:t>.</w:t>
      </w:r>
      <w:proofErr w:type="gramEnd"/>
      <w:r w:rsidR="00BD64F3">
        <w:rPr>
          <w:color w:val="000000"/>
          <w:shd w:val="clear" w:color="auto" w:fill="FFFFFF"/>
          <w:lang w:val="en-GB"/>
        </w:rPr>
        <w:t xml:space="preserve"> </w:t>
      </w:r>
    </w:p>
  </w:footnote>
  <w:footnote w:id="8">
    <w:p w14:paraId="2C9D3DB0" w14:textId="48749656" w:rsidR="00BC5DBA" w:rsidRPr="00300FBD" w:rsidRDefault="00BC5DBA">
      <w:pPr>
        <w:pStyle w:val="Funotentext"/>
        <w:rPr>
          <w:lang w:val="en-US"/>
        </w:rPr>
      </w:pPr>
      <w:r>
        <w:rPr>
          <w:rStyle w:val="Funotenzeichen"/>
        </w:rPr>
        <w:footnoteRef/>
      </w:r>
      <w:r w:rsidRPr="00563170">
        <w:rPr>
          <w:lang w:val="en-US"/>
        </w:rPr>
        <w:t xml:space="preserve"> </w:t>
      </w:r>
      <w:r>
        <w:rPr>
          <w:lang w:val="en-US"/>
        </w:rPr>
        <w:t>Administrative Court Cologne [</w:t>
      </w:r>
      <w:r w:rsidRPr="00300FBD">
        <w:rPr>
          <w:lang w:val="en-US"/>
        </w:rPr>
        <w:t>VG Köln</w:t>
      </w:r>
      <w:r>
        <w:rPr>
          <w:lang w:val="en-US"/>
        </w:rPr>
        <w:t>]</w:t>
      </w:r>
      <w:r w:rsidRPr="00300FBD">
        <w:rPr>
          <w:lang w:val="en-US"/>
        </w:rPr>
        <w:t>, judgment</w:t>
      </w:r>
      <w:r>
        <w:rPr>
          <w:lang w:val="en-US"/>
        </w:rPr>
        <w:t xml:space="preserve"> dated</w:t>
      </w:r>
      <w:r w:rsidRPr="00300FBD">
        <w:rPr>
          <w:lang w:val="en-US"/>
        </w:rPr>
        <w:t xml:space="preserve"> 28.4.2015, 7 K 395/13, para. </w:t>
      </w:r>
      <w:proofErr w:type="gramStart"/>
      <w:r w:rsidRPr="00300FBD">
        <w:rPr>
          <w:lang w:val="en-US"/>
        </w:rPr>
        <w:t>93</w:t>
      </w:r>
      <w:r>
        <w:rPr>
          <w:lang w:val="en-US"/>
        </w:rPr>
        <w:t xml:space="preserve">; </w:t>
      </w:r>
      <w:hyperlink r:id="rId7" w:history="1">
        <w:r w:rsidR="00DE1FD7" w:rsidRPr="003A064F">
          <w:rPr>
            <w:rStyle w:val="Hyperlink"/>
            <w:rFonts w:cstheme="minorBidi"/>
            <w:lang w:val="en-US"/>
          </w:rPr>
          <w:t>https://openjur.de/u/854818.html</w:t>
        </w:r>
      </w:hyperlink>
      <w:r w:rsidRPr="00300FBD">
        <w:rPr>
          <w:lang w:val="en-US"/>
        </w:rPr>
        <w:t>.</w:t>
      </w:r>
      <w:proofErr w:type="gramEnd"/>
      <w:r w:rsidR="00DE1FD7">
        <w:rPr>
          <w:lang w:val="en-US"/>
        </w:rPr>
        <w:t xml:space="preserve"> </w:t>
      </w:r>
    </w:p>
  </w:footnote>
  <w:footnote w:id="9">
    <w:p w14:paraId="37C2C8AC" w14:textId="3D78E06F" w:rsidR="00BC5DBA" w:rsidRPr="0013322F" w:rsidRDefault="00BC5DBA" w:rsidP="00D802F1">
      <w:pPr>
        <w:pStyle w:val="Funotentext"/>
        <w:rPr>
          <w:lang w:val="en-US"/>
        </w:rPr>
      </w:pPr>
      <w:r>
        <w:rPr>
          <w:rStyle w:val="Funotenzeichen"/>
        </w:rPr>
        <w:footnoteRef/>
      </w:r>
      <w:r w:rsidRPr="0013322F">
        <w:rPr>
          <w:lang w:val="en-US"/>
        </w:rPr>
        <w:t xml:space="preserve"> </w:t>
      </w:r>
      <w:r w:rsidRPr="00A51435">
        <w:rPr>
          <w:color w:val="000000"/>
          <w:shd w:val="clear" w:color="auto" w:fill="FFFFFF"/>
          <w:lang w:val="en-GB"/>
        </w:rPr>
        <w:t xml:space="preserve">ECJ, Judgment of the Court </w:t>
      </w:r>
      <w:r>
        <w:rPr>
          <w:color w:val="000000"/>
          <w:shd w:val="clear" w:color="auto" w:fill="FFFFFF"/>
          <w:lang w:val="en-GB"/>
        </w:rPr>
        <w:t xml:space="preserve">of 19 April 2004, </w:t>
      </w:r>
      <w:r w:rsidRPr="00A51435">
        <w:rPr>
          <w:color w:val="000000"/>
          <w:shd w:val="clear" w:color="auto" w:fill="FFFFFF"/>
          <w:lang w:val="en-GB"/>
        </w:rPr>
        <w:t xml:space="preserve">Case C-150/00, Commission v. Austria, </w:t>
      </w:r>
      <w:hyperlink r:id="rId8" w:history="1">
        <w:r w:rsidRPr="00144A25">
          <w:rPr>
            <w:rStyle w:val="Hyperlink"/>
            <w:rFonts w:cstheme="minorBidi"/>
            <w:shd w:val="clear" w:color="auto" w:fill="FFFFFF"/>
            <w:lang w:val="en-GB"/>
          </w:rPr>
          <w:t>https://curia.europa.eu/juris/liste.jsf?language=en&amp;num=C-150/00</w:t>
        </w:r>
      </w:hyperlink>
      <w:r>
        <w:rPr>
          <w:color w:val="000000"/>
          <w:shd w:val="clear" w:color="auto" w:fill="FFFFFF"/>
          <w:lang w:val="en-GB"/>
        </w:rPr>
        <w:t xml:space="preserve">. </w:t>
      </w:r>
    </w:p>
  </w:footnote>
  <w:footnote w:id="10">
    <w:p w14:paraId="46994EEB" w14:textId="21E1A6B3" w:rsidR="00BC5DBA" w:rsidRPr="0013322F" w:rsidRDefault="00BC5DBA" w:rsidP="00D802F1">
      <w:pPr>
        <w:pStyle w:val="Funotentext"/>
        <w:rPr>
          <w:lang w:val="en-US"/>
        </w:rPr>
      </w:pPr>
      <w:r>
        <w:rPr>
          <w:rStyle w:val="Funotenzeichen"/>
        </w:rPr>
        <w:footnoteRef/>
      </w:r>
      <w:r w:rsidRPr="0013322F">
        <w:rPr>
          <w:lang w:val="en-US"/>
        </w:rPr>
        <w:t xml:space="preserve"> </w:t>
      </w:r>
      <w:proofErr w:type="gramStart"/>
      <w:r w:rsidRPr="005E0923">
        <w:rPr>
          <w:bCs/>
          <w:lang w:val="en-GB"/>
        </w:rPr>
        <w:t>Federal Administrative Court</w:t>
      </w:r>
      <w:r w:rsidRPr="0013322F">
        <w:rPr>
          <w:lang w:val="en-US"/>
        </w:rPr>
        <w:t xml:space="preserve"> </w:t>
      </w:r>
      <w:r>
        <w:rPr>
          <w:lang w:val="en-US"/>
        </w:rPr>
        <w:t>[</w:t>
      </w:r>
      <w:r w:rsidRPr="0013322F">
        <w:rPr>
          <w:lang w:val="en-US"/>
        </w:rPr>
        <w:t>BVerwG</w:t>
      </w:r>
      <w:r>
        <w:rPr>
          <w:lang w:val="en-US"/>
        </w:rPr>
        <w:t>]</w:t>
      </w:r>
      <w:r w:rsidRPr="0013322F">
        <w:rPr>
          <w:lang w:val="en-US"/>
        </w:rPr>
        <w:t xml:space="preserve"> 3 C 34.06, judgment of May 16, 2007, </w:t>
      </w:r>
      <w:hyperlink r:id="rId9" w:history="1">
        <w:r w:rsidR="00283037" w:rsidRPr="003A064F">
          <w:rPr>
            <w:rStyle w:val="Hyperlink"/>
            <w:rFonts w:cstheme="minorBidi"/>
            <w:lang w:val="en-US"/>
          </w:rPr>
          <w:t>https://www.bverwg.de/160507U3C34.06.0</w:t>
        </w:r>
      </w:hyperlink>
      <w:r w:rsidRPr="0013322F">
        <w:rPr>
          <w:lang w:val="en-US"/>
        </w:rPr>
        <w:t>.</w:t>
      </w:r>
      <w:proofErr w:type="gramEnd"/>
      <w:r w:rsidR="00283037">
        <w:rPr>
          <w:lang w:val="en-US"/>
        </w:rPr>
        <w:t xml:space="preserve"> </w:t>
      </w:r>
    </w:p>
  </w:footnote>
  <w:footnote w:id="11">
    <w:p w14:paraId="02755E73" w14:textId="46B64376" w:rsidR="00BC5DBA" w:rsidRPr="0013322F" w:rsidRDefault="00BC5DBA" w:rsidP="00D802F1">
      <w:pPr>
        <w:pStyle w:val="Funotentext"/>
        <w:rPr>
          <w:highlight w:val="yellow"/>
          <w:lang w:val="en-US"/>
        </w:rPr>
      </w:pPr>
      <w:r>
        <w:rPr>
          <w:rStyle w:val="Funotenzeichen"/>
        </w:rPr>
        <w:footnoteRef/>
      </w:r>
      <w:r w:rsidRPr="0013322F">
        <w:rPr>
          <w:lang w:val="en-US"/>
        </w:rPr>
        <w:t xml:space="preserve"> ECJ, 1st Chamber, Judgment of 15.11.2007, Case C-319/05, para. 65</w:t>
      </w:r>
      <w:r>
        <w:rPr>
          <w:lang w:val="en-US"/>
        </w:rPr>
        <w:t xml:space="preserve">, </w:t>
      </w:r>
      <w:hyperlink r:id="rId10" w:history="1">
        <w:r w:rsidR="00F359D4" w:rsidRPr="003A064F">
          <w:rPr>
            <w:rStyle w:val="Hyperlink"/>
            <w:rFonts w:cstheme="minorBidi"/>
            <w:lang w:val="en-US"/>
          </w:rPr>
          <w:t>https://curia.europa.eu/juris/liste.jsf?language=de&amp;td=ALL&amp;num=C-319/05</w:t>
        </w:r>
      </w:hyperlink>
      <w:r w:rsidR="00F359D4">
        <w:rPr>
          <w:lang w:val="en-US"/>
        </w:rPr>
        <w:t xml:space="preserve"> </w:t>
      </w:r>
    </w:p>
  </w:footnote>
  <w:footnote w:id="12">
    <w:p w14:paraId="6BB5036B" w14:textId="77845CE6" w:rsidR="00BC5DBA" w:rsidRPr="0013322F" w:rsidRDefault="00BC5DBA" w:rsidP="00D802F1">
      <w:pPr>
        <w:pStyle w:val="Funotentext"/>
        <w:rPr>
          <w:lang w:val="en-US"/>
        </w:rPr>
      </w:pPr>
      <w:r>
        <w:rPr>
          <w:rStyle w:val="Funotenzeichen"/>
        </w:rPr>
        <w:footnoteRef/>
      </w:r>
      <w:r w:rsidRPr="0013322F">
        <w:rPr>
          <w:lang w:val="en-US"/>
        </w:rPr>
        <w:t xml:space="preserve"> Wechsler, J., President of the German Association of Nutritional Physicians, in: </w:t>
      </w:r>
      <w:proofErr w:type="spellStart"/>
      <w:r w:rsidRPr="0013322F">
        <w:rPr>
          <w:lang w:val="en-US"/>
        </w:rPr>
        <w:t>Kölner</w:t>
      </w:r>
      <w:proofErr w:type="spellEnd"/>
      <w:r w:rsidRPr="0013322F">
        <w:rPr>
          <w:lang w:val="en-US"/>
        </w:rPr>
        <w:t xml:space="preserve"> </w:t>
      </w:r>
      <w:proofErr w:type="spellStart"/>
      <w:r w:rsidRPr="0013322F">
        <w:rPr>
          <w:lang w:val="en-US"/>
        </w:rPr>
        <w:t>Stadtanzeiger</w:t>
      </w:r>
      <w:proofErr w:type="spellEnd"/>
      <w:r w:rsidRPr="0013322F">
        <w:rPr>
          <w:lang w:val="en-US"/>
        </w:rPr>
        <w:t xml:space="preserve">, </w:t>
      </w:r>
      <w:proofErr w:type="spellStart"/>
      <w:r w:rsidRPr="0013322F">
        <w:rPr>
          <w:lang w:val="en-US"/>
        </w:rPr>
        <w:t>Mag</w:t>
      </w:r>
      <w:r w:rsidRPr="0013322F">
        <w:rPr>
          <w:lang w:val="en-US"/>
        </w:rPr>
        <w:t>a</w:t>
      </w:r>
      <w:r w:rsidRPr="0013322F">
        <w:rPr>
          <w:lang w:val="en-US"/>
        </w:rPr>
        <w:t>zin</w:t>
      </w:r>
      <w:proofErr w:type="spellEnd"/>
      <w:r w:rsidRPr="0013322F">
        <w:rPr>
          <w:lang w:val="en-US"/>
        </w:rPr>
        <w:t>: "</w:t>
      </w:r>
      <w:proofErr w:type="spellStart"/>
      <w:r w:rsidRPr="0013322F">
        <w:rPr>
          <w:lang w:val="en-US"/>
        </w:rPr>
        <w:t>Kaffe</w:t>
      </w:r>
      <w:r>
        <w:rPr>
          <w:lang w:val="en-US"/>
        </w:rPr>
        <w:t>e</w:t>
      </w:r>
      <w:proofErr w:type="spellEnd"/>
      <w:r w:rsidRPr="0013322F">
        <w:rPr>
          <w:lang w:val="en-US"/>
        </w:rPr>
        <w:t xml:space="preserve"> </w:t>
      </w:r>
      <w:proofErr w:type="spellStart"/>
      <w:r w:rsidRPr="0013322F">
        <w:rPr>
          <w:lang w:val="en-US"/>
        </w:rPr>
        <w:t>wirkt</w:t>
      </w:r>
      <w:proofErr w:type="spellEnd"/>
      <w:r w:rsidRPr="0013322F">
        <w:rPr>
          <w:lang w:val="en-US"/>
        </w:rPr>
        <w:t xml:space="preserve"> </w:t>
      </w:r>
      <w:proofErr w:type="spellStart"/>
      <w:r w:rsidRPr="0013322F">
        <w:rPr>
          <w:lang w:val="en-US"/>
        </w:rPr>
        <w:t>ähnlich</w:t>
      </w:r>
      <w:proofErr w:type="spellEnd"/>
      <w:r w:rsidRPr="0013322F">
        <w:rPr>
          <w:lang w:val="en-US"/>
        </w:rPr>
        <w:t xml:space="preserve"> </w:t>
      </w:r>
      <w:proofErr w:type="spellStart"/>
      <w:r w:rsidRPr="0013322F">
        <w:rPr>
          <w:lang w:val="en-US"/>
        </w:rPr>
        <w:t>wie</w:t>
      </w:r>
      <w:proofErr w:type="spellEnd"/>
      <w:r w:rsidRPr="0013322F">
        <w:rPr>
          <w:lang w:val="en-US"/>
        </w:rPr>
        <w:t xml:space="preserve"> </w:t>
      </w:r>
      <w:proofErr w:type="spellStart"/>
      <w:r w:rsidRPr="0013322F">
        <w:rPr>
          <w:lang w:val="en-US"/>
        </w:rPr>
        <w:t>ein</w:t>
      </w:r>
      <w:proofErr w:type="spellEnd"/>
      <w:r w:rsidRPr="0013322F">
        <w:rPr>
          <w:lang w:val="en-US"/>
        </w:rPr>
        <w:t xml:space="preserve"> </w:t>
      </w:r>
      <w:proofErr w:type="spellStart"/>
      <w:r w:rsidRPr="0013322F">
        <w:rPr>
          <w:lang w:val="en-US"/>
        </w:rPr>
        <w:t>Medikament</w:t>
      </w:r>
      <w:proofErr w:type="spellEnd"/>
      <w:r w:rsidRPr="0013322F">
        <w:rPr>
          <w:lang w:val="en-US"/>
        </w:rPr>
        <w:t>": "</w:t>
      </w:r>
      <w:r w:rsidRPr="0013322F">
        <w:rPr>
          <w:i/>
          <w:lang w:val="en-US"/>
        </w:rPr>
        <w:t>The effect of coffee is a pharmacological one</w:t>
      </w:r>
      <w:r w:rsidRPr="0013322F">
        <w:rPr>
          <w:lang w:val="en-US"/>
        </w:rPr>
        <w:t>", May 10, 2013, No. 108.</w:t>
      </w:r>
    </w:p>
  </w:footnote>
  <w:footnote w:id="13">
    <w:p w14:paraId="1A510F12" w14:textId="755D38FE" w:rsidR="00BC5DBA" w:rsidRPr="0013322F" w:rsidRDefault="00BC5DBA" w:rsidP="00D802F1">
      <w:pPr>
        <w:pStyle w:val="Funotentext"/>
        <w:rPr>
          <w:lang w:val="en-US"/>
        </w:rPr>
      </w:pPr>
      <w:r>
        <w:rPr>
          <w:rStyle w:val="Funotenzeichen"/>
        </w:rPr>
        <w:footnoteRef/>
      </w:r>
      <w:r w:rsidRPr="0013322F">
        <w:rPr>
          <w:lang w:val="en-US"/>
        </w:rPr>
        <w:t xml:space="preserve"> Univ. Marburg, FB20 Medicine, Caffeine and its Metabolites: "</w:t>
      </w:r>
      <w:r w:rsidRPr="0013322F">
        <w:rPr>
          <w:i/>
          <w:lang w:val="en-US"/>
        </w:rPr>
        <w:t>Caffeine is the most commonly consumed pharmacologically active substance</w:t>
      </w:r>
      <w:r w:rsidRPr="0013322F">
        <w:rPr>
          <w:lang w:val="en-US"/>
        </w:rPr>
        <w:t xml:space="preserve">," </w:t>
      </w:r>
      <w:hyperlink r:id="rId11" w:history="1">
        <w:r w:rsidRPr="007800D6">
          <w:rPr>
            <w:rStyle w:val="Hyperlink"/>
            <w:rFonts w:cstheme="minorBidi"/>
            <w:lang w:val="en-US"/>
          </w:rPr>
          <w:t>https://www.uni-marburg.de/de/fb20/forschung/corefacilities/metabolomics-massenspektrometrie/service/coffein</w:t>
        </w:r>
      </w:hyperlink>
      <w:r w:rsidRPr="0013322F">
        <w:rPr>
          <w:lang w:val="en-US"/>
        </w:rPr>
        <w:t>.</w:t>
      </w:r>
      <w:r>
        <w:rPr>
          <w:lang w:val="en-US"/>
        </w:rPr>
        <w:t xml:space="preserve"> </w:t>
      </w:r>
    </w:p>
  </w:footnote>
  <w:footnote w:id="14">
    <w:p w14:paraId="2BD170F2" w14:textId="6B2127FC" w:rsidR="00BC5DBA" w:rsidRPr="00E21AE8" w:rsidRDefault="00BC5DBA" w:rsidP="00071E63">
      <w:pPr>
        <w:pStyle w:val="Funotentext"/>
        <w:rPr>
          <w:lang w:val="en-GB"/>
        </w:rPr>
      </w:pPr>
      <w:r>
        <w:rPr>
          <w:rStyle w:val="Funotenzeichen"/>
        </w:rPr>
        <w:footnoteRef/>
      </w:r>
      <w:r w:rsidRPr="00E21AE8">
        <w:rPr>
          <w:lang w:val="en-GB"/>
        </w:rPr>
        <w:t xml:space="preserve"> </w:t>
      </w:r>
      <w:r>
        <w:rPr>
          <w:lang w:val="en-GB"/>
        </w:rPr>
        <w:t xml:space="preserve">German Federal Institute for Risk assessment [BfR], </w:t>
      </w:r>
      <w:r w:rsidRPr="00071E63">
        <w:rPr>
          <w:lang w:val="en-GB"/>
        </w:rPr>
        <w:t>Levels of pharmacologically active opium alkaloids in poppy seeds should be lowered to the minimum technologically achievable level</w:t>
      </w:r>
      <w:r>
        <w:rPr>
          <w:lang w:val="en-GB"/>
        </w:rPr>
        <w:t xml:space="preserve">, </w:t>
      </w:r>
      <w:r w:rsidRPr="00071E63">
        <w:rPr>
          <w:lang w:val="en-GB"/>
        </w:rPr>
        <w:t>BfR Communication No 018/2018 of 5 June 2018</w:t>
      </w:r>
      <w:r>
        <w:rPr>
          <w:lang w:val="en-GB"/>
        </w:rPr>
        <w:t xml:space="preserve">, </w:t>
      </w:r>
      <w:hyperlink r:id="rId12" w:history="1">
        <w:r w:rsidRPr="00E21AE8">
          <w:rPr>
            <w:rStyle w:val="Hyperlink"/>
            <w:rFonts w:cstheme="minorBidi"/>
            <w:lang w:val="en-GB"/>
          </w:rPr>
          <w:t>https://www.bfr.bund.de/en/a-z_index/poppy_seeds-130043.html</w:t>
        </w:r>
      </w:hyperlink>
      <w:r>
        <w:rPr>
          <w:lang w:val="en-GB"/>
        </w:rPr>
        <w:t xml:space="preserve">. </w:t>
      </w:r>
    </w:p>
  </w:footnote>
  <w:footnote w:id="15">
    <w:p w14:paraId="32BBDF03" w14:textId="4D0DC4BB" w:rsidR="00BC5DBA" w:rsidRDefault="00BC5DBA" w:rsidP="000F5F78">
      <w:pPr>
        <w:pStyle w:val="Funotentext"/>
        <w:rPr>
          <w:lang w:val="en-GB"/>
        </w:rPr>
      </w:pPr>
      <w:r>
        <w:rPr>
          <w:rStyle w:val="Funotenzeichen"/>
        </w:rPr>
        <w:footnoteRef/>
      </w:r>
      <w:r w:rsidRPr="00384EC7">
        <w:rPr>
          <w:lang w:val="en-GB"/>
        </w:rPr>
        <w:t xml:space="preserve">  EFSA </w:t>
      </w:r>
      <w:r>
        <w:rPr>
          <w:lang w:val="en-GB"/>
        </w:rPr>
        <w:t>CONTAM</w:t>
      </w:r>
      <w:r w:rsidRPr="00384EC7">
        <w:rPr>
          <w:lang w:val="en-GB"/>
        </w:rPr>
        <w:t xml:space="preserve"> Panel </w:t>
      </w:r>
      <w:r w:rsidR="00425D1A" w:rsidRPr="00384EC7">
        <w:rPr>
          <w:lang w:val="en-GB"/>
        </w:rPr>
        <w:t>(2018</w:t>
      </w:r>
      <w:r w:rsidRPr="00384EC7">
        <w:rPr>
          <w:lang w:val="en-GB"/>
        </w:rPr>
        <w:t>)</w:t>
      </w:r>
      <w:r>
        <w:rPr>
          <w:lang w:val="en-GB"/>
        </w:rPr>
        <w:t xml:space="preserve">, </w:t>
      </w:r>
      <w:r w:rsidRPr="000F5F78">
        <w:rPr>
          <w:lang w:val="en-GB"/>
        </w:rPr>
        <w:t>Update of the Scientific Opinion on opium alkaloids in poppy seeds. EFSA Jou</w:t>
      </w:r>
      <w:r w:rsidRPr="000F5F78">
        <w:rPr>
          <w:lang w:val="en-GB"/>
        </w:rPr>
        <w:t>r</w:t>
      </w:r>
      <w:r w:rsidRPr="000F5F78">
        <w:rPr>
          <w:lang w:val="en-GB"/>
        </w:rPr>
        <w:t>nal 2018</w:t>
      </w:r>
      <w:proofErr w:type="gramStart"/>
      <w:r w:rsidRPr="000F5F78">
        <w:rPr>
          <w:lang w:val="en-GB"/>
        </w:rPr>
        <w:t>;16</w:t>
      </w:r>
      <w:proofErr w:type="gramEnd"/>
      <w:r w:rsidRPr="000F5F78">
        <w:rPr>
          <w:lang w:val="en-GB"/>
        </w:rPr>
        <w:t>(5):5243,</w:t>
      </w:r>
      <w:r>
        <w:rPr>
          <w:lang w:val="en-GB"/>
        </w:rPr>
        <w:t xml:space="preserve"> </w:t>
      </w:r>
      <w:r w:rsidRPr="000F5F78">
        <w:rPr>
          <w:lang w:val="en-GB"/>
        </w:rPr>
        <w:t xml:space="preserve">119 pp. </w:t>
      </w:r>
      <w:hyperlink r:id="rId13" w:history="1">
        <w:r w:rsidRPr="007800D6">
          <w:rPr>
            <w:rStyle w:val="Hyperlink"/>
            <w:rFonts w:cstheme="minorBidi"/>
            <w:lang w:val="en-GB"/>
          </w:rPr>
          <w:t>https://doi.org/10.2903/j.efsa.2018.5243</w:t>
        </w:r>
      </w:hyperlink>
      <w:r>
        <w:rPr>
          <w:lang w:val="en-GB"/>
        </w:rPr>
        <w:t xml:space="preserve">. </w:t>
      </w:r>
    </w:p>
  </w:footnote>
  <w:footnote w:id="16">
    <w:p w14:paraId="6B2A804A" w14:textId="6720685B" w:rsidR="00BC5DBA" w:rsidRPr="00300FBD" w:rsidRDefault="00BC5DBA">
      <w:pPr>
        <w:pStyle w:val="Funotentext"/>
        <w:rPr>
          <w:lang w:val="en-US"/>
        </w:rPr>
      </w:pPr>
      <w:r w:rsidRPr="00E33BF3">
        <w:rPr>
          <w:rStyle w:val="Funotenzeichen"/>
        </w:rPr>
        <w:footnoteRef/>
      </w:r>
      <w:bookmarkStart w:id="2" w:name="_Hlk107740920"/>
      <w:r w:rsidRPr="00300FBD">
        <w:rPr>
          <w:lang w:val="en-US"/>
        </w:rPr>
        <w:t xml:space="preserve"> ECJ, 1st Chamber, Judgment of 15.01.2009, Case C-140/07.</w:t>
      </w:r>
      <w:bookmarkEnd w:id="2"/>
      <w:r w:rsidRPr="00300FBD">
        <w:rPr>
          <w:lang w:val="en-US"/>
        </w:rPr>
        <w:t xml:space="preserve"> </w:t>
      </w:r>
      <w:proofErr w:type="gramStart"/>
      <w:r>
        <w:rPr>
          <w:lang w:val="en-US"/>
        </w:rPr>
        <w:t>para</w:t>
      </w:r>
      <w:proofErr w:type="gramEnd"/>
      <w:r w:rsidRPr="00300FBD">
        <w:rPr>
          <w:lang w:val="en-US"/>
        </w:rPr>
        <w:t xml:space="preserve">. </w:t>
      </w:r>
      <w:r>
        <w:rPr>
          <w:lang w:val="en-US"/>
        </w:rPr>
        <w:t xml:space="preserve">17 ff., 31 ff., “Red Rice 330mg capsules”, </w:t>
      </w:r>
      <w:hyperlink r:id="rId14" w:history="1">
        <w:r w:rsidR="00F01FE3" w:rsidRPr="003A064F">
          <w:rPr>
            <w:rStyle w:val="Hyperlink"/>
            <w:rFonts w:cstheme="minorBidi"/>
            <w:lang w:val="en-US"/>
          </w:rPr>
          <w:t>https://curia.europa.eu/juris/liste.jsf?language=en&amp;num=C-140/07</w:t>
        </w:r>
      </w:hyperlink>
      <w:r w:rsidR="00F01FE3">
        <w:rPr>
          <w:lang w:val="en-US"/>
        </w:rPr>
        <w:t xml:space="preserve"> </w:t>
      </w:r>
    </w:p>
  </w:footnote>
  <w:footnote w:id="17">
    <w:p w14:paraId="58889416" w14:textId="53A4BEFA" w:rsidR="00BC5DBA" w:rsidRPr="00300FBD" w:rsidRDefault="00BC5DBA">
      <w:pPr>
        <w:pStyle w:val="Funotentext"/>
        <w:rPr>
          <w:lang w:val="en-US"/>
        </w:rPr>
      </w:pPr>
      <w:r>
        <w:rPr>
          <w:rStyle w:val="Funotenzeichen"/>
        </w:rPr>
        <w:footnoteRef/>
      </w:r>
      <w:r w:rsidRPr="00300FBD">
        <w:rPr>
          <w:lang w:val="en-US"/>
        </w:rPr>
        <w:t xml:space="preserve"> ECJ, 1st Chamber, Judgment of 5.3.2009, </w:t>
      </w:r>
      <w:r>
        <w:rPr>
          <w:lang w:val="en-US"/>
        </w:rPr>
        <w:t xml:space="preserve">Commission of the European Communities vs. Kingdom of Spain, </w:t>
      </w:r>
      <w:r w:rsidRPr="00300FBD">
        <w:rPr>
          <w:lang w:val="en-US"/>
        </w:rPr>
        <w:t>Case C-88/07, para. 75</w:t>
      </w:r>
      <w:r>
        <w:rPr>
          <w:lang w:val="en-US"/>
        </w:rPr>
        <w:t xml:space="preserve">, </w:t>
      </w:r>
      <w:hyperlink r:id="rId15" w:history="1">
        <w:r w:rsidRPr="005061D3">
          <w:rPr>
            <w:rStyle w:val="Hyperlink"/>
            <w:rFonts w:cstheme="minorBidi"/>
            <w:lang w:val="en-US"/>
          </w:rPr>
          <w:t>https://curia.europa.eu/juris/document/document.jsf?text=&amp;docid=77510&amp;doclang=EN</w:t>
        </w:r>
      </w:hyperlink>
      <w:r>
        <w:rPr>
          <w:lang w:val="en-US"/>
        </w:rPr>
        <w:t xml:space="preserve"> </w:t>
      </w:r>
    </w:p>
  </w:footnote>
  <w:footnote w:id="18">
    <w:p w14:paraId="0AA5FDEA" w14:textId="7BD05F56" w:rsidR="00BC5DBA" w:rsidRPr="00300FBD" w:rsidRDefault="00BC5DBA">
      <w:pPr>
        <w:pStyle w:val="Funotentext"/>
        <w:rPr>
          <w:lang w:val="en-US"/>
        </w:rPr>
      </w:pPr>
      <w:r>
        <w:rPr>
          <w:rStyle w:val="Funotenzeichen"/>
        </w:rPr>
        <w:footnoteRef/>
      </w:r>
      <w:r w:rsidRPr="00300FBD">
        <w:rPr>
          <w:lang w:val="en-US"/>
        </w:rPr>
        <w:t xml:space="preserve"> ECJ, 1st Chamber, Judgment of 15.11.2007, Case C-319/05, para. </w:t>
      </w:r>
      <w:proofErr w:type="gramStart"/>
      <w:r w:rsidRPr="00300FBD">
        <w:rPr>
          <w:lang w:val="en-US"/>
        </w:rPr>
        <w:t>91</w:t>
      </w:r>
      <w:r>
        <w:rPr>
          <w:lang w:val="en-US"/>
        </w:rPr>
        <w:t xml:space="preserve">, </w:t>
      </w:r>
      <w:hyperlink r:id="rId16" w:history="1">
        <w:r w:rsidR="00F01FE3" w:rsidRPr="003A064F">
          <w:rPr>
            <w:rStyle w:val="Hyperlink"/>
            <w:rFonts w:cstheme="minorBidi"/>
            <w:lang w:val="en-US"/>
          </w:rPr>
          <w:t>https://curia.europa.eu/juris/liste.jsf?language=de&amp;td=ALL&amp;num=C-319/05</w:t>
        </w:r>
      </w:hyperlink>
      <w:r w:rsidRPr="00300FBD">
        <w:rPr>
          <w:lang w:val="en-US"/>
        </w:rPr>
        <w:t>.</w:t>
      </w:r>
      <w:proofErr w:type="gramEnd"/>
      <w:r w:rsidR="00F01FE3">
        <w:rPr>
          <w:lang w:val="en-US"/>
        </w:rPr>
        <w:t xml:space="preserve"> </w:t>
      </w:r>
    </w:p>
  </w:footnote>
  <w:footnote w:id="19">
    <w:p w14:paraId="1D0ABF65" w14:textId="2AEBE08F" w:rsidR="00BC5DBA" w:rsidRPr="00300FBD" w:rsidRDefault="00BC5DBA">
      <w:pPr>
        <w:pStyle w:val="Funotentext"/>
        <w:rPr>
          <w:lang w:val="en-US"/>
        </w:rPr>
      </w:pPr>
      <w:r>
        <w:rPr>
          <w:rStyle w:val="Funotenzeichen"/>
        </w:rPr>
        <w:footnoteRef/>
      </w:r>
      <w:r w:rsidRPr="00300FBD">
        <w:rPr>
          <w:lang w:val="en-US"/>
        </w:rPr>
        <w:t xml:space="preserve"> </w:t>
      </w:r>
      <w:proofErr w:type="gramStart"/>
      <w:r w:rsidRPr="00300FBD">
        <w:rPr>
          <w:lang w:val="en-US"/>
        </w:rPr>
        <w:t>ECJ, 1st Chamber, Judgment of 15.11.2007, Case C-319/05; ECJ, 1st Chamber, Judgment of 5.3.2009, Case C-88/07, para 88</w:t>
      </w:r>
      <w:r>
        <w:rPr>
          <w:lang w:val="en-US"/>
        </w:rPr>
        <w:t xml:space="preserve">, </w:t>
      </w:r>
      <w:hyperlink r:id="rId17" w:history="1">
        <w:r w:rsidRPr="007800D6">
          <w:rPr>
            <w:rStyle w:val="Hyperlink"/>
            <w:rFonts w:cstheme="minorBidi"/>
            <w:lang w:val="en-US"/>
          </w:rPr>
          <w:t>https://curia.europa.eu/juris/liste.jsf?language=de&amp;td=ALL&amp;num=C-319/05</w:t>
        </w:r>
      </w:hyperlink>
      <w:r>
        <w:rPr>
          <w:lang w:val="en-US"/>
        </w:rPr>
        <w:t xml:space="preserve"> </w:t>
      </w:r>
      <w:r w:rsidRPr="00300FBD">
        <w:rPr>
          <w:lang w:val="en-US"/>
        </w:rPr>
        <w:t>.</w:t>
      </w:r>
      <w:proofErr w:type="gramEnd"/>
    </w:p>
  </w:footnote>
  <w:footnote w:id="20">
    <w:p w14:paraId="0BAB0CA5" w14:textId="2F3C79F9" w:rsidR="00BC5DBA" w:rsidRPr="00E21AE8" w:rsidRDefault="00BC5DBA">
      <w:pPr>
        <w:pStyle w:val="Funotentext"/>
        <w:rPr>
          <w:lang w:val="en-GB"/>
        </w:rPr>
      </w:pPr>
      <w:r w:rsidRPr="00D47B13">
        <w:rPr>
          <w:rStyle w:val="Funotenzeichen"/>
        </w:rPr>
        <w:footnoteRef/>
      </w:r>
      <w:r w:rsidRPr="00E21AE8">
        <w:rPr>
          <w:lang w:val="en-GB"/>
        </w:rPr>
        <w:t xml:space="preserve"> </w:t>
      </w:r>
      <w:r w:rsidRPr="00D47B13">
        <w:rPr>
          <w:rFonts w:asciiTheme="minorHAnsi" w:hAnsiTheme="minorHAnsi" w:cstheme="minorHAnsi"/>
          <w:lang w:val="en-GB"/>
        </w:rPr>
        <w:t>DIRECTIVE 2001/8</w:t>
      </w:r>
      <w:r w:rsidRPr="00335427">
        <w:rPr>
          <w:rFonts w:asciiTheme="minorHAnsi" w:hAnsiTheme="minorHAnsi" w:cstheme="minorHAnsi"/>
          <w:lang w:val="en-GB"/>
        </w:rPr>
        <w:t>3/EC OF THE EUROPEAN PARLIAMENT AND OF THE COUNCIL of 6 November 2001 on the Community code relating to medicinal products</w:t>
      </w:r>
      <w:r w:rsidRPr="00B71D44">
        <w:rPr>
          <w:rFonts w:asciiTheme="minorHAnsi" w:hAnsiTheme="minorHAnsi" w:cstheme="minorHAnsi"/>
          <w:lang w:val="en-GB"/>
        </w:rPr>
        <w:t xml:space="preserve"> for human use</w:t>
      </w:r>
      <w:r w:rsidRPr="00D22BF4">
        <w:rPr>
          <w:rFonts w:asciiTheme="minorHAnsi" w:hAnsiTheme="minorHAnsi" w:cstheme="minorHAnsi"/>
          <w:lang w:val="en-GB"/>
        </w:rPr>
        <w:t>, Annex I, Part 4: Pre-clinical and Clinical Testing</w:t>
      </w:r>
      <w:r w:rsidRPr="00D47B13">
        <w:rPr>
          <w:rFonts w:asciiTheme="minorHAnsi" w:hAnsiTheme="minorHAnsi" w:cstheme="minorHAnsi"/>
          <w:lang w:val="en-GB"/>
        </w:rPr>
        <w:t xml:space="preserve">, Annex I, Part I, 5.2.4.a) Reports of human </w:t>
      </w:r>
      <w:proofErr w:type="spellStart"/>
      <w:r w:rsidRPr="00D47B13">
        <w:rPr>
          <w:rFonts w:asciiTheme="minorHAnsi" w:hAnsiTheme="minorHAnsi" w:cstheme="minorHAnsi"/>
          <w:lang w:val="en-GB"/>
        </w:rPr>
        <w:t>pharmacodynamic</w:t>
      </w:r>
      <w:proofErr w:type="spellEnd"/>
      <w:r w:rsidRPr="00D47B13">
        <w:rPr>
          <w:rFonts w:asciiTheme="minorHAnsi" w:hAnsiTheme="minorHAnsi" w:cstheme="minorHAnsi"/>
          <w:lang w:val="en-GB"/>
        </w:rPr>
        <w:t xml:space="preserve"> studies</w:t>
      </w:r>
      <w:r w:rsidR="006712DF">
        <w:rPr>
          <w:rFonts w:asciiTheme="minorHAnsi" w:hAnsiTheme="minorHAnsi" w:cstheme="minorHAnsi"/>
          <w:lang w:val="en-GB"/>
        </w:rPr>
        <w:t>.</w:t>
      </w:r>
    </w:p>
  </w:footnote>
  <w:footnote w:id="21">
    <w:p w14:paraId="3A8F27C1" w14:textId="43B676E0" w:rsidR="00BC5DBA" w:rsidRPr="00E21AE8" w:rsidRDefault="00BC5DBA" w:rsidP="00E21AE8">
      <w:pPr>
        <w:spacing w:after="0" w:line="240" w:lineRule="auto"/>
        <w:rPr>
          <w:rFonts w:asciiTheme="minorHAnsi" w:hAnsiTheme="minorHAnsi" w:cstheme="minorHAnsi"/>
          <w:lang w:val="en-GB"/>
        </w:rPr>
      </w:pPr>
      <w:r w:rsidRPr="00E21AE8">
        <w:rPr>
          <w:rStyle w:val="Funotenzeichen"/>
          <w:rFonts w:asciiTheme="minorHAnsi" w:hAnsiTheme="minorHAnsi" w:cstheme="minorHAnsi"/>
          <w:sz w:val="20"/>
          <w:szCs w:val="20"/>
        </w:rPr>
        <w:footnoteRef/>
      </w:r>
      <w:r w:rsidRPr="00E21AE8">
        <w:rPr>
          <w:rFonts w:asciiTheme="minorHAnsi" w:hAnsiTheme="minorHAnsi" w:cstheme="minorHAnsi"/>
          <w:sz w:val="20"/>
          <w:szCs w:val="20"/>
          <w:lang w:val="en-GB"/>
        </w:rPr>
        <w:t xml:space="preserve"> DIRECTIVE 2001/82/EC OF THE EUROPEAN PARLIAMENT AND OF THE COUNCIL of 6 November 2001 on the Community code relating to veterinary medicinal products, Annex I, Part 4: Pre-clinical and Clinical Testing, Chapter III, 2.1.(l), </w:t>
      </w:r>
      <w:hyperlink r:id="rId18" w:history="1">
        <w:r w:rsidRPr="00CB63DA">
          <w:rPr>
            <w:rFonts w:asciiTheme="minorHAnsi" w:eastAsia="Times New Roman" w:hAnsiTheme="minorHAnsi" w:cstheme="minorHAnsi"/>
            <w:noProof/>
            <w:color w:val="0000FF"/>
            <w:sz w:val="20"/>
            <w:szCs w:val="20"/>
            <w:highlight w:val="yellow"/>
            <w:lang w:val="en-GB" w:eastAsia="en-GB"/>
          </w:rPr>
          <w:drawing>
            <wp:inline distT="0" distB="0" distL="0" distR="0" wp14:anchorId="56FB5B71" wp14:editId="6046476E">
              <wp:extent cx="153670" cy="153670"/>
              <wp:effectExtent l="0" t="0" r="0" b="0"/>
              <wp:docPr id="15" name="Grafik 15" descr="https://encrypted-tbn0.gstatic.com/faviconV2?url=https://eur-lex.europa.eu&amp;client=ABOUT_THIS_RESULT&amp;size=32&amp;type=FAVICON&amp;fallback_opts=TYPE,SIZE,URL">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faviconV2?url=https://eur-lex.europa.eu&amp;client=ABOUT_THIS_RESULT&amp;size=32&amp;type=FAVICON&amp;fallback_opts=TYPE,SIZE,URL">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E21AE8">
          <w:rPr>
            <w:rFonts w:asciiTheme="minorHAnsi" w:eastAsia="Times New Roman" w:hAnsiTheme="minorHAnsi" w:cstheme="minorHAnsi"/>
            <w:color w:val="0000FF"/>
            <w:sz w:val="20"/>
            <w:szCs w:val="20"/>
            <w:u w:val="single"/>
            <w:lang w:val="en-GB" w:eastAsia="en-GB"/>
          </w:rPr>
          <w:t>https://eur-lex.europa.eu/legal-content/EN/TXT/PDF/?uri=OJ:L:2001:311:FULL&amp;from=EN</w:t>
        </w:r>
      </w:hyperlink>
    </w:p>
  </w:footnote>
  <w:footnote w:id="22">
    <w:p w14:paraId="7CFC2AB6" w14:textId="77777777" w:rsidR="00BC5DBA" w:rsidRPr="00D22BF4" w:rsidRDefault="00BC5DBA" w:rsidP="003B75DD">
      <w:pPr>
        <w:pStyle w:val="Funotentext"/>
        <w:rPr>
          <w:lang w:val="en-US"/>
        </w:rPr>
      </w:pPr>
      <w:r w:rsidRPr="00D47B13">
        <w:rPr>
          <w:rStyle w:val="Funotenzeichen"/>
        </w:rPr>
        <w:footnoteRef/>
      </w:r>
      <w:r w:rsidRPr="00D47B13">
        <w:rPr>
          <w:lang w:val="en-US"/>
        </w:rPr>
        <w:t xml:space="preserve"> "R</w:t>
      </w:r>
      <w:r w:rsidRPr="00335427">
        <w:rPr>
          <w:lang w:val="en-US"/>
        </w:rPr>
        <w:t>egardless of how a drug effect occurs - by binding or chemical interaction - the concentration of the drug at the site of action controls the effect. However, the relationship of response to concentration can be complex and is often nonlinear. The relationship between drug dose, regardless of the dosage form used, and drug co</w:t>
      </w:r>
      <w:r w:rsidRPr="00B71D44">
        <w:rPr>
          <w:lang w:val="en-US"/>
        </w:rPr>
        <w:t>n</w:t>
      </w:r>
      <w:r w:rsidRPr="00D22BF4">
        <w:rPr>
          <w:lang w:val="en-US"/>
        </w:rPr>
        <w:t>centration at the cellular level is incomparably more complex (see Pharmacokinetics)."</w:t>
      </w:r>
    </w:p>
    <w:p w14:paraId="03CC2CEC" w14:textId="4464DA86" w:rsidR="00BC5DBA" w:rsidRPr="00335427" w:rsidRDefault="00A25A14" w:rsidP="003B75DD">
      <w:pPr>
        <w:pStyle w:val="Funotentext"/>
        <w:rPr>
          <w:lang w:val="en-US"/>
        </w:rPr>
      </w:pPr>
      <w:hyperlink r:id="rId20" w:history="1">
        <w:r w:rsidR="00BC5DBA" w:rsidRPr="00335427">
          <w:rPr>
            <w:rStyle w:val="Hyperlink"/>
            <w:rFonts w:cstheme="minorBidi"/>
            <w:lang w:val="en-US"/>
          </w:rPr>
          <w:t>https://www.msdmanuals.com/de-de/profi/klinische-pharmakologie/pharmakodynamik/dosis-wirkungs-beziehungen</w:t>
        </w:r>
      </w:hyperlink>
      <w:r w:rsidR="00BC5DBA" w:rsidRPr="00D47B13">
        <w:rPr>
          <w:lang w:val="en-US"/>
        </w:rPr>
        <w:t xml:space="preserve"> </w:t>
      </w:r>
    </w:p>
  </w:footnote>
  <w:footnote w:id="23">
    <w:p w14:paraId="405D40CF" w14:textId="1638E866" w:rsidR="00BC5DBA" w:rsidRPr="00D22BF4" w:rsidRDefault="00BC5DBA">
      <w:pPr>
        <w:pStyle w:val="Funotentext"/>
        <w:rPr>
          <w:lang w:val="en-US"/>
        </w:rPr>
      </w:pPr>
      <w:r w:rsidRPr="00D47B13">
        <w:rPr>
          <w:rStyle w:val="Funotenzeichen"/>
        </w:rPr>
        <w:footnoteRef/>
      </w:r>
      <w:r w:rsidRPr="00D47B13">
        <w:rPr>
          <w:lang w:val="en-US"/>
        </w:rPr>
        <w:t xml:space="preserve"> ECJ, 1st Chamber, Judgment of 15.11.2007, Case C-319/05, para. </w:t>
      </w:r>
      <w:proofErr w:type="gramStart"/>
      <w:r w:rsidRPr="00D47B13">
        <w:rPr>
          <w:lang w:val="en-US"/>
        </w:rPr>
        <w:t>68</w:t>
      </w:r>
      <w:r w:rsidRPr="00335427">
        <w:rPr>
          <w:lang w:val="en-US"/>
        </w:rPr>
        <w:t xml:space="preserve">, </w:t>
      </w:r>
      <w:hyperlink r:id="rId21" w:history="1">
        <w:r w:rsidR="00136BA9" w:rsidRPr="003A064F">
          <w:rPr>
            <w:rStyle w:val="Hyperlink"/>
            <w:rFonts w:cstheme="minorBidi"/>
            <w:lang w:val="en-US"/>
          </w:rPr>
          <w:t>https://curia.europa.eu/juris/liste.jsf?language=de&amp;td=ALL&amp;num=C-319/05</w:t>
        </w:r>
      </w:hyperlink>
      <w:r w:rsidRPr="00D22BF4">
        <w:rPr>
          <w:lang w:val="en-US"/>
        </w:rPr>
        <w:t>.</w:t>
      </w:r>
      <w:proofErr w:type="gramEnd"/>
      <w:r w:rsidR="00136BA9">
        <w:rPr>
          <w:lang w:val="en-US"/>
        </w:rPr>
        <w:t xml:space="preserve"> </w:t>
      </w:r>
    </w:p>
  </w:footnote>
  <w:footnote w:id="24">
    <w:p w14:paraId="548C2B1A" w14:textId="5C8B6884" w:rsidR="00BC5DBA" w:rsidRPr="00E21AE8" w:rsidRDefault="00BC5DBA">
      <w:pPr>
        <w:spacing w:after="0" w:line="240" w:lineRule="auto"/>
        <w:rPr>
          <w:sz w:val="20"/>
          <w:szCs w:val="20"/>
          <w:lang w:val="en-US"/>
        </w:rPr>
      </w:pPr>
      <w:r w:rsidRPr="00E21AE8">
        <w:rPr>
          <w:rStyle w:val="Funotenzeichen1"/>
          <w:sz w:val="20"/>
          <w:szCs w:val="20"/>
          <w:vertAlign w:val="superscript"/>
        </w:rPr>
        <w:footnoteRef/>
      </w:r>
      <w:r w:rsidRPr="00E21AE8">
        <w:rPr>
          <w:sz w:val="20"/>
          <w:szCs w:val="20"/>
          <w:vertAlign w:val="superscript"/>
          <w:lang w:val="en-US"/>
        </w:rPr>
        <w:t xml:space="preserve"> </w:t>
      </w:r>
      <w:r w:rsidRPr="00D47B13">
        <w:rPr>
          <w:sz w:val="20"/>
          <w:szCs w:val="20"/>
          <w:lang w:val="en-US"/>
        </w:rPr>
        <w:t xml:space="preserve">See also Kraft/Schmidt, </w:t>
      </w:r>
      <w:r w:rsidRPr="00335427">
        <w:rPr>
          <w:i/>
          <w:iCs/>
          <w:sz w:val="20"/>
          <w:szCs w:val="20"/>
          <w:lang w:val="en-US"/>
        </w:rPr>
        <w:t>Is Cannabidiol a Food or a Drug</w:t>
      </w:r>
      <w:proofErr w:type="gramStart"/>
      <w:r w:rsidRPr="00335427">
        <w:rPr>
          <w:i/>
          <w:iCs/>
          <w:sz w:val="20"/>
          <w:szCs w:val="20"/>
          <w:lang w:val="en-US"/>
        </w:rPr>
        <w:t>?</w:t>
      </w:r>
      <w:r w:rsidRPr="00335427">
        <w:rPr>
          <w:sz w:val="20"/>
          <w:szCs w:val="20"/>
          <w:lang w:val="en-US"/>
        </w:rPr>
        <w:t>,</w:t>
      </w:r>
      <w:proofErr w:type="gramEnd"/>
      <w:r w:rsidRPr="00335427">
        <w:rPr>
          <w:sz w:val="20"/>
          <w:szCs w:val="20"/>
          <w:lang w:val="en-US"/>
        </w:rPr>
        <w:t xml:space="preserve"> Journal of </w:t>
      </w:r>
      <w:proofErr w:type="spellStart"/>
      <w:r w:rsidRPr="00335427">
        <w:rPr>
          <w:sz w:val="20"/>
          <w:szCs w:val="20"/>
          <w:lang w:val="en-US"/>
        </w:rPr>
        <w:t>Phytotherapy</w:t>
      </w:r>
      <w:proofErr w:type="spellEnd"/>
      <w:r w:rsidRPr="00335427">
        <w:rPr>
          <w:sz w:val="20"/>
          <w:szCs w:val="20"/>
          <w:lang w:val="en-US"/>
        </w:rPr>
        <w:t>, 2021, pp. 82-94.</w:t>
      </w:r>
    </w:p>
  </w:footnote>
  <w:footnote w:id="25">
    <w:p w14:paraId="36E58814" w14:textId="1F48EB3D" w:rsidR="00BC5DBA" w:rsidRPr="00E21AE8" w:rsidRDefault="00BC5DBA" w:rsidP="000A1B15">
      <w:pPr>
        <w:pStyle w:val="Funotentext"/>
        <w:rPr>
          <w:lang w:val="en-GB"/>
        </w:rPr>
      </w:pPr>
      <w:r w:rsidRPr="00F35406">
        <w:rPr>
          <w:rStyle w:val="Funotenzeichen"/>
        </w:rPr>
        <w:footnoteRef/>
      </w:r>
      <w:r w:rsidRPr="00E21AE8">
        <w:rPr>
          <w:lang w:val="en-GB"/>
        </w:rPr>
        <w:t xml:space="preserve"> REGULATION (EC) No 178/2002 OF THE EUROPEAN PARLIAMENT AND OF THE COUNCIL</w:t>
      </w:r>
      <w:r w:rsidRPr="00F35406">
        <w:rPr>
          <w:lang w:val="en-GB"/>
        </w:rPr>
        <w:t xml:space="preserve"> </w:t>
      </w:r>
      <w:r w:rsidRPr="00E21AE8">
        <w:rPr>
          <w:lang w:val="en-GB"/>
        </w:rPr>
        <w:t>of 28 January 2002</w:t>
      </w:r>
      <w:r w:rsidRPr="00F35406">
        <w:rPr>
          <w:lang w:val="en-GB"/>
        </w:rPr>
        <w:t xml:space="preserve"> </w:t>
      </w:r>
      <w:r w:rsidRPr="00E21AE8">
        <w:rPr>
          <w:lang w:val="en-GB"/>
        </w:rPr>
        <w:t>laying down the general principles and requirements of food law, establishing the European Food Safety A</w:t>
      </w:r>
      <w:r w:rsidRPr="00E21AE8">
        <w:rPr>
          <w:lang w:val="en-GB"/>
        </w:rPr>
        <w:t>u</w:t>
      </w:r>
      <w:r w:rsidRPr="00E21AE8">
        <w:rPr>
          <w:lang w:val="en-GB"/>
        </w:rPr>
        <w:t>thority and laying down procedures in matters of food safety</w:t>
      </w:r>
      <w:r w:rsidRPr="00F35406">
        <w:rPr>
          <w:lang w:val="en-GB"/>
        </w:rPr>
        <w:t xml:space="preserve">, consolidated version, dated </w:t>
      </w:r>
      <w:r w:rsidRPr="00D47B13">
        <w:rPr>
          <w:lang w:val="en-GB"/>
        </w:rPr>
        <w:t>01.07.2022</w:t>
      </w:r>
      <w:r w:rsidRPr="00157CC9">
        <w:rPr>
          <w:lang w:val="en-GB"/>
        </w:rPr>
        <w:t xml:space="preserve">, </w:t>
      </w:r>
      <w:hyperlink r:id="rId22" w:history="1">
        <w:r w:rsidRPr="00D47B13">
          <w:rPr>
            <w:rStyle w:val="Hyperlink"/>
            <w:rFonts w:cstheme="minorBidi"/>
            <w:lang w:val="en-GB"/>
          </w:rPr>
          <w:t>https://eur-lex.europa.eu/legal-content/EN/TXT/?uri=CELEX%3A02002R0178-20220701</w:t>
        </w:r>
      </w:hyperlink>
      <w:r w:rsidRPr="00F35406">
        <w:rPr>
          <w:lang w:val="en-GB"/>
        </w:rPr>
        <w:t xml:space="preserve">. </w:t>
      </w:r>
    </w:p>
  </w:footnote>
  <w:footnote w:id="26">
    <w:p w14:paraId="205E5F7C" w14:textId="6DAB652D" w:rsidR="00BC5DBA" w:rsidRPr="00E21AE8" w:rsidRDefault="00BC5DBA">
      <w:pPr>
        <w:spacing w:after="0" w:line="240" w:lineRule="auto"/>
        <w:rPr>
          <w:sz w:val="20"/>
          <w:szCs w:val="20"/>
          <w:vertAlign w:val="superscript"/>
        </w:rPr>
      </w:pPr>
      <w:r w:rsidRPr="00E21AE8">
        <w:rPr>
          <w:rStyle w:val="Funotenzeichen1"/>
          <w:sz w:val="20"/>
          <w:szCs w:val="20"/>
          <w:vertAlign w:val="superscript"/>
        </w:rPr>
        <w:footnoteRef/>
      </w:r>
      <w:r w:rsidRPr="00F35406">
        <w:rPr>
          <w:sz w:val="20"/>
          <w:szCs w:val="20"/>
        </w:rPr>
        <w:t xml:space="preserve"> </w:t>
      </w:r>
      <w:proofErr w:type="spellStart"/>
      <w:r w:rsidRPr="00D47B13">
        <w:rPr>
          <w:sz w:val="20"/>
          <w:szCs w:val="20"/>
        </w:rPr>
        <w:t>H</w:t>
      </w:r>
      <w:r w:rsidRPr="00157CC9">
        <w:rPr>
          <w:sz w:val="20"/>
          <w:szCs w:val="20"/>
        </w:rPr>
        <w:t>agenmeyer</w:t>
      </w:r>
      <w:proofErr w:type="spellEnd"/>
      <w:r w:rsidRPr="00157CC9">
        <w:rPr>
          <w:sz w:val="20"/>
          <w:szCs w:val="20"/>
        </w:rPr>
        <w:t>, M., Oelrichs, C., C</w:t>
      </w:r>
      <w:r w:rsidRPr="005E17D7">
        <w:rPr>
          <w:sz w:val="20"/>
          <w:szCs w:val="20"/>
        </w:rPr>
        <w:t>hapter „Food Law“ [</w:t>
      </w:r>
      <w:r w:rsidRPr="00E21AE8">
        <w:rPr>
          <w:sz w:val="20"/>
          <w:szCs w:val="20"/>
        </w:rPr>
        <w:t xml:space="preserve">Kapitel "Lebensmittelrecht"], in: </w:t>
      </w:r>
      <w:hyperlink r:id="rId23" w:tgtFrame="_blank" w:history="1">
        <w:r w:rsidRPr="00E21AE8">
          <w:rPr>
            <w:rStyle w:val="Hyperlink"/>
            <w:sz w:val="20"/>
            <w:szCs w:val="20"/>
          </w:rPr>
          <w:t>Münchener Kommentar zum Lauterkeitsrecht [</w:t>
        </w:r>
        <w:proofErr w:type="spellStart"/>
        <w:r w:rsidRPr="00E21AE8">
          <w:rPr>
            <w:rStyle w:val="Hyperlink"/>
            <w:sz w:val="20"/>
            <w:szCs w:val="20"/>
          </w:rPr>
          <w:t>Munich</w:t>
        </w:r>
        <w:proofErr w:type="spellEnd"/>
        <w:r w:rsidRPr="00E21AE8">
          <w:rPr>
            <w:rStyle w:val="Hyperlink"/>
            <w:sz w:val="20"/>
            <w:szCs w:val="20"/>
          </w:rPr>
          <w:t xml:space="preserve"> </w:t>
        </w:r>
        <w:proofErr w:type="spellStart"/>
        <w:r w:rsidRPr="00E21AE8">
          <w:rPr>
            <w:rStyle w:val="Hyperlink"/>
            <w:sz w:val="20"/>
            <w:szCs w:val="20"/>
          </w:rPr>
          <w:t>Commentary</w:t>
        </w:r>
        <w:proofErr w:type="spellEnd"/>
        <w:r w:rsidRPr="00E21AE8">
          <w:rPr>
            <w:rStyle w:val="Hyperlink"/>
            <w:sz w:val="20"/>
            <w:szCs w:val="20"/>
          </w:rPr>
          <w:t xml:space="preserve"> on Unfair </w:t>
        </w:r>
        <w:proofErr w:type="spellStart"/>
        <w:r w:rsidRPr="00E21AE8">
          <w:rPr>
            <w:rStyle w:val="Hyperlink"/>
            <w:sz w:val="20"/>
            <w:szCs w:val="20"/>
          </w:rPr>
          <w:t>Competition</w:t>
        </w:r>
        <w:proofErr w:type="spellEnd"/>
        <w:r w:rsidRPr="00E21AE8">
          <w:rPr>
            <w:rStyle w:val="Hyperlink"/>
            <w:sz w:val="20"/>
            <w:szCs w:val="20"/>
          </w:rPr>
          <w:t xml:space="preserve"> Law], Vol. 2: §§ 7a</w:t>
        </w:r>
        <w:r w:rsidRPr="00E21AE8">
          <w:rPr>
            <w:rStyle w:val="Hyperlink"/>
            <w:sz w:val="20"/>
            <w:szCs w:val="20"/>
          </w:rPr>
          <w:noBreakHyphen/>
          <w:t>20 UWG</w:t>
        </w:r>
      </w:hyperlink>
      <w:r w:rsidRPr="00E21AE8">
        <w:rPr>
          <w:sz w:val="20"/>
          <w:szCs w:val="20"/>
        </w:rPr>
        <w:t>, 3. </w:t>
      </w:r>
      <w:proofErr w:type="gramStart"/>
      <w:r w:rsidRPr="00E21AE8">
        <w:rPr>
          <w:sz w:val="20"/>
          <w:szCs w:val="20"/>
        </w:rPr>
        <w:t>Ed.,</w:t>
      </w:r>
      <w:proofErr w:type="gramEnd"/>
      <w:r w:rsidRPr="00E21AE8">
        <w:rPr>
          <w:sz w:val="20"/>
          <w:szCs w:val="20"/>
        </w:rPr>
        <w:t xml:space="preserve"> C. H. Beck (2022)</w:t>
      </w:r>
      <w:r w:rsidRPr="00F35406">
        <w:rPr>
          <w:sz w:val="20"/>
          <w:szCs w:val="20"/>
        </w:rPr>
        <w:t xml:space="preserve"> </w:t>
      </w:r>
      <w:proofErr w:type="spellStart"/>
      <w:r w:rsidRPr="005E17D7">
        <w:rPr>
          <w:sz w:val="20"/>
          <w:szCs w:val="20"/>
        </w:rPr>
        <w:t>with</w:t>
      </w:r>
      <w:proofErr w:type="spellEnd"/>
      <w:r w:rsidRPr="005E17D7">
        <w:rPr>
          <w:sz w:val="20"/>
          <w:szCs w:val="20"/>
        </w:rPr>
        <w:t xml:space="preserve"> </w:t>
      </w:r>
      <w:proofErr w:type="spellStart"/>
      <w:r w:rsidRPr="005E17D7">
        <w:rPr>
          <w:sz w:val="20"/>
          <w:szCs w:val="20"/>
        </w:rPr>
        <w:t>further</w:t>
      </w:r>
      <w:proofErr w:type="spellEnd"/>
      <w:r w:rsidRPr="005E17D7">
        <w:rPr>
          <w:sz w:val="20"/>
          <w:szCs w:val="20"/>
        </w:rPr>
        <w:t xml:space="preserve"> </w:t>
      </w:r>
      <w:proofErr w:type="spellStart"/>
      <w:r w:rsidRPr="005E17D7">
        <w:rPr>
          <w:sz w:val="20"/>
          <w:szCs w:val="20"/>
        </w:rPr>
        <w:t>evidence</w:t>
      </w:r>
      <w:proofErr w:type="spellEnd"/>
      <w:r w:rsidRPr="00E21AE8">
        <w:rPr>
          <w:sz w:val="20"/>
          <w:szCs w:val="20"/>
        </w:rPr>
        <w:t xml:space="preserve">. </w:t>
      </w:r>
    </w:p>
  </w:footnote>
  <w:footnote w:id="27">
    <w:p w14:paraId="5F81E61F" w14:textId="63555D1E" w:rsidR="00BC5DBA" w:rsidRPr="009751A9" w:rsidRDefault="00BC5DBA">
      <w:pPr>
        <w:spacing w:after="0" w:line="240" w:lineRule="auto"/>
        <w:rPr>
          <w:sz w:val="20"/>
          <w:szCs w:val="20"/>
          <w:vertAlign w:val="superscript"/>
          <w:lang w:val="en-US"/>
        </w:rPr>
      </w:pPr>
      <w:r w:rsidRPr="00E21AE8">
        <w:rPr>
          <w:rStyle w:val="Funotenzeichen1"/>
          <w:sz w:val="20"/>
          <w:szCs w:val="20"/>
          <w:vertAlign w:val="superscript"/>
        </w:rPr>
        <w:footnoteRef/>
      </w:r>
      <w:r w:rsidRPr="00E21AE8">
        <w:rPr>
          <w:sz w:val="20"/>
          <w:szCs w:val="20"/>
        </w:rPr>
        <w:t xml:space="preserve"> </w:t>
      </w:r>
      <w:r w:rsidRPr="00F35406">
        <w:rPr>
          <w:sz w:val="20"/>
          <w:szCs w:val="20"/>
        </w:rPr>
        <w:t xml:space="preserve"> </w:t>
      </w:r>
      <w:proofErr w:type="spellStart"/>
      <w:r w:rsidRPr="00D47B13">
        <w:rPr>
          <w:sz w:val="20"/>
          <w:szCs w:val="20"/>
        </w:rPr>
        <w:t>H</w:t>
      </w:r>
      <w:r w:rsidRPr="00157CC9">
        <w:rPr>
          <w:sz w:val="20"/>
          <w:szCs w:val="20"/>
        </w:rPr>
        <w:t>agenmeyer</w:t>
      </w:r>
      <w:proofErr w:type="spellEnd"/>
      <w:r w:rsidRPr="00157CC9">
        <w:rPr>
          <w:sz w:val="20"/>
          <w:szCs w:val="20"/>
        </w:rPr>
        <w:t>, M., Oelrichs, C., C</w:t>
      </w:r>
      <w:r w:rsidRPr="005E17D7">
        <w:rPr>
          <w:sz w:val="20"/>
          <w:szCs w:val="20"/>
        </w:rPr>
        <w:t>hapter „Food Law“ [</w:t>
      </w:r>
      <w:r w:rsidRPr="00E21AE8">
        <w:rPr>
          <w:sz w:val="20"/>
          <w:szCs w:val="20"/>
        </w:rPr>
        <w:t xml:space="preserve">Kapitel "Lebensmittelrecht"], in: </w:t>
      </w:r>
      <w:hyperlink r:id="rId24" w:tgtFrame="_blank" w:history="1">
        <w:r w:rsidRPr="00E21AE8">
          <w:rPr>
            <w:rStyle w:val="Hyperlink"/>
            <w:sz w:val="20"/>
            <w:szCs w:val="20"/>
          </w:rPr>
          <w:t>Münchener Kommentar zum Lauterkeitsrecht [</w:t>
        </w:r>
        <w:proofErr w:type="spellStart"/>
        <w:r w:rsidRPr="00E21AE8">
          <w:rPr>
            <w:rStyle w:val="Hyperlink"/>
            <w:sz w:val="20"/>
            <w:szCs w:val="20"/>
          </w:rPr>
          <w:t>Munich</w:t>
        </w:r>
        <w:proofErr w:type="spellEnd"/>
        <w:r w:rsidRPr="00E21AE8">
          <w:rPr>
            <w:rStyle w:val="Hyperlink"/>
            <w:sz w:val="20"/>
            <w:szCs w:val="20"/>
          </w:rPr>
          <w:t xml:space="preserve"> </w:t>
        </w:r>
        <w:proofErr w:type="spellStart"/>
        <w:r w:rsidRPr="00E21AE8">
          <w:rPr>
            <w:rStyle w:val="Hyperlink"/>
            <w:sz w:val="20"/>
            <w:szCs w:val="20"/>
          </w:rPr>
          <w:t>Commentary</w:t>
        </w:r>
        <w:proofErr w:type="spellEnd"/>
        <w:r w:rsidRPr="00E21AE8">
          <w:rPr>
            <w:rStyle w:val="Hyperlink"/>
            <w:sz w:val="20"/>
            <w:szCs w:val="20"/>
          </w:rPr>
          <w:t xml:space="preserve"> on Unfair </w:t>
        </w:r>
        <w:proofErr w:type="spellStart"/>
        <w:r w:rsidRPr="00E21AE8">
          <w:rPr>
            <w:rStyle w:val="Hyperlink"/>
            <w:sz w:val="20"/>
            <w:szCs w:val="20"/>
          </w:rPr>
          <w:t>Competition</w:t>
        </w:r>
        <w:proofErr w:type="spellEnd"/>
        <w:r w:rsidRPr="00E21AE8">
          <w:rPr>
            <w:rStyle w:val="Hyperlink"/>
            <w:sz w:val="20"/>
            <w:szCs w:val="20"/>
          </w:rPr>
          <w:t xml:space="preserve"> Law], Vol. 2: §§ 7a</w:t>
        </w:r>
        <w:r w:rsidRPr="00E21AE8">
          <w:rPr>
            <w:rStyle w:val="Hyperlink"/>
            <w:sz w:val="20"/>
            <w:szCs w:val="20"/>
          </w:rPr>
          <w:noBreakHyphen/>
          <w:t>20 UWG</w:t>
        </w:r>
      </w:hyperlink>
      <w:r w:rsidRPr="00E21AE8">
        <w:rPr>
          <w:sz w:val="20"/>
          <w:szCs w:val="20"/>
        </w:rPr>
        <w:t>, 3. </w:t>
      </w:r>
      <w:r w:rsidRPr="009751A9">
        <w:rPr>
          <w:sz w:val="20"/>
          <w:szCs w:val="20"/>
          <w:lang w:val="en-US"/>
        </w:rPr>
        <w:t>Ed., C. H. Beck (2022)</w:t>
      </w:r>
    </w:p>
  </w:footnote>
  <w:footnote w:id="28">
    <w:p w14:paraId="113DE9FF" w14:textId="71A1F9EE" w:rsidR="00BC5DBA" w:rsidRPr="00335427" w:rsidRDefault="00BC5DBA" w:rsidP="0078419D">
      <w:pPr>
        <w:pStyle w:val="Funotentext"/>
        <w:rPr>
          <w:lang w:val="en-US"/>
        </w:rPr>
      </w:pPr>
      <w:r w:rsidRPr="00F35406">
        <w:rPr>
          <w:rStyle w:val="Funotenzeichen"/>
        </w:rPr>
        <w:footnoteRef/>
      </w:r>
      <w:r w:rsidRPr="00F35406">
        <w:rPr>
          <w:lang w:val="en-US"/>
        </w:rPr>
        <w:t xml:space="preserve"> </w:t>
      </w:r>
      <w:proofErr w:type="gramStart"/>
      <w:r w:rsidRPr="00F35406">
        <w:rPr>
          <w:lang w:val="en-US"/>
        </w:rPr>
        <w:t>DIRECTIVE 2002/46/EC OF THE EUROPEAN PARLIAMENT AND OF THE COUNCIL of 10 June 2002 on the a</w:t>
      </w:r>
      <w:r w:rsidRPr="00D47B13">
        <w:rPr>
          <w:lang w:val="en-US"/>
        </w:rPr>
        <w:t>p</w:t>
      </w:r>
      <w:r w:rsidRPr="00335427">
        <w:rPr>
          <w:lang w:val="en-US"/>
        </w:rPr>
        <w:t>proximation of the laws of the Member States relating to food supplements.</w:t>
      </w:r>
      <w:proofErr w:type="gramEnd"/>
    </w:p>
  </w:footnote>
  <w:footnote w:id="29">
    <w:p w14:paraId="0F4693B0" w14:textId="77777777" w:rsidR="00BC5DBA" w:rsidRPr="00D47B13" w:rsidRDefault="00BC5DBA" w:rsidP="0078419D">
      <w:pPr>
        <w:pStyle w:val="Funotentext"/>
        <w:rPr>
          <w:lang w:val="en-US"/>
        </w:rPr>
      </w:pPr>
      <w:r w:rsidRPr="00F35406">
        <w:rPr>
          <w:rStyle w:val="Funotenzeichen"/>
        </w:rPr>
        <w:footnoteRef/>
      </w:r>
      <w:r w:rsidRPr="00F35406">
        <w:rPr>
          <w:lang w:val="en-US"/>
        </w:rPr>
        <w:t xml:space="preserve"> REGULATION (EC) No 1925/2006 OF THE EUROPEAN PARLIAMENT </w:t>
      </w:r>
      <w:r w:rsidRPr="00D47B13">
        <w:rPr>
          <w:lang w:val="en-US"/>
        </w:rPr>
        <w:t>AND OF THE COUNCIL of 20 December 2006 on the addition of vitamins and minerals and of certain other substances to foods.</w:t>
      </w:r>
    </w:p>
  </w:footnote>
  <w:footnote w:id="30">
    <w:p w14:paraId="15661772" w14:textId="77777777" w:rsidR="00BC5DBA" w:rsidRDefault="00BC5DBA">
      <w:pPr>
        <w:pStyle w:val="Funotentext"/>
      </w:pPr>
      <w:r>
        <w:rPr>
          <w:rStyle w:val="Funotenzeichen"/>
        </w:rPr>
        <w:footnoteRef/>
      </w:r>
      <w:r w:rsidRPr="00182376">
        <w:t xml:space="preserve"> Niermann/Steinmetz/Kruse, Der Hype um </w:t>
      </w:r>
      <w:r>
        <w:t>Cannabidiol - auf der Suche nach klaren Regeln und realistischen Richtwerten, Zeitschrift für Phytotherapie 2021, 320,321.</w:t>
      </w:r>
    </w:p>
  </w:footnote>
  <w:footnote w:id="31">
    <w:p w14:paraId="089E1E46" w14:textId="77777777" w:rsidR="00BC5DBA" w:rsidRDefault="00BC5DBA">
      <w:pPr>
        <w:pStyle w:val="Funotentext"/>
        <w:rPr>
          <w:sz w:val="22"/>
          <w:szCs w:val="22"/>
          <w:lang w:val="en-US"/>
        </w:rPr>
      </w:pPr>
      <w:r w:rsidRPr="001B2691">
        <w:rPr>
          <w:rStyle w:val="Funotenzeichen"/>
          <w:sz w:val="22"/>
          <w:szCs w:val="22"/>
        </w:rPr>
        <w:footnoteRef/>
      </w:r>
      <w:r w:rsidRPr="00827D96">
        <w:rPr>
          <w:lang w:val="en-US"/>
        </w:rPr>
        <w:t xml:space="preserve"> Jang E </w:t>
      </w:r>
      <w:r w:rsidRPr="00827D96">
        <w:rPr>
          <w:i/>
          <w:iCs/>
          <w:lang w:val="en-US"/>
        </w:rPr>
        <w:t xml:space="preserve">et al. </w:t>
      </w:r>
      <w:r w:rsidRPr="00827D96">
        <w:rPr>
          <w:lang w:val="en-US"/>
        </w:rPr>
        <w:t xml:space="preserve">(2020). Concentrations of THC, CBD, and CBN in commercial hemp seeds and hempseed oil sold in Korea. </w:t>
      </w:r>
      <w:r w:rsidRPr="00827D96">
        <w:rPr>
          <w:i/>
          <w:iCs/>
          <w:lang w:val="en-US"/>
        </w:rPr>
        <w:t xml:space="preserve">Forensic </w:t>
      </w:r>
      <w:proofErr w:type="spellStart"/>
      <w:r w:rsidRPr="00827D96">
        <w:rPr>
          <w:i/>
          <w:iCs/>
          <w:lang w:val="en-US"/>
        </w:rPr>
        <w:t>Sci</w:t>
      </w:r>
      <w:proofErr w:type="spellEnd"/>
      <w:r w:rsidRPr="00827D96">
        <w:rPr>
          <w:i/>
          <w:iCs/>
          <w:lang w:val="en-US"/>
        </w:rPr>
        <w:t xml:space="preserve"> </w:t>
      </w:r>
      <w:proofErr w:type="spellStart"/>
      <w:r w:rsidRPr="00827D96">
        <w:rPr>
          <w:i/>
          <w:iCs/>
          <w:lang w:val="en-US"/>
        </w:rPr>
        <w:t>Int</w:t>
      </w:r>
      <w:proofErr w:type="spellEnd"/>
      <w:r w:rsidRPr="00827D96">
        <w:rPr>
          <w:i/>
          <w:iCs/>
          <w:lang w:val="en-US"/>
        </w:rPr>
        <w:t xml:space="preserve"> </w:t>
      </w:r>
      <w:r w:rsidRPr="00827D96">
        <w:rPr>
          <w:lang w:val="en-US"/>
        </w:rPr>
        <w:t xml:space="preserve">306: 110064; </w:t>
      </w:r>
      <w:proofErr w:type="spellStart"/>
      <w:r w:rsidRPr="00827D96">
        <w:rPr>
          <w:lang w:val="en-US"/>
        </w:rPr>
        <w:t>Knezevic</w:t>
      </w:r>
      <w:proofErr w:type="spellEnd"/>
      <w:r w:rsidRPr="00827D96">
        <w:rPr>
          <w:lang w:val="en-US"/>
        </w:rPr>
        <w:t xml:space="preserve"> F </w:t>
      </w:r>
      <w:r w:rsidRPr="00827D96">
        <w:rPr>
          <w:i/>
          <w:iCs/>
          <w:lang w:val="en-US"/>
        </w:rPr>
        <w:t xml:space="preserve">et al </w:t>
      </w:r>
      <w:r w:rsidRPr="00827D96">
        <w:rPr>
          <w:lang w:val="en-US"/>
        </w:rPr>
        <w:t xml:space="preserve">(2021). Residues of herbal hemp leaf teas - How much of the cannabinoids remain? </w:t>
      </w:r>
      <w:r w:rsidRPr="00827D96">
        <w:rPr>
          <w:i/>
          <w:iCs/>
          <w:lang w:val="en-US"/>
        </w:rPr>
        <w:t xml:space="preserve">Food Control </w:t>
      </w:r>
      <w:r w:rsidRPr="00827D96">
        <w:rPr>
          <w:lang w:val="en-US"/>
        </w:rPr>
        <w:t xml:space="preserve">127: 108146; </w:t>
      </w:r>
      <w:proofErr w:type="spellStart"/>
      <w:r w:rsidRPr="00827D96">
        <w:rPr>
          <w:lang w:val="en-US"/>
        </w:rPr>
        <w:t>Rupasinghe</w:t>
      </w:r>
      <w:proofErr w:type="spellEnd"/>
      <w:r w:rsidRPr="00827D96">
        <w:rPr>
          <w:lang w:val="en-US"/>
        </w:rPr>
        <w:t xml:space="preserve"> HPV </w:t>
      </w:r>
      <w:r w:rsidRPr="00827D96">
        <w:rPr>
          <w:i/>
          <w:iCs/>
          <w:lang w:val="en-US"/>
        </w:rPr>
        <w:t xml:space="preserve">et al </w:t>
      </w:r>
      <w:r w:rsidRPr="00827D96">
        <w:rPr>
          <w:lang w:val="en-US"/>
        </w:rPr>
        <w:t xml:space="preserve">(2020). </w:t>
      </w:r>
      <w:proofErr w:type="gramStart"/>
      <w:r w:rsidRPr="00827D96">
        <w:rPr>
          <w:lang w:val="en-US"/>
        </w:rPr>
        <w:t>Industrial hemp (</w:t>
      </w:r>
      <w:r w:rsidRPr="00827D96">
        <w:rPr>
          <w:i/>
          <w:iCs/>
          <w:lang w:val="en-US"/>
        </w:rPr>
        <w:t xml:space="preserve">Cannabis sativa </w:t>
      </w:r>
      <w:r w:rsidRPr="00827D96">
        <w:rPr>
          <w:lang w:val="en-US"/>
        </w:rPr>
        <w:t xml:space="preserve">subsp. </w:t>
      </w:r>
      <w:r w:rsidRPr="00827D96">
        <w:rPr>
          <w:i/>
          <w:iCs/>
          <w:lang w:val="en-US"/>
        </w:rPr>
        <w:t>sativa</w:t>
      </w:r>
      <w:r w:rsidRPr="00827D96">
        <w:rPr>
          <w:lang w:val="en-US"/>
        </w:rPr>
        <w:t>) as an emerging source for value-added functional food ingredients and nutraceuticals.</w:t>
      </w:r>
      <w:proofErr w:type="gramEnd"/>
      <w:r w:rsidRPr="00827D96">
        <w:rPr>
          <w:lang w:val="en-US"/>
        </w:rPr>
        <w:t xml:space="preserve"> </w:t>
      </w:r>
      <w:r w:rsidRPr="00440176">
        <w:rPr>
          <w:i/>
          <w:iCs/>
          <w:lang w:val="en-US"/>
        </w:rPr>
        <w:t xml:space="preserve">Molecules </w:t>
      </w:r>
      <w:r w:rsidRPr="00440176">
        <w:rPr>
          <w:lang w:val="en-US"/>
        </w:rPr>
        <w:t>25(18): 4078.</w:t>
      </w:r>
    </w:p>
  </w:footnote>
  <w:footnote w:id="32">
    <w:p w14:paraId="34FC1D33" w14:textId="77777777" w:rsidR="00BC5DBA" w:rsidRDefault="00BC5DBA">
      <w:pPr>
        <w:pStyle w:val="Funotentext"/>
        <w:rPr>
          <w:sz w:val="22"/>
          <w:szCs w:val="22"/>
          <w:highlight w:val="yellow"/>
          <w:lang w:val="en-US"/>
        </w:rPr>
      </w:pPr>
      <w:r w:rsidRPr="001B2691">
        <w:rPr>
          <w:rStyle w:val="Funotenzeichen"/>
          <w:sz w:val="22"/>
          <w:szCs w:val="22"/>
        </w:rPr>
        <w:footnoteRef/>
      </w:r>
      <w:r w:rsidRPr="00827D96">
        <w:rPr>
          <w:lang w:val="en-US"/>
        </w:rPr>
        <w:t xml:space="preserve"> Steinmetz FP </w:t>
      </w:r>
      <w:r w:rsidRPr="00827D96">
        <w:rPr>
          <w:i/>
          <w:iCs/>
          <w:lang w:val="en-US"/>
        </w:rPr>
        <w:t xml:space="preserve">et al </w:t>
      </w:r>
      <w:r w:rsidRPr="00827D96">
        <w:rPr>
          <w:lang w:val="en-US"/>
        </w:rPr>
        <w:t xml:space="preserve">(2022). How safe are hemp-based food products? </w:t>
      </w:r>
      <w:proofErr w:type="gramStart"/>
      <w:r w:rsidRPr="00827D96">
        <w:rPr>
          <w:lang w:val="en-US"/>
        </w:rPr>
        <w:t>A review and risk assessment of analyt</w:t>
      </w:r>
      <w:r w:rsidRPr="00827D96">
        <w:rPr>
          <w:lang w:val="en-US"/>
        </w:rPr>
        <w:t>i</w:t>
      </w:r>
      <w:r w:rsidRPr="00827D96">
        <w:rPr>
          <w:lang w:val="en-US"/>
        </w:rPr>
        <w:t>cal data from Germany.</w:t>
      </w:r>
      <w:proofErr w:type="gramEnd"/>
      <w:r w:rsidRPr="00827D96">
        <w:rPr>
          <w:lang w:val="en-US"/>
        </w:rPr>
        <w:t xml:space="preserve"> </w:t>
      </w:r>
      <w:proofErr w:type="spellStart"/>
      <w:proofErr w:type="gramStart"/>
      <w:r w:rsidRPr="00827D96">
        <w:rPr>
          <w:i/>
          <w:iCs/>
          <w:lang w:val="en-US"/>
        </w:rPr>
        <w:t>Nutr</w:t>
      </w:r>
      <w:proofErr w:type="spellEnd"/>
      <w:r w:rsidRPr="00827D96">
        <w:rPr>
          <w:i/>
          <w:iCs/>
          <w:lang w:val="en-US"/>
        </w:rPr>
        <w:t xml:space="preserve"> Food </w:t>
      </w:r>
      <w:proofErr w:type="spellStart"/>
      <w:r w:rsidRPr="00827D96">
        <w:rPr>
          <w:i/>
          <w:iCs/>
          <w:lang w:val="en-US"/>
        </w:rPr>
        <w:t>Sci</w:t>
      </w:r>
      <w:proofErr w:type="spellEnd"/>
      <w:r w:rsidRPr="00827D96">
        <w:rPr>
          <w:i/>
          <w:iCs/>
          <w:lang w:val="en-US"/>
        </w:rPr>
        <w:t xml:space="preserve"> </w:t>
      </w:r>
      <w:r w:rsidRPr="00827D96">
        <w:rPr>
          <w:lang w:val="en-US"/>
        </w:rPr>
        <w:t>(ahead of print; 28 June 2022).</w:t>
      </w:r>
      <w:proofErr w:type="gramEnd"/>
    </w:p>
  </w:footnote>
  <w:footnote w:id="33">
    <w:p w14:paraId="46F90917" w14:textId="77777777" w:rsidR="00BC5DBA" w:rsidRDefault="00BC5DBA">
      <w:pPr>
        <w:pStyle w:val="Funotentext"/>
        <w:rPr>
          <w:sz w:val="22"/>
          <w:szCs w:val="22"/>
          <w:lang w:val="en-US"/>
        </w:rPr>
      </w:pPr>
      <w:r w:rsidRPr="00827D96">
        <w:rPr>
          <w:rStyle w:val="Funotenzeichen"/>
          <w:sz w:val="22"/>
          <w:szCs w:val="22"/>
        </w:rPr>
        <w:footnoteRef/>
      </w:r>
      <w:r w:rsidRPr="00827D96">
        <w:rPr>
          <w:lang w:val="en-US"/>
        </w:rPr>
        <w:t xml:space="preserve"> </w:t>
      </w:r>
      <w:proofErr w:type="spellStart"/>
      <w:r w:rsidRPr="00827D96">
        <w:rPr>
          <w:lang w:val="en-US"/>
        </w:rPr>
        <w:t>Knezevic</w:t>
      </w:r>
      <w:proofErr w:type="spellEnd"/>
      <w:r w:rsidRPr="00827D96">
        <w:rPr>
          <w:lang w:val="en-US"/>
        </w:rPr>
        <w:t xml:space="preserve"> F </w:t>
      </w:r>
      <w:r w:rsidRPr="00827D96">
        <w:rPr>
          <w:i/>
          <w:iCs/>
          <w:lang w:val="en-US"/>
        </w:rPr>
        <w:t xml:space="preserve">et al </w:t>
      </w:r>
      <w:r w:rsidRPr="00827D96">
        <w:rPr>
          <w:lang w:val="en-US"/>
        </w:rPr>
        <w:t xml:space="preserve">(2021). Residues of herbal hemp leaf teas - How much of the cannabinoids remain? </w:t>
      </w:r>
      <w:r w:rsidRPr="00827D96">
        <w:rPr>
          <w:i/>
          <w:iCs/>
          <w:lang w:val="en-US"/>
        </w:rPr>
        <w:t xml:space="preserve">Food Control </w:t>
      </w:r>
      <w:r w:rsidRPr="00827D96">
        <w:rPr>
          <w:lang w:val="en-US"/>
        </w:rPr>
        <w:t>127: 108146.</w:t>
      </w:r>
    </w:p>
  </w:footnote>
  <w:footnote w:id="34">
    <w:p w14:paraId="5ADE8FD8" w14:textId="5626E95D" w:rsidR="00BC5DBA" w:rsidRPr="00760C1D" w:rsidRDefault="00BC5DBA" w:rsidP="00E21AE8">
      <w:pPr>
        <w:spacing w:after="0" w:line="240" w:lineRule="auto"/>
        <w:rPr>
          <w:lang w:val="en-US"/>
        </w:rPr>
      </w:pPr>
      <w:r w:rsidRPr="00E21AE8">
        <w:rPr>
          <w:rStyle w:val="Funotenzeichen"/>
          <w:rFonts w:asciiTheme="minorHAnsi" w:hAnsiTheme="minorHAnsi" w:cstheme="minorHAnsi"/>
          <w:sz w:val="20"/>
          <w:szCs w:val="20"/>
        </w:rPr>
        <w:footnoteRef/>
      </w:r>
      <w:r w:rsidRPr="00E21AE8">
        <w:rPr>
          <w:rFonts w:asciiTheme="minorHAnsi" w:hAnsiTheme="minorHAnsi" w:cstheme="minorHAnsi"/>
          <w:sz w:val="20"/>
          <w:szCs w:val="20"/>
          <w:lang w:val="en-US"/>
        </w:rPr>
        <w:t xml:space="preserve"> </w:t>
      </w:r>
      <w:proofErr w:type="spellStart"/>
      <w:r w:rsidRPr="00E21AE8">
        <w:rPr>
          <w:rFonts w:asciiTheme="minorHAnsi" w:hAnsiTheme="minorHAnsi" w:cstheme="minorHAnsi"/>
          <w:sz w:val="20"/>
          <w:szCs w:val="20"/>
          <w:lang w:val="en-US"/>
        </w:rPr>
        <w:t>Melchor</w:t>
      </w:r>
      <w:proofErr w:type="spellEnd"/>
      <w:r w:rsidRPr="00E21AE8">
        <w:rPr>
          <w:rFonts w:asciiTheme="minorHAnsi" w:hAnsiTheme="minorHAnsi" w:cstheme="minorHAnsi"/>
          <w:sz w:val="20"/>
          <w:szCs w:val="20"/>
          <w:lang w:val="en-US"/>
        </w:rPr>
        <w:t xml:space="preserve">, S. R., </w:t>
      </w:r>
      <w:proofErr w:type="spellStart"/>
      <w:r w:rsidRPr="00E21AE8">
        <w:rPr>
          <w:rFonts w:asciiTheme="minorHAnsi" w:hAnsiTheme="minorHAnsi" w:cstheme="minorHAnsi"/>
          <w:sz w:val="20"/>
          <w:szCs w:val="20"/>
          <w:lang w:val="en-US"/>
        </w:rPr>
        <w:t>Timmermanns</w:t>
      </w:r>
      <w:proofErr w:type="spellEnd"/>
      <w:r w:rsidRPr="00E21AE8">
        <w:rPr>
          <w:rFonts w:asciiTheme="minorHAnsi" w:hAnsiTheme="minorHAnsi" w:cstheme="minorHAnsi"/>
          <w:sz w:val="20"/>
          <w:szCs w:val="20"/>
          <w:lang w:val="en-US"/>
        </w:rPr>
        <w:t xml:space="preserve">, </w:t>
      </w:r>
      <w:proofErr w:type="gramStart"/>
      <w:r w:rsidRPr="00E21AE8">
        <w:rPr>
          <w:rFonts w:asciiTheme="minorHAnsi" w:hAnsiTheme="minorHAnsi" w:cstheme="minorHAnsi"/>
          <w:sz w:val="20"/>
          <w:szCs w:val="20"/>
          <w:lang w:val="en-US"/>
        </w:rPr>
        <w:t>L</w:t>
      </w:r>
      <w:proofErr w:type="gramEnd"/>
      <w:r w:rsidRPr="00E21AE8">
        <w:rPr>
          <w:rFonts w:asciiTheme="minorHAnsi" w:hAnsiTheme="minorHAnsi" w:cstheme="minorHAnsi"/>
          <w:sz w:val="20"/>
          <w:szCs w:val="20"/>
          <w:lang w:val="en-US"/>
        </w:rPr>
        <w:t xml:space="preserve">., "It is the dosage, stupid": The ECJ clarifies the Border between Medicines and Botanical Food Supplements, </w:t>
      </w:r>
      <w:r w:rsidRPr="00E21AE8">
        <w:rPr>
          <w:rFonts w:asciiTheme="minorHAnsi" w:eastAsia="Times New Roman" w:hAnsiTheme="minorHAnsi" w:cstheme="minorHAnsi"/>
          <w:sz w:val="20"/>
          <w:szCs w:val="20"/>
          <w:lang w:val="en-GB" w:eastAsia="en-GB"/>
        </w:rPr>
        <w:t>European Food and Feed Law Review</w:t>
      </w:r>
      <w:r w:rsidRPr="00760C1D">
        <w:rPr>
          <w:rFonts w:asciiTheme="minorHAnsi" w:eastAsia="Times New Roman" w:hAnsiTheme="minorHAnsi" w:cstheme="minorHAnsi"/>
          <w:sz w:val="20"/>
          <w:szCs w:val="20"/>
          <w:lang w:val="en-GB" w:eastAsia="en-GB"/>
        </w:rPr>
        <w:t xml:space="preserve"> </w:t>
      </w:r>
      <w:r w:rsidRPr="00E21AE8">
        <w:rPr>
          <w:rFonts w:asciiTheme="minorHAnsi" w:eastAsia="Times New Roman" w:hAnsiTheme="minorHAnsi" w:cstheme="minorHAnsi"/>
          <w:sz w:val="20"/>
          <w:szCs w:val="20"/>
          <w:lang w:val="en-GB" w:eastAsia="en-GB"/>
        </w:rPr>
        <w:t>Vol. 4, No. 3 (2009), pp. 185-191</w:t>
      </w:r>
      <w:r w:rsidRPr="00760C1D">
        <w:rPr>
          <w:sz w:val="20"/>
          <w:szCs w:val="20"/>
          <w:lang w:val="en-US"/>
        </w:rPr>
        <w:t>, with further references</w:t>
      </w:r>
      <w:r>
        <w:rPr>
          <w:sz w:val="20"/>
          <w:szCs w:val="20"/>
          <w:lang w:val="en-US"/>
        </w:rPr>
        <w:t xml:space="preserve">, </w:t>
      </w:r>
      <w:hyperlink r:id="rId25" w:history="1">
        <w:r w:rsidRPr="003E0A8C">
          <w:rPr>
            <w:rStyle w:val="Hyperlink"/>
            <w:rFonts w:cstheme="minorBidi"/>
            <w:sz w:val="20"/>
            <w:szCs w:val="20"/>
            <w:lang w:val="en-US"/>
          </w:rPr>
          <w:t>https://www.jstor.org/stable/24325222</w:t>
        </w:r>
      </w:hyperlink>
      <w:r w:rsidRPr="00760C1D">
        <w:rPr>
          <w:sz w:val="20"/>
          <w:szCs w:val="20"/>
          <w:lang w:val="en-US"/>
        </w:rPr>
        <w:t>.</w:t>
      </w:r>
      <w:r>
        <w:rPr>
          <w:sz w:val="20"/>
          <w:szCs w:val="20"/>
          <w:lang w:val="en-US"/>
        </w:rPr>
        <w:t xml:space="preserve"> </w:t>
      </w:r>
    </w:p>
  </w:footnote>
  <w:footnote w:id="35">
    <w:p w14:paraId="27413F2A" w14:textId="2C2B8545" w:rsidR="00BC5DBA" w:rsidRPr="00C75FD4" w:rsidRDefault="00BC5DBA">
      <w:pPr>
        <w:pStyle w:val="Funotentext"/>
        <w:rPr>
          <w:lang w:val="en-US"/>
        </w:rPr>
      </w:pPr>
      <w:r w:rsidRPr="00760C1D">
        <w:rPr>
          <w:rStyle w:val="Funotenzeichen"/>
        </w:rPr>
        <w:footnoteRef/>
      </w:r>
      <w:r w:rsidRPr="00760C1D">
        <w:rPr>
          <w:lang w:val="en-US"/>
        </w:rPr>
        <w:t xml:space="preserve"> ECJ, 1st Chamber, Judgment of 15.01.2009, Case C-140</w:t>
      </w:r>
      <w:r w:rsidRPr="00C75FD4">
        <w:rPr>
          <w:lang w:val="en-US"/>
        </w:rPr>
        <w:t xml:space="preserve">/07, para. </w:t>
      </w:r>
      <w:r w:rsidRPr="008F70F4">
        <w:rPr>
          <w:lang w:val="en-US"/>
        </w:rPr>
        <w:t>24</w:t>
      </w:r>
      <w:r w:rsidRPr="00C24A8D">
        <w:rPr>
          <w:lang w:val="en-US"/>
        </w:rPr>
        <w:t xml:space="preserve">, </w:t>
      </w:r>
      <w:hyperlink r:id="rId26" w:history="1">
        <w:r w:rsidR="00EE13B1" w:rsidRPr="003A064F">
          <w:rPr>
            <w:rStyle w:val="Hyperlink"/>
            <w:rFonts w:cstheme="minorBidi"/>
            <w:lang w:val="en-US"/>
          </w:rPr>
          <w:t>https://curia.europa.eu/juris/liste.jsf?language=en&amp;num=C-140/07</w:t>
        </w:r>
      </w:hyperlink>
      <w:r w:rsidR="00EE13B1">
        <w:rPr>
          <w:lang w:val="en-US"/>
        </w:rPr>
        <w:t xml:space="preserve"> </w:t>
      </w:r>
    </w:p>
  </w:footnote>
  <w:footnote w:id="36">
    <w:p w14:paraId="124CE8B9" w14:textId="24410730" w:rsidR="00BC5DBA" w:rsidRPr="00E21AE8" w:rsidRDefault="00BC5DBA">
      <w:pPr>
        <w:pStyle w:val="Funotentext"/>
        <w:rPr>
          <w:lang w:val="en-GB"/>
        </w:rPr>
      </w:pPr>
      <w:r>
        <w:rPr>
          <w:rStyle w:val="Funotenzeichen"/>
        </w:rPr>
        <w:footnoteRef/>
      </w:r>
      <w:r w:rsidRPr="00B71D44">
        <w:t xml:space="preserve"> </w:t>
      </w:r>
      <w:proofErr w:type="spellStart"/>
      <w:r w:rsidRPr="00EF3104">
        <w:t>Hüttebräuker</w:t>
      </w:r>
      <w:proofErr w:type="spellEnd"/>
      <w:r w:rsidRPr="00EF3104">
        <w:t xml:space="preserve">, A., </w:t>
      </w:r>
      <w:proofErr w:type="spellStart"/>
      <w:r w:rsidRPr="00EF3104">
        <w:t>Auler</w:t>
      </w:r>
      <w:proofErr w:type="spellEnd"/>
      <w:r w:rsidRPr="00EF3104">
        <w:t xml:space="preserve">, C., </w:t>
      </w:r>
      <w:proofErr w:type="spellStart"/>
      <w:r w:rsidRPr="00EF3104">
        <w:t>Melatoninhaltige</w:t>
      </w:r>
      <w:proofErr w:type="spellEnd"/>
      <w:r w:rsidRPr="00EF3104">
        <w:t xml:space="preserve"> Gesundheitsprodukte: Funktionsarzneimittel oder </w:t>
      </w:r>
      <w:r w:rsidR="00425D1A" w:rsidRPr="00EF3104">
        <w:t>Nahrungse</w:t>
      </w:r>
      <w:r w:rsidR="00425D1A" w:rsidRPr="00EF3104">
        <w:t>r</w:t>
      </w:r>
      <w:r w:rsidR="00425D1A" w:rsidRPr="00EF3104">
        <w:t>gänzungsmittel?</w:t>
      </w:r>
      <w:r w:rsidRPr="00EF3104">
        <w:t xml:space="preserve"> </w:t>
      </w:r>
      <w:proofErr w:type="gramStart"/>
      <w:r w:rsidRPr="00EF3104">
        <w:rPr>
          <w:lang w:val="en-GB"/>
        </w:rPr>
        <w:t>[M</w:t>
      </w:r>
      <w:r>
        <w:rPr>
          <w:lang w:val="en-GB"/>
        </w:rPr>
        <w:t xml:space="preserve">elatonin containing health products: </w:t>
      </w:r>
      <w:r w:rsidRPr="00C75FD4">
        <w:rPr>
          <w:lang w:val="en-US"/>
        </w:rPr>
        <w:t>Functional Medicinal Products or Food Supplements?</w:t>
      </w:r>
      <w:r>
        <w:rPr>
          <w:lang w:val="en-US"/>
        </w:rPr>
        <w:t>]</w:t>
      </w:r>
      <w:r w:rsidRPr="00C75FD4">
        <w:rPr>
          <w:lang w:val="en-US"/>
        </w:rPr>
        <w:t xml:space="preserve">, </w:t>
      </w:r>
      <w:proofErr w:type="spellStart"/>
      <w:r w:rsidRPr="00C75FD4">
        <w:rPr>
          <w:lang w:val="en-US"/>
        </w:rPr>
        <w:t>PharmR</w:t>
      </w:r>
      <w:proofErr w:type="spellEnd"/>
      <w:r w:rsidRPr="00C75FD4">
        <w:rPr>
          <w:lang w:val="en-US"/>
        </w:rPr>
        <w:t xml:space="preserve"> </w:t>
      </w:r>
      <w:r>
        <w:rPr>
          <w:lang w:val="en-US"/>
        </w:rPr>
        <w:t>9/</w:t>
      </w:r>
      <w:r w:rsidRPr="00C75FD4">
        <w:rPr>
          <w:lang w:val="en-US"/>
        </w:rPr>
        <w:t>2021, 5</w:t>
      </w:r>
      <w:r>
        <w:rPr>
          <w:lang w:val="en-US"/>
        </w:rPr>
        <w:t>2</w:t>
      </w:r>
      <w:r w:rsidRPr="00C75FD4">
        <w:rPr>
          <w:lang w:val="en-US"/>
        </w:rPr>
        <w:t>1</w:t>
      </w:r>
      <w:r>
        <w:rPr>
          <w:lang w:val="en-US"/>
        </w:rPr>
        <w:t>,</w:t>
      </w:r>
      <w:r w:rsidRPr="00C75FD4">
        <w:rPr>
          <w:lang w:val="en-US"/>
        </w:rPr>
        <w:t xml:space="preserve"> with further evidence</w:t>
      </w:r>
      <w:r>
        <w:rPr>
          <w:lang w:val="en-US"/>
        </w:rPr>
        <w:t xml:space="preserve">, </w:t>
      </w:r>
      <w:hyperlink r:id="rId27" w:history="1">
        <w:r w:rsidRPr="003E0A8C">
          <w:rPr>
            <w:rStyle w:val="Hyperlink"/>
            <w:rFonts w:cstheme="minorBidi"/>
            <w:lang w:val="en-US"/>
          </w:rPr>
          <w:t>http://www.huettebraeuker-law.de/publikationen.html</w:t>
        </w:r>
      </w:hyperlink>
      <w:r w:rsidRPr="00C75FD4">
        <w:rPr>
          <w:lang w:val="en-US"/>
        </w:rPr>
        <w:t>.</w:t>
      </w:r>
      <w:proofErr w:type="gramEnd"/>
    </w:p>
  </w:footnote>
  <w:footnote w:id="37">
    <w:p w14:paraId="0D21051A" w14:textId="0C841EA2" w:rsidR="00BC5DBA" w:rsidRPr="00300FBD" w:rsidRDefault="00BC5DBA">
      <w:pPr>
        <w:pStyle w:val="Funotentext"/>
        <w:rPr>
          <w:lang w:val="en-US"/>
        </w:rPr>
      </w:pPr>
      <w:r w:rsidRPr="007444DF">
        <w:rPr>
          <w:rStyle w:val="Funotenzeichen"/>
        </w:rPr>
        <w:footnoteRef/>
      </w:r>
      <w:r w:rsidRPr="00300FBD">
        <w:rPr>
          <w:lang w:val="en-US"/>
        </w:rPr>
        <w:t xml:space="preserve"> ECJ, 1st Chamber, Judgment of 15.11.2007, Case No. </w:t>
      </w:r>
      <w:proofErr w:type="gramStart"/>
      <w:r w:rsidRPr="00300FBD">
        <w:rPr>
          <w:lang w:val="en-US"/>
        </w:rPr>
        <w:t>C-319/05, para.</w:t>
      </w:r>
      <w:proofErr w:type="gramEnd"/>
      <w:r w:rsidRPr="00300FBD">
        <w:rPr>
          <w:lang w:val="en-US"/>
        </w:rPr>
        <w:t xml:space="preserve"> 18</w:t>
      </w:r>
      <w:r>
        <w:rPr>
          <w:lang w:val="en-US"/>
        </w:rPr>
        <w:t xml:space="preserve">, </w:t>
      </w:r>
      <w:hyperlink r:id="rId28" w:history="1">
        <w:r w:rsidR="00605E74" w:rsidRPr="003A064F">
          <w:rPr>
            <w:rStyle w:val="Hyperlink"/>
            <w:rFonts w:cstheme="minorBidi"/>
            <w:lang w:val="en-US"/>
          </w:rPr>
          <w:t>https://curia.europa.eu/juris/liste.jsf?language=de&amp;td=ALL&amp;num=C-319/05</w:t>
        </w:r>
      </w:hyperlink>
      <w:r w:rsidR="00605E74">
        <w:rPr>
          <w:lang w:val="en-US"/>
        </w:rPr>
        <w:t xml:space="preserve"> </w:t>
      </w:r>
      <w:r w:rsidRPr="00300FBD">
        <w:rPr>
          <w:lang w:val="en-US"/>
        </w:rPr>
        <w:t>; see also for Germany BVerwG, Judgment of 26.5.2009, Case No.: 3 C 5.09</w:t>
      </w:r>
      <w:r w:rsidR="00605E74">
        <w:rPr>
          <w:lang w:val="en-US"/>
        </w:rPr>
        <w:t>.</w:t>
      </w:r>
    </w:p>
  </w:footnote>
  <w:footnote w:id="38">
    <w:p w14:paraId="46CD7DED" w14:textId="190AC3B5" w:rsidR="00BC5DBA" w:rsidRPr="00300FBD" w:rsidRDefault="00BC5DBA">
      <w:pPr>
        <w:pStyle w:val="Funotentext"/>
        <w:rPr>
          <w:lang w:val="en-US"/>
        </w:rPr>
      </w:pPr>
      <w:r w:rsidRPr="007444DF">
        <w:rPr>
          <w:rStyle w:val="Funotenzeichen"/>
        </w:rPr>
        <w:footnoteRef/>
      </w:r>
      <w:r w:rsidRPr="00E21AE8">
        <w:t xml:space="preserve"> </w:t>
      </w:r>
      <w:proofErr w:type="spellStart"/>
      <w:r w:rsidRPr="0057133B">
        <w:t>Hüttebräuker</w:t>
      </w:r>
      <w:proofErr w:type="spellEnd"/>
      <w:r w:rsidRPr="0057133B">
        <w:t xml:space="preserve">, A., </w:t>
      </w:r>
      <w:proofErr w:type="spellStart"/>
      <w:r w:rsidRPr="0057133B">
        <w:t>Auler</w:t>
      </w:r>
      <w:proofErr w:type="spellEnd"/>
      <w:r w:rsidRPr="0057133B">
        <w:t xml:space="preserve">, C., </w:t>
      </w:r>
      <w:proofErr w:type="spellStart"/>
      <w:r w:rsidRPr="0057133B">
        <w:t>Melatoninhaltige</w:t>
      </w:r>
      <w:proofErr w:type="spellEnd"/>
      <w:r w:rsidRPr="0057133B">
        <w:t xml:space="preserve"> Gesundheitsprodukte: Funktionsarzneimittel oder </w:t>
      </w:r>
      <w:r w:rsidR="00425D1A" w:rsidRPr="0057133B">
        <w:t>Nahrungse</w:t>
      </w:r>
      <w:r w:rsidR="00425D1A" w:rsidRPr="0057133B">
        <w:t>r</w:t>
      </w:r>
      <w:r w:rsidR="00425D1A" w:rsidRPr="0057133B">
        <w:t>gänzungsmittel?</w:t>
      </w:r>
      <w:r w:rsidRPr="0057133B">
        <w:t xml:space="preserve"> </w:t>
      </w:r>
      <w:proofErr w:type="gramStart"/>
      <w:r w:rsidRPr="0057133B">
        <w:rPr>
          <w:lang w:val="en-GB"/>
        </w:rPr>
        <w:t>[M</w:t>
      </w:r>
      <w:r>
        <w:rPr>
          <w:lang w:val="en-GB"/>
        </w:rPr>
        <w:t xml:space="preserve">elatonin containing health products: </w:t>
      </w:r>
      <w:r w:rsidRPr="00C75FD4">
        <w:rPr>
          <w:lang w:val="en-US"/>
        </w:rPr>
        <w:t>Functional Medicinal Products or Food Supplements?</w:t>
      </w:r>
      <w:r>
        <w:rPr>
          <w:lang w:val="en-US"/>
        </w:rPr>
        <w:t>]</w:t>
      </w:r>
      <w:r w:rsidRPr="00C75FD4">
        <w:rPr>
          <w:lang w:val="en-US"/>
        </w:rPr>
        <w:t xml:space="preserve">, </w:t>
      </w:r>
      <w:proofErr w:type="spellStart"/>
      <w:r w:rsidRPr="00C75FD4">
        <w:rPr>
          <w:lang w:val="en-US"/>
        </w:rPr>
        <w:t>PharmR</w:t>
      </w:r>
      <w:proofErr w:type="spellEnd"/>
      <w:r w:rsidRPr="00C75FD4">
        <w:rPr>
          <w:lang w:val="en-US"/>
        </w:rPr>
        <w:t xml:space="preserve"> </w:t>
      </w:r>
      <w:r>
        <w:rPr>
          <w:lang w:val="en-US"/>
        </w:rPr>
        <w:t>9/</w:t>
      </w:r>
      <w:r w:rsidRPr="00C75FD4">
        <w:rPr>
          <w:lang w:val="en-US"/>
        </w:rPr>
        <w:t>2021, 5</w:t>
      </w:r>
      <w:r>
        <w:rPr>
          <w:lang w:val="en-US"/>
        </w:rPr>
        <w:t>2</w:t>
      </w:r>
      <w:r w:rsidRPr="00C75FD4">
        <w:rPr>
          <w:lang w:val="en-US"/>
        </w:rPr>
        <w:t>1</w:t>
      </w:r>
      <w:r>
        <w:rPr>
          <w:lang w:val="en-US"/>
        </w:rPr>
        <w:t>,</w:t>
      </w:r>
      <w:r w:rsidRPr="00C75FD4">
        <w:rPr>
          <w:lang w:val="en-US"/>
        </w:rPr>
        <w:t xml:space="preserve"> with further evidence</w:t>
      </w:r>
      <w:r>
        <w:rPr>
          <w:lang w:val="en-US"/>
        </w:rPr>
        <w:t xml:space="preserve">, </w:t>
      </w:r>
      <w:hyperlink r:id="rId29" w:history="1">
        <w:r w:rsidRPr="003E0A8C">
          <w:rPr>
            <w:rStyle w:val="Hyperlink"/>
            <w:rFonts w:cstheme="minorBidi"/>
            <w:lang w:val="en-US"/>
          </w:rPr>
          <w:t>http://www.huettebraeuker-law.de/publikationen.html</w:t>
        </w:r>
      </w:hyperlink>
      <w:r w:rsidRPr="00C75FD4">
        <w:rPr>
          <w:lang w:val="en-US"/>
        </w:rPr>
        <w:t>.</w:t>
      </w:r>
      <w:proofErr w:type="gramEnd"/>
    </w:p>
  </w:footnote>
  <w:footnote w:id="39">
    <w:p w14:paraId="5464D1E0" w14:textId="542F3AE6" w:rsidR="00BC5DBA" w:rsidRPr="00300FBD" w:rsidRDefault="00BC5DBA">
      <w:pPr>
        <w:pStyle w:val="Funotentext"/>
        <w:rPr>
          <w:lang w:val="en-US"/>
        </w:rPr>
      </w:pPr>
      <w:r w:rsidRPr="007444DF">
        <w:rPr>
          <w:rStyle w:val="Funotenzeichen"/>
        </w:rPr>
        <w:footnoteRef/>
      </w:r>
      <w:r w:rsidRPr="00300FBD">
        <w:rPr>
          <w:lang w:val="en-US"/>
        </w:rPr>
        <w:t xml:space="preserve"> </w:t>
      </w:r>
      <w:r>
        <w:rPr>
          <w:lang w:val="en-US"/>
        </w:rPr>
        <w:t>Administrative Court Cologne [</w:t>
      </w:r>
      <w:r w:rsidRPr="00300FBD">
        <w:rPr>
          <w:lang w:val="en-US"/>
        </w:rPr>
        <w:t>VG Köln</w:t>
      </w:r>
      <w:r>
        <w:rPr>
          <w:lang w:val="en-US"/>
        </w:rPr>
        <w:t>]</w:t>
      </w:r>
      <w:r w:rsidRPr="00300FBD">
        <w:rPr>
          <w:lang w:val="en-US"/>
        </w:rPr>
        <w:t xml:space="preserve">, judgment of 25.4.2017, Ref: 7 K 5986/13, para. </w:t>
      </w:r>
      <w:proofErr w:type="gramStart"/>
      <w:r w:rsidRPr="00300FBD">
        <w:rPr>
          <w:lang w:val="en-US"/>
        </w:rPr>
        <w:t>46</w:t>
      </w:r>
      <w:r>
        <w:rPr>
          <w:lang w:val="en-US"/>
        </w:rPr>
        <w:t xml:space="preserve">, </w:t>
      </w:r>
      <w:hyperlink r:id="rId30" w:history="1">
        <w:r w:rsidRPr="003E0A8C">
          <w:rPr>
            <w:rStyle w:val="Hyperlink"/>
            <w:rFonts w:cstheme="minorBidi"/>
            <w:lang w:val="en-US"/>
          </w:rPr>
          <w:t>https://openjur.de/u/965786.html</w:t>
        </w:r>
      </w:hyperlink>
      <w:r w:rsidRPr="00300FBD">
        <w:rPr>
          <w:lang w:val="en-US"/>
        </w:rPr>
        <w:t>.</w:t>
      </w:r>
      <w:proofErr w:type="gramEnd"/>
      <w:r>
        <w:rPr>
          <w:lang w:val="en-US"/>
        </w:rPr>
        <w:t xml:space="preserve"> </w:t>
      </w:r>
    </w:p>
  </w:footnote>
  <w:footnote w:id="40">
    <w:p w14:paraId="3AD463FA" w14:textId="77777777" w:rsidR="00BC5DBA" w:rsidRDefault="00BC5DBA">
      <w:pPr>
        <w:pStyle w:val="Funotentext"/>
        <w:rPr>
          <w:lang w:val="en-US"/>
        </w:rPr>
      </w:pPr>
      <w:r>
        <w:rPr>
          <w:rStyle w:val="Funotenzeichen"/>
        </w:rPr>
        <w:footnoteRef/>
      </w:r>
      <w:r w:rsidRPr="007A164B">
        <w:rPr>
          <w:rFonts w:asciiTheme="minorHAnsi" w:hAnsiTheme="minorHAnsi" w:cstheme="minorHAnsi"/>
          <w:i/>
          <w:iCs/>
          <w:color w:val="111111"/>
          <w:kern w:val="36"/>
          <w:lang w:val="en-US" w:eastAsia="de-DE"/>
        </w:rPr>
        <w:t xml:space="preserve"> </w:t>
      </w:r>
      <w:proofErr w:type="gramStart"/>
      <w:r w:rsidRPr="007A164B">
        <w:rPr>
          <w:rFonts w:asciiTheme="minorHAnsi" w:hAnsiTheme="minorHAnsi" w:cstheme="minorHAnsi"/>
          <w:i/>
          <w:iCs/>
          <w:color w:val="111111"/>
          <w:kern w:val="36"/>
          <w:lang w:val="en-US" w:eastAsia="de-DE"/>
        </w:rPr>
        <w:t>"</w:t>
      </w:r>
      <w:bookmarkStart w:id="3" w:name="_Hlk120265769"/>
      <w:r w:rsidRPr="007A164B">
        <w:rPr>
          <w:rFonts w:asciiTheme="minorHAnsi" w:hAnsiTheme="minorHAnsi" w:cstheme="minorHAnsi"/>
          <w:i/>
          <w:iCs/>
          <w:color w:val="111111"/>
          <w:kern w:val="36"/>
          <w:lang w:val="en-US" w:eastAsia="de-DE"/>
        </w:rPr>
        <w:t xml:space="preserve"> Cannabinoids</w:t>
      </w:r>
      <w:proofErr w:type="gramEnd"/>
      <w:r w:rsidRPr="007A164B">
        <w:rPr>
          <w:rFonts w:asciiTheme="minorHAnsi" w:hAnsiTheme="minorHAnsi" w:cstheme="minorHAnsi"/>
          <w:i/>
          <w:iCs/>
          <w:color w:val="111111"/>
          <w:kern w:val="36"/>
          <w:lang w:val="en-US" w:eastAsia="de-DE"/>
        </w:rPr>
        <w:t xml:space="preserve"> infused mouthwash products are as effective as chlorhexidine on inhibition of total-</w:t>
      </w:r>
      <w:proofErr w:type="spellStart"/>
      <w:r w:rsidRPr="007A164B">
        <w:rPr>
          <w:rFonts w:asciiTheme="minorHAnsi" w:hAnsiTheme="minorHAnsi" w:cstheme="minorHAnsi"/>
          <w:i/>
          <w:iCs/>
          <w:color w:val="111111"/>
          <w:kern w:val="36"/>
          <w:lang w:val="en-US" w:eastAsia="de-DE"/>
        </w:rPr>
        <w:t>culturable</w:t>
      </w:r>
      <w:proofErr w:type="spellEnd"/>
      <w:r w:rsidRPr="007A164B">
        <w:rPr>
          <w:rFonts w:asciiTheme="minorHAnsi" w:hAnsiTheme="minorHAnsi" w:cstheme="minorHAnsi"/>
          <w:i/>
          <w:iCs/>
          <w:color w:val="111111"/>
          <w:kern w:val="36"/>
          <w:lang w:val="en-US" w:eastAsia="de-DE"/>
        </w:rPr>
        <w:t xml:space="preserve"> bacterial content in dental plaque samples</w:t>
      </w:r>
      <w:bookmarkEnd w:id="3"/>
      <w:r>
        <w:rPr>
          <w:rFonts w:asciiTheme="minorHAnsi" w:hAnsiTheme="minorHAnsi" w:cstheme="minorHAnsi"/>
          <w:i/>
          <w:iCs/>
          <w:color w:val="111111"/>
          <w:kern w:val="36"/>
          <w:lang w:val="en-US" w:eastAsia="de-DE"/>
        </w:rPr>
        <w:t xml:space="preserve"> "</w:t>
      </w:r>
      <w:r w:rsidRPr="00EA17D6">
        <w:rPr>
          <w:rFonts w:asciiTheme="minorHAnsi" w:hAnsiTheme="minorHAnsi" w:cstheme="minorHAnsi"/>
          <w:color w:val="111111"/>
          <w:kern w:val="36"/>
          <w:lang w:val="en-US" w:eastAsia="de-DE"/>
        </w:rPr>
        <w:t xml:space="preserve">, </w:t>
      </w:r>
      <w:hyperlink r:id="rId31" w:history="1">
        <w:r w:rsidRPr="00EA17D6">
          <w:rPr>
            <w:rStyle w:val="Hyperlink"/>
            <w:rFonts w:asciiTheme="minorHAnsi" w:hAnsiTheme="minorHAnsi" w:cstheme="minorHAnsi"/>
            <w:kern w:val="36"/>
            <w:lang w:val="en-US" w:eastAsia="de-DE"/>
          </w:rPr>
          <w:t>Journal of Cannabis Research</w:t>
        </w:r>
      </w:hyperlink>
      <w:r>
        <w:rPr>
          <w:rFonts w:asciiTheme="minorHAnsi" w:hAnsiTheme="minorHAnsi" w:cstheme="minorHAnsi"/>
          <w:color w:val="111111"/>
          <w:kern w:val="36"/>
          <w:lang w:val="en-US" w:eastAsia="de-DE"/>
        </w:rPr>
        <w:t>, December 2020.</w:t>
      </w:r>
    </w:p>
  </w:footnote>
  <w:footnote w:id="41">
    <w:p w14:paraId="010C535A" w14:textId="0BB4690F" w:rsidR="00BC5DBA" w:rsidRPr="008E691E" w:rsidRDefault="00BC5DBA" w:rsidP="008E691E">
      <w:pPr>
        <w:spacing w:after="0" w:line="240" w:lineRule="auto"/>
        <w:rPr>
          <w:sz w:val="20"/>
          <w:szCs w:val="20"/>
          <w:lang w:val="en-US"/>
        </w:rPr>
      </w:pPr>
      <w:r w:rsidRPr="008E691E">
        <w:rPr>
          <w:rStyle w:val="Funotenzeichen"/>
          <w:sz w:val="20"/>
          <w:szCs w:val="20"/>
        </w:rPr>
        <w:footnoteRef/>
      </w:r>
      <w:proofErr w:type="spellStart"/>
      <w:proofErr w:type="gramStart"/>
      <w:r w:rsidRPr="008E691E">
        <w:rPr>
          <w:rFonts w:asciiTheme="minorHAnsi" w:hAnsiTheme="minorHAnsi"/>
          <w:sz w:val="20"/>
          <w:szCs w:val="20"/>
          <w:lang w:val="en-US"/>
        </w:rPr>
        <w:t>Schofs</w:t>
      </w:r>
      <w:proofErr w:type="spellEnd"/>
      <w:r w:rsidRPr="008E691E">
        <w:rPr>
          <w:rFonts w:asciiTheme="minorHAnsi" w:hAnsiTheme="minorHAnsi"/>
          <w:sz w:val="20"/>
          <w:szCs w:val="20"/>
          <w:lang w:val="en-US"/>
        </w:rPr>
        <w:t xml:space="preserve">, L. et al., The antimicrobial effect behind Cannabis sativa, </w:t>
      </w:r>
      <w:hyperlink r:id="rId32" w:history="1">
        <w:r w:rsidRPr="008E691E">
          <w:rPr>
            <w:rStyle w:val="Hyperlink"/>
            <w:sz w:val="20"/>
            <w:szCs w:val="20"/>
            <w:lang w:val="en-GB"/>
          </w:rPr>
          <w:t xml:space="preserve">Pharmacol Res </w:t>
        </w:r>
        <w:proofErr w:type="spellStart"/>
        <w:r w:rsidRPr="008E691E">
          <w:rPr>
            <w:rStyle w:val="Hyperlink"/>
            <w:sz w:val="20"/>
            <w:szCs w:val="20"/>
            <w:lang w:val="en-GB"/>
          </w:rPr>
          <w:t>Perspect</w:t>
        </w:r>
        <w:proofErr w:type="spellEnd"/>
        <w:r w:rsidRPr="008E691E">
          <w:rPr>
            <w:rStyle w:val="Hyperlink"/>
            <w:sz w:val="20"/>
            <w:szCs w:val="20"/>
            <w:lang w:val="en-GB"/>
          </w:rPr>
          <w:t>.</w:t>
        </w:r>
        <w:proofErr w:type="gramEnd"/>
      </w:hyperlink>
      <w:r w:rsidRPr="008E691E">
        <w:rPr>
          <w:sz w:val="20"/>
          <w:szCs w:val="20"/>
          <w:lang w:val="en-GB"/>
        </w:rPr>
        <w:t xml:space="preserve"> 2021 Apr; 9(2): e00761. </w:t>
      </w:r>
      <w:r w:rsidRPr="008E691E">
        <w:rPr>
          <w:rStyle w:val="fm-vol-iss-date"/>
          <w:sz w:val="20"/>
          <w:szCs w:val="20"/>
          <w:lang w:val="en-GB"/>
        </w:rPr>
        <w:t xml:space="preserve">Published online 2021 Apr 6. </w:t>
      </w:r>
      <w:proofErr w:type="spellStart"/>
      <w:proofErr w:type="gramStart"/>
      <w:r w:rsidRPr="008E691E">
        <w:rPr>
          <w:rStyle w:val="doi"/>
          <w:sz w:val="20"/>
          <w:szCs w:val="20"/>
          <w:lang w:val="en-GB"/>
        </w:rPr>
        <w:t>doi</w:t>
      </w:r>
      <w:proofErr w:type="spellEnd"/>
      <w:proofErr w:type="gramEnd"/>
      <w:r w:rsidRPr="008E691E">
        <w:rPr>
          <w:rStyle w:val="doi"/>
          <w:sz w:val="20"/>
          <w:szCs w:val="20"/>
          <w:lang w:val="en-GB"/>
        </w:rPr>
        <w:t>: </w:t>
      </w:r>
      <w:hyperlink r:id="rId33" w:tgtFrame="_blank" w:history="1">
        <w:r w:rsidRPr="008E691E">
          <w:rPr>
            <w:rStyle w:val="Hyperlink"/>
            <w:sz w:val="20"/>
            <w:szCs w:val="20"/>
            <w:lang w:val="en-GB"/>
          </w:rPr>
          <w:t>10.1002/prp2.761</w:t>
        </w:r>
      </w:hyperlink>
      <w:r w:rsidRPr="008E691E">
        <w:rPr>
          <w:rStyle w:val="doi"/>
          <w:sz w:val="20"/>
          <w:szCs w:val="20"/>
          <w:lang w:val="en-GB"/>
        </w:rPr>
        <w:t>.</w:t>
      </w:r>
      <w:r w:rsidRPr="008E691E">
        <w:rPr>
          <w:rFonts w:asciiTheme="minorHAnsi" w:hAnsiTheme="minorHAnsi"/>
          <w:sz w:val="20"/>
          <w:szCs w:val="20"/>
          <w:lang w:val="en-US"/>
        </w:rPr>
        <w:t>.</w:t>
      </w:r>
    </w:p>
  </w:footnote>
  <w:footnote w:id="42">
    <w:p w14:paraId="3886223F" w14:textId="30A151D2" w:rsidR="00BC5DBA" w:rsidRPr="008E691E" w:rsidRDefault="00BC5DBA" w:rsidP="008E691E">
      <w:pPr>
        <w:spacing w:after="0" w:line="240" w:lineRule="auto"/>
        <w:rPr>
          <w:rFonts w:asciiTheme="minorHAnsi" w:hAnsiTheme="minorHAnsi" w:cstheme="minorHAnsi"/>
          <w:sz w:val="20"/>
          <w:szCs w:val="20"/>
          <w:lang w:val="en-GB"/>
        </w:rPr>
      </w:pPr>
      <w:r w:rsidRPr="008E691E">
        <w:rPr>
          <w:rStyle w:val="Funotenzeichen"/>
          <w:rFonts w:asciiTheme="minorHAnsi" w:hAnsiTheme="minorHAnsi" w:cstheme="minorHAnsi"/>
          <w:sz w:val="20"/>
          <w:szCs w:val="20"/>
        </w:rPr>
        <w:footnoteRef/>
      </w:r>
      <w:r w:rsidRPr="008E691E">
        <w:rPr>
          <w:rFonts w:asciiTheme="minorHAnsi" w:hAnsiTheme="minorHAnsi" w:cstheme="minorHAnsi"/>
          <w:sz w:val="20"/>
          <w:szCs w:val="20"/>
          <w:lang w:val="en-GB"/>
        </w:rPr>
        <w:t xml:space="preserve"> </w:t>
      </w:r>
      <w:proofErr w:type="spellStart"/>
      <w:proofErr w:type="gramStart"/>
      <w:r w:rsidRPr="008E691E">
        <w:rPr>
          <w:rFonts w:asciiTheme="minorHAnsi" w:hAnsiTheme="minorHAnsi" w:cstheme="minorHAnsi"/>
          <w:sz w:val="20"/>
          <w:szCs w:val="20"/>
          <w:lang w:val="en-GB"/>
        </w:rPr>
        <w:t>Gildea</w:t>
      </w:r>
      <w:proofErr w:type="spellEnd"/>
      <w:r w:rsidRPr="008E691E">
        <w:rPr>
          <w:rFonts w:asciiTheme="minorHAnsi" w:hAnsiTheme="minorHAnsi" w:cstheme="minorHAnsi"/>
          <w:sz w:val="20"/>
          <w:szCs w:val="20"/>
          <w:lang w:val="en-GB"/>
        </w:rPr>
        <w:t xml:space="preserve">, L. et al., </w:t>
      </w:r>
      <w:r w:rsidRPr="00E43D77">
        <w:rPr>
          <w:rFonts w:asciiTheme="minorHAnsi" w:hAnsiTheme="minorHAnsi" w:cstheme="minorHAnsi"/>
          <w:i/>
          <w:iCs/>
          <w:sz w:val="20"/>
          <w:szCs w:val="20"/>
          <w:lang w:val="en-US"/>
        </w:rPr>
        <w:t>Cannabis sativa</w:t>
      </w:r>
      <w:r w:rsidRPr="00E43D77">
        <w:rPr>
          <w:rFonts w:asciiTheme="minorHAnsi" w:hAnsiTheme="minorHAnsi" w:cstheme="minorHAnsi"/>
          <w:sz w:val="20"/>
          <w:szCs w:val="20"/>
          <w:lang w:val="en-US"/>
        </w:rPr>
        <w:t xml:space="preserve"> CBD Extract Exhibits Synergy with Broad-Spectrum Antibiotics against </w:t>
      </w:r>
      <w:r w:rsidRPr="00E43D77">
        <w:rPr>
          <w:rFonts w:asciiTheme="minorHAnsi" w:hAnsiTheme="minorHAnsi" w:cstheme="minorHAnsi"/>
          <w:i/>
          <w:iCs/>
          <w:sz w:val="20"/>
          <w:szCs w:val="20"/>
          <w:lang w:val="en-US"/>
        </w:rPr>
        <w:t>Salm</w:t>
      </w:r>
      <w:r w:rsidRPr="00E43D77">
        <w:rPr>
          <w:rFonts w:asciiTheme="minorHAnsi" w:hAnsiTheme="minorHAnsi" w:cstheme="minorHAnsi"/>
          <w:i/>
          <w:iCs/>
          <w:sz w:val="20"/>
          <w:szCs w:val="20"/>
          <w:lang w:val="en-US"/>
        </w:rPr>
        <w:t>o</w:t>
      </w:r>
      <w:r w:rsidRPr="00E43D77">
        <w:rPr>
          <w:rFonts w:asciiTheme="minorHAnsi" w:hAnsiTheme="minorHAnsi" w:cstheme="minorHAnsi"/>
          <w:i/>
          <w:iCs/>
          <w:sz w:val="20"/>
          <w:szCs w:val="20"/>
          <w:lang w:val="en-US"/>
        </w:rPr>
        <w:t xml:space="preserve">nella </w:t>
      </w:r>
      <w:proofErr w:type="spellStart"/>
      <w:r w:rsidRPr="00E43D77">
        <w:rPr>
          <w:rFonts w:asciiTheme="minorHAnsi" w:hAnsiTheme="minorHAnsi" w:cstheme="minorHAnsi"/>
          <w:i/>
          <w:iCs/>
          <w:sz w:val="20"/>
          <w:szCs w:val="20"/>
          <w:lang w:val="en-US"/>
        </w:rPr>
        <w:t>enterica</w:t>
      </w:r>
      <w:proofErr w:type="spellEnd"/>
      <w:r w:rsidRPr="00E43D77">
        <w:rPr>
          <w:rFonts w:asciiTheme="minorHAnsi" w:hAnsiTheme="minorHAnsi" w:cstheme="minorHAnsi"/>
          <w:sz w:val="20"/>
          <w:szCs w:val="20"/>
          <w:lang w:val="en-US"/>
        </w:rPr>
        <w:t xml:space="preserve"> subsp. </w:t>
      </w:r>
      <w:proofErr w:type="spellStart"/>
      <w:r w:rsidRPr="008E691E">
        <w:rPr>
          <w:rFonts w:asciiTheme="minorHAnsi" w:hAnsiTheme="minorHAnsi" w:cstheme="minorHAnsi"/>
          <w:i/>
          <w:iCs/>
          <w:sz w:val="20"/>
          <w:szCs w:val="20"/>
          <w:lang w:val="en-GB"/>
        </w:rPr>
        <w:t>Enterica</w:t>
      </w:r>
      <w:proofErr w:type="spellEnd"/>
      <w:r w:rsidRPr="008E691E">
        <w:rPr>
          <w:rFonts w:asciiTheme="minorHAnsi" w:hAnsiTheme="minorHAnsi" w:cstheme="minorHAnsi"/>
          <w:sz w:val="20"/>
          <w:szCs w:val="20"/>
          <w:lang w:val="en-GB"/>
        </w:rPr>
        <w:t xml:space="preserve"> </w:t>
      </w:r>
      <w:proofErr w:type="spellStart"/>
      <w:r w:rsidRPr="008E691E">
        <w:rPr>
          <w:rFonts w:asciiTheme="minorHAnsi" w:hAnsiTheme="minorHAnsi" w:cstheme="minorHAnsi"/>
          <w:sz w:val="20"/>
          <w:szCs w:val="20"/>
          <w:lang w:val="en-GB"/>
        </w:rPr>
        <w:t>serovar</w:t>
      </w:r>
      <w:proofErr w:type="spellEnd"/>
      <w:r w:rsidRPr="008E691E">
        <w:rPr>
          <w:rFonts w:asciiTheme="minorHAnsi" w:hAnsiTheme="minorHAnsi" w:cstheme="minorHAnsi"/>
          <w:sz w:val="20"/>
          <w:szCs w:val="20"/>
          <w:lang w:val="en-GB"/>
        </w:rPr>
        <w:t xml:space="preserve"> </w:t>
      </w:r>
      <w:r w:rsidRPr="008E691E">
        <w:rPr>
          <w:rFonts w:asciiTheme="minorHAnsi" w:hAnsiTheme="minorHAnsi" w:cstheme="minorHAnsi"/>
          <w:i/>
          <w:iCs/>
          <w:sz w:val="20"/>
          <w:szCs w:val="20"/>
          <w:lang w:val="en-GB"/>
        </w:rPr>
        <w:t>typhimurium</w:t>
      </w:r>
      <w:r w:rsidRPr="008E691E">
        <w:rPr>
          <w:rFonts w:asciiTheme="minorHAnsi" w:hAnsiTheme="minorHAnsi" w:cstheme="minorHAnsi"/>
          <w:b/>
          <w:i/>
          <w:iCs/>
          <w:sz w:val="20"/>
          <w:szCs w:val="20"/>
          <w:lang w:val="en-GB"/>
        </w:rPr>
        <w:t xml:space="preserve">, </w:t>
      </w:r>
      <w:hyperlink r:id="rId34" w:history="1">
        <w:r w:rsidRPr="008E691E">
          <w:rPr>
            <w:rStyle w:val="Hyperlink"/>
            <w:sz w:val="20"/>
            <w:szCs w:val="20"/>
            <w:lang w:val="en-GB"/>
          </w:rPr>
          <w:t>Microorganisms.</w:t>
        </w:r>
        <w:proofErr w:type="gramEnd"/>
      </w:hyperlink>
      <w:r w:rsidRPr="008E691E">
        <w:rPr>
          <w:sz w:val="20"/>
          <w:szCs w:val="20"/>
          <w:lang w:val="en-GB"/>
        </w:rPr>
        <w:t xml:space="preserve"> 2022 Dec; 10(12): 2360. </w:t>
      </w:r>
      <w:r w:rsidRPr="008E691E">
        <w:rPr>
          <w:rStyle w:val="fm-vol-iss-date"/>
          <w:sz w:val="20"/>
          <w:szCs w:val="20"/>
          <w:lang w:val="en-GB"/>
        </w:rPr>
        <w:t xml:space="preserve">Published online 2022 Nov 29. </w:t>
      </w:r>
      <w:proofErr w:type="spellStart"/>
      <w:proofErr w:type="gramStart"/>
      <w:r w:rsidRPr="008E691E">
        <w:rPr>
          <w:rStyle w:val="doi"/>
          <w:sz w:val="20"/>
          <w:szCs w:val="20"/>
          <w:lang w:val="en-GB"/>
        </w:rPr>
        <w:t>doi</w:t>
      </w:r>
      <w:proofErr w:type="spellEnd"/>
      <w:proofErr w:type="gramEnd"/>
      <w:r w:rsidRPr="008E691E">
        <w:rPr>
          <w:rStyle w:val="doi"/>
          <w:sz w:val="20"/>
          <w:szCs w:val="20"/>
          <w:lang w:val="en-GB"/>
        </w:rPr>
        <w:t>: </w:t>
      </w:r>
      <w:hyperlink r:id="rId35" w:tgtFrame="_blank" w:history="1">
        <w:r w:rsidRPr="008E691E">
          <w:rPr>
            <w:rStyle w:val="Hyperlink"/>
            <w:sz w:val="20"/>
            <w:szCs w:val="20"/>
            <w:lang w:val="en-GB"/>
          </w:rPr>
          <w:t>10.3390/microorganisms10122360</w:t>
        </w:r>
      </w:hyperlink>
      <w:r w:rsidRPr="00E43D77">
        <w:rPr>
          <w:rStyle w:val="doi"/>
          <w:sz w:val="20"/>
          <w:szCs w:val="20"/>
          <w:lang w:val="en-US"/>
        </w:rPr>
        <w:t xml:space="preserve">. </w:t>
      </w:r>
    </w:p>
  </w:footnote>
  <w:footnote w:id="43">
    <w:p w14:paraId="50E65BE4" w14:textId="3AA872A7" w:rsidR="00BC5DBA" w:rsidRPr="00300FBD" w:rsidRDefault="00BC5DBA">
      <w:pPr>
        <w:pStyle w:val="Funotentext"/>
        <w:rPr>
          <w:lang w:val="en-US"/>
        </w:rPr>
      </w:pPr>
      <w:r>
        <w:rPr>
          <w:rStyle w:val="Funotenzeichen"/>
        </w:rPr>
        <w:footnoteRef/>
      </w:r>
      <w:r w:rsidRPr="00E21AE8">
        <w:rPr>
          <w:rStyle w:val="Hyperlink"/>
          <w:rFonts w:asciiTheme="minorHAnsi" w:hAnsiTheme="minorHAnsi"/>
          <w:color w:val="auto"/>
          <w:u w:val="none"/>
          <w:lang w:val="en-GB"/>
        </w:rPr>
        <w:t xml:space="preserve">Administrative Court Hamburg, 9th Chamber, Order of 16th </w:t>
      </w:r>
      <w:r w:rsidRPr="006B14BF">
        <w:rPr>
          <w:rStyle w:val="Hyperlink"/>
          <w:rFonts w:asciiTheme="minorHAnsi" w:hAnsiTheme="minorHAnsi"/>
          <w:color w:val="auto"/>
          <w:u w:val="none"/>
          <w:lang w:val="en-US"/>
        </w:rPr>
        <w:t>M</w:t>
      </w:r>
      <w:r>
        <w:rPr>
          <w:rStyle w:val="Hyperlink"/>
          <w:rFonts w:asciiTheme="minorHAnsi" w:hAnsiTheme="minorHAnsi"/>
          <w:color w:val="auto"/>
          <w:u w:val="none"/>
          <w:lang w:val="en-US"/>
        </w:rPr>
        <w:t>a</w:t>
      </w:r>
      <w:r w:rsidRPr="006B14BF">
        <w:rPr>
          <w:rStyle w:val="Hyperlink"/>
          <w:rFonts w:asciiTheme="minorHAnsi" w:hAnsiTheme="minorHAnsi"/>
          <w:color w:val="auto"/>
          <w:u w:val="none"/>
          <w:lang w:val="en-US"/>
        </w:rPr>
        <w:t>r</w:t>
      </w:r>
      <w:r>
        <w:rPr>
          <w:rStyle w:val="Hyperlink"/>
          <w:rFonts w:asciiTheme="minorHAnsi" w:hAnsiTheme="minorHAnsi"/>
          <w:color w:val="auto"/>
          <w:u w:val="none"/>
          <w:lang w:val="en-US"/>
        </w:rPr>
        <w:t>ch</w:t>
      </w:r>
      <w:r w:rsidRPr="006B14BF">
        <w:rPr>
          <w:rStyle w:val="Hyperlink"/>
          <w:rFonts w:asciiTheme="minorHAnsi" w:hAnsiTheme="minorHAnsi"/>
          <w:color w:val="auto"/>
          <w:u w:val="none"/>
          <w:lang w:val="en-US"/>
        </w:rPr>
        <w:t xml:space="preserve"> 2022, </w:t>
      </w:r>
      <w:r>
        <w:rPr>
          <w:rStyle w:val="Hyperlink"/>
          <w:rFonts w:asciiTheme="minorHAnsi" w:hAnsiTheme="minorHAnsi"/>
          <w:color w:val="auto"/>
          <w:u w:val="none"/>
          <w:lang w:val="en-US"/>
        </w:rPr>
        <w:t>file No.</w:t>
      </w:r>
      <w:r w:rsidRPr="006B14BF">
        <w:rPr>
          <w:rStyle w:val="Hyperlink"/>
          <w:rFonts w:asciiTheme="minorHAnsi" w:hAnsiTheme="minorHAnsi"/>
          <w:color w:val="auto"/>
          <w:u w:val="none"/>
          <w:lang w:val="en-US"/>
        </w:rPr>
        <w:t xml:space="preserve"> 9/E 353/22</w:t>
      </w:r>
      <w:r>
        <w:rPr>
          <w:rStyle w:val="Hyperlink"/>
          <w:rFonts w:asciiTheme="minorHAnsi" w:hAnsiTheme="minorHAnsi"/>
          <w:color w:val="auto"/>
          <w:u w:val="none"/>
          <w:lang w:val="en-GB"/>
        </w:rPr>
        <w:t xml:space="preserve"> </w:t>
      </w:r>
      <w:hyperlink r:id="rId36" w:history="1">
        <w:r w:rsidRPr="004908D2">
          <w:rPr>
            <w:rStyle w:val="Hyperlink"/>
            <w:rFonts w:asciiTheme="minorHAnsi" w:hAnsiTheme="minorHAnsi"/>
            <w:lang w:val="en-GB"/>
          </w:rPr>
          <w:t>https://dejure.org/dienste/vernetzung/rechtsprechung?Gericht=VG%20Hamburg&amp;Datum=16.03.2022&amp;Aktenzeichen=9%20E%20353%2F22</w:t>
        </w:r>
      </w:hyperlink>
      <w:r w:rsidR="009751A9">
        <w:rPr>
          <w:rStyle w:val="Hyperlink"/>
          <w:rFonts w:asciiTheme="minorHAnsi" w:hAnsiTheme="minorHAnsi"/>
          <w:lang w:val="en-GB"/>
        </w:rPr>
        <w:t>;</w:t>
      </w:r>
      <w:r w:rsidR="009751A9" w:rsidRPr="009751A9">
        <w:rPr>
          <w:lang w:val="en-US"/>
        </w:rPr>
        <w:t xml:space="preserve"> </w:t>
      </w:r>
      <w:r w:rsidR="009751A9" w:rsidRPr="009751A9">
        <w:rPr>
          <w:rStyle w:val="Hyperlink"/>
          <w:rFonts w:asciiTheme="minorHAnsi" w:hAnsiTheme="minorHAnsi"/>
          <w:color w:val="auto"/>
          <w:u w:val="none"/>
          <w:lang w:val="en-GB"/>
        </w:rPr>
        <w:t>meanwhile confirmed by the Hanseatic Higher Administrative Court with dec</w:t>
      </w:r>
      <w:r w:rsidR="009751A9" w:rsidRPr="009751A9">
        <w:rPr>
          <w:rStyle w:val="Hyperlink"/>
          <w:rFonts w:asciiTheme="minorHAnsi" w:hAnsiTheme="minorHAnsi"/>
          <w:color w:val="auto"/>
          <w:u w:val="none"/>
          <w:lang w:val="en-GB"/>
        </w:rPr>
        <w:t>i</w:t>
      </w:r>
      <w:r w:rsidR="009751A9" w:rsidRPr="009751A9">
        <w:rPr>
          <w:rStyle w:val="Hyperlink"/>
          <w:rFonts w:asciiTheme="minorHAnsi" w:hAnsiTheme="minorHAnsi"/>
          <w:color w:val="auto"/>
          <w:u w:val="none"/>
          <w:lang w:val="en-GB"/>
        </w:rPr>
        <w:t xml:space="preserve">sion of 18.7.2022, AZ: 3 </w:t>
      </w:r>
      <w:proofErr w:type="spellStart"/>
      <w:r w:rsidR="009751A9" w:rsidRPr="009751A9">
        <w:rPr>
          <w:rStyle w:val="Hyperlink"/>
          <w:rFonts w:asciiTheme="minorHAnsi" w:hAnsiTheme="minorHAnsi"/>
          <w:color w:val="auto"/>
          <w:u w:val="none"/>
          <w:lang w:val="en-GB"/>
        </w:rPr>
        <w:t>Bs</w:t>
      </w:r>
      <w:proofErr w:type="spellEnd"/>
      <w:r w:rsidR="009751A9" w:rsidRPr="009751A9">
        <w:rPr>
          <w:rStyle w:val="Hyperlink"/>
          <w:rFonts w:asciiTheme="minorHAnsi" w:hAnsiTheme="minorHAnsi"/>
          <w:color w:val="auto"/>
          <w:u w:val="none"/>
          <w:lang w:val="en-GB"/>
        </w:rPr>
        <w:t xml:space="preserve"> 51/22, as well as Administrative Court Düsseldorf, decision of 22.6.2023, AZ: 16 L 771/23.</w:t>
      </w:r>
    </w:p>
  </w:footnote>
  <w:footnote w:id="44">
    <w:p w14:paraId="30601C83" w14:textId="758DD6B9" w:rsidR="00BC5DBA" w:rsidRPr="00300FBD" w:rsidRDefault="00BC5DBA">
      <w:pPr>
        <w:pStyle w:val="Funotentext"/>
        <w:rPr>
          <w:lang w:val="en-US"/>
        </w:rPr>
      </w:pPr>
      <w:r>
        <w:rPr>
          <w:rStyle w:val="Funotenzeichen"/>
        </w:rPr>
        <w:footnoteRef/>
      </w:r>
      <w:r w:rsidRPr="00300FBD">
        <w:rPr>
          <w:rFonts w:asciiTheme="minorHAnsi" w:hAnsiTheme="minorHAnsi" w:cstheme="minorHAnsi"/>
          <w:lang w:val="en-US"/>
        </w:rPr>
        <w:t xml:space="preserve"> For further references and derivations see also the likewise cited OVG </w:t>
      </w:r>
      <w:r>
        <w:rPr>
          <w:rFonts w:asciiTheme="minorHAnsi" w:hAnsiTheme="minorHAnsi" w:cstheme="minorHAnsi"/>
          <w:i/>
          <w:iCs/>
          <w:lang w:val="en-US"/>
        </w:rPr>
        <w:t>Hamburg, decision dated</w:t>
      </w:r>
      <w:r w:rsidRPr="00300FBD">
        <w:rPr>
          <w:rFonts w:asciiTheme="minorHAnsi" w:hAnsiTheme="minorHAnsi" w:cstheme="minorHAnsi"/>
          <w:i/>
          <w:iCs/>
          <w:lang w:val="en-US"/>
        </w:rPr>
        <w:t xml:space="preserve"> 19.</w:t>
      </w:r>
      <w:r>
        <w:rPr>
          <w:rFonts w:asciiTheme="minorHAnsi" w:hAnsiTheme="minorHAnsi" w:cstheme="minorHAnsi"/>
          <w:i/>
          <w:iCs/>
          <w:lang w:val="en-US"/>
        </w:rPr>
        <w:t>0</w:t>
      </w:r>
      <w:r w:rsidRPr="00300FBD">
        <w:rPr>
          <w:rFonts w:asciiTheme="minorHAnsi" w:hAnsiTheme="minorHAnsi" w:cstheme="minorHAnsi"/>
          <w:i/>
          <w:iCs/>
          <w:lang w:val="en-US"/>
        </w:rPr>
        <w:t xml:space="preserve">8.2021, 5 </w:t>
      </w:r>
      <w:proofErr w:type="spellStart"/>
      <w:r w:rsidRPr="00300FBD">
        <w:rPr>
          <w:rFonts w:asciiTheme="minorHAnsi" w:hAnsiTheme="minorHAnsi" w:cstheme="minorHAnsi"/>
          <w:i/>
          <w:iCs/>
          <w:lang w:val="en-US"/>
        </w:rPr>
        <w:t>Bs</w:t>
      </w:r>
      <w:proofErr w:type="spellEnd"/>
      <w:r w:rsidRPr="00300FBD">
        <w:rPr>
          <w:rFonts w:asciiTheme="minorHAnsi" w:hAnsiTheme="minorHAnsi" w:cstheme="minorHAnsi"/>
          <w:i/>
          <w:iCs/>
          <w:lang w:val="en-US"/>
        </w:rPr>
        <w:t xml:space="preserve"> 56/21, juris Ls. 1, Rn. 20 et seq.</w:t>
      </w:r>
    </w:p>
  </w:footnote>
  <w:footnote w:id="45">
    <w:p w14:paraId="198AD873" w14:textId="5C4D3C01" w:rsidR="00BC5DBA" w:rsidRPr="001A48A2" w:rsidRDefault="00BC5DBA" w:rsidP="001B5BFE">
      <w:pPr>
        <w:autoSpaceDE w:val="0"/>
        <w:autoSpaceDN w:val="0"/>
        <w:adjustRightInd w:val="0"/>
        <w:spacing w:after="0" w:line="240" w:lineRule="auto"/>
        <w:rPr>
          <w:lang w:val="en-US"/>
        </w:rPr>
      </w:pPr>
      <w:r>
        <w:rPr>
          <w:rStyle w:val="Funotenzeichen"/>
        </w:rPr>
        <w:footnoteRef/>
      </w:r>
      <w:r w:rsidRPr="001D3F03">
        <w:rPr>
          <w:rFonts w:asciiTheme="minorHAnsi" w:hAnsiTheme="minorHAnsi" w:cstheme="minorHAnsi"/>
          <w:color w:val="000000"/>
          <w:sz w:val="20"/>
          <w:szCs w:val="20"/>
          <w:lang w:val="en-US"/>
        </w:rPr>
        <w:t xml:space="preserve"> MANUAL OF THE WORKING GROUP ON COSMETIC PRODUCTS (SUB-GROUP ON BORDERLINE PRODUCTS) ON THE SCOPE OF APPLICATION OF THE COSMETICS REGULATION (EC) NO 1223/2009 (ART. </w:t>
      </w:r>
      <w:r w:rsidRPr="001D3F03">
        <w:rPr>
          <w:rFonts w:asciiTheme="minorHAnsi" w:hAnsiTheme="minorHAnsi" w:cstheme="minorHAnsi"/>
          <w:color w:val="000000"/>
          <w:sz w:val="20"/>
          <w:szCs w:val="20"/>
          <w:lang w:val="en-US"/>
        </w:rPr>
        <w:t>2(1)(A))</w:t>
      </w:r>
      <w:r>
        <w:rPr>
          <w:rFonts w:asciiTheme="minorHAnsi" w:hAnsiTheme="minorHAnsi" w:cstheme="minorHAnsi"/>
          <w:color w:val="000000"/>
          <w:sz w:val="20"/>
          <w:szCs w:val="20"/>
          <w:lang w:val="en-US"/>
        </w:rPr>
        <w:t xml:space="preserve">, </w:t>
      </w:r>
      <w:r w:rsidRPr="001A48A2">
        <w:rPr>
          <w:rFonts w:asciiTheme="minorHAnsi" w:hAnsiTheme="minorHAnsi" w:cstheme="minorHAnsi"/>
          <w:color w:val="000000"/>
          <w:sz w:val="20"/>
          <w:szCs w:val="20"/>
          <w:lang w:val="en-US"/>
        </w:rPr>
        <w:t>VERSION 5.2 (SEPTEMBER 2020)</w:t>
      </w:r>
      <w:r>
        <w:rPr>
          <w:rFonts w:asciiTheme="minorHAnsi" w:hAnsiTheme="minorHAnsi" w:cstheme="minorHAnsi"/>
          <w:color w:val="000000"/>
          <w:sz w:val="20"/>
          <w:szCs w:val="20"/>
          <w:lang w:val="en-US"/>
        </w:rPr>
        <w:t xml:space="preserve">, page </w:t>
      </w:r>
      <w:r>
        <w:rPr>
          <w:rFonts w:asciiTheme="minorHAnsi" w:hAnsiTheme="minorHAnsi" w:cstheme="minorHAnsi"/>
          <w:color w:val="000000"/>
          <w:sz w:val="20"/>
          <w:szCs w:val="20"/>
          <w:lang w:val="en-US"/>
        </w:rPr>
        <w:t>29.</w:t>
      </w:r>
      <w:bookmarkStart w:id="5" w:name="_GoBack"/>
      <w:bookmarkEnd w:id="5"/>
    </w:p>
  </w:footnote>
  <w:footnote w:id="46">
    <w:p w14:paraId="204D5EDF" w14:textId="24AB3CD2" w:rsidR="00BC5DBA" w:rsidRPr="00300FBD" w:rsidRDefault="00BC5DBA" w:rsidP="00480336">
      <w:pPr>
        <w:spacing w:after="0" w:line="240" w:lineRule="auto"/>
        <w:rPr>
          <w:lang w:val="en-US"/>
        </w:rPr>
      </w:pPr>
      <w:r>
        <w:rPr>
          <w:rStyle w:val="Funotenzeichen"/>
        </w:rPr>
        <w:footnoteRef/>
      </w:r>
      <w:r w:rsidRPr="00300FBD">
        <w:rPr>
          <w:rStyle w:val="Fett"/>
          <w:rFonts w:asciiTheme="minorHAnsi" w:hAnsiTheme="minorHAnsi" w:cstheme="minorHAnsi"/>
          <w:color w:val="000000"/>
          <w:sz w:val="20"/>
          <w:szCs w:val="20"/>
          <w:lang w:val="en-US"/>
        </w:rPr>
        <w:t xml:space="preserve"> </w:t>
      </w:r>
      <w:r w:rsidRPr="009F4801">
        <w:rPr>
          <w:rStyle w:val="Fett"/>
          <w:rFonts w:asciiTheme="minorHAnsi" w:hAnsiTheme="minorHAnsi" w:cstheme="minorHAnsi"/>
          <w:b w:val="0"/>
          <w:bCs w:val="0"/>
          <w:color w:val="000000"/>
          <w:sz w:val="20"/>
          <w:szCs w:val="20"/>
          <w:lang w:val="en-US"/>
        </w:rPr>
        <w:t xml:space="preserve">Judgment of the Court (Fifth Chamber) of 28 January 1999 - </w:t>
      </w:r>
      <w:proofErr w:type="spellStart"/>
      <w:r w:rsidRPr="009F4801">
        <w:rPr>
          <w:rStyle w:val="Fett"/>
          <w:rFonts w:asciiTheme="minorHAnsi" w:hAnsiTheme="minorHAnsi" w:cstheme="minorHAnsi"/>
          <w:b w:val="0"/>
          <w:bCs w:val="0"/>
          <w:color w:val="000000"/>
          <w:sz w:val="20"/>
          <w:szCs w:val="20"/>
          <w:lang w:val="en-US"/>
        </w:rPr>
        <w:t>Verbraucherschutzverein</w:t>
      </w:r>
      <w:proofErr w:type="spellEnd"/>
      <w:r w:rsidRPr="009F4801">
        <w:rPr>
          <w:rStyle w:val="Fett"/>
          <w:rFonts w:asciiTheme="minorHAnsi" w:hAnsiTheme="minorHAnsi" w:cstheme="minorHAnsi"/>
          <w:b w:val="0"/>
          <w:bCs w:val="0"/>
          <w:color w:val="000000"/>
          <w:sz w:val="20"/>
          <w:szCs w:val="20"/>
          <w:lang w:val="en-US"/>
        </w:rPr>
        <w:t xml:space="preserve"> eV v</w:t>
      </w:r>
      <w:r>
        <w:rPr>
          <w:rStyle w:val="Fett"/>
          <w:rFonts w:asciiTheme="minorHAnsi" w:hAnsiTheme="minorHAnsi" w:cstheme="minorHAnsi"/>
          <w:b w:val="0"/>
          <w:bCs w:val="0"/>
          <w:color w:val="000000"/>
          <w:sz w:val="20"/>
          <w:szCs w:val="20"/>
          <w:lang w:val="en-US"/>
        </w:rPr>
        <w:t>s.</w:t>
      </w:r>
      <w:r w:rsidRPr="009F4801">
        <w:rPr>
          <w:rStyle w:val="Fett"/>
          <w:rFonts w:asciiTheme="minorHAnsi" w:hAnsiTheme="minorHAnsi" w:cstheme="minorHAnsi"/>
          <w:b w:val="0"/>
          <w:bCs w:val="0"/>
          <w:color w:val="000000"/>
          <w:sz w:val="20"/>
          <w:szCs w:val="20"/>
          <w:lang w:val="en-US"/>
        </w:rPr>
        <w:t xml:space="preserve"> </w:t>
      </w:r>
      <w:proofErr w:type="spellStart"/>
      <w:r w:rsidRPr="009F4801">
        <w:rPr>
          <w:rStyle w:val="Fett"/>
          <w:rFonts w:asciiTheme="minorHAnsi" w:hAnsiTheme="minorHAnsi" w:cstheme="minorHAnsi"/>
          <w:b w:val="0"/>
          <w:bCs w:val="0"/>
          <w:color w:val="000000"/>
          <w:sz w:val="20"/>
          <w:szCs w:val="20"/>
          <w:lang w:val="en-US"/>
        </w:rPr>
        <w:t>Sektkellerei</w:t>
      </w:r>
      <w:proofErr w:type="spellEnd"/>
      <w:r w:rsidRPr="009F4801">
        <w:rPr>
          <w:rStyle w:val="Fett"/>
          <w:rFonts w:asciiTheme="minorHAnsi" w:hAnsiTheme="minorHAnsi" w:cstheme="minorHAnsi"/>
          <w:b w:val="0"/>
          <w:bCs w:val="0"/>
          <w:color w:val="000000"/>
          <w:sz w:val="20"/>
          <w:szCs w:val="20"/>
          <w:lang w:val="en-US"/>
        </w:rPr>
        <w:t xml:space="preserve"> G.C. Kessler GmbH und Co, </w:t>
      </w:r>
      <w:hyperlink r:id="rId37" w:history="1">
        <w:r w:rsidRPr="009F4801">
          <w:rPr>
            <w:rStyle w:val="Hyperlink"/>
            <w:rFonts w:asciiTheme="minorHAnsi" w:hAnsiTheme="minorHAnsi" w:cstheme="minorHAnsi"/>
            <w:b/>
            <w:bCs/>
            <w:sz w:val="20"/>
            <w:szCs w:val="20"/>
            <w:lang w:val="en-US"/>
          </w:rPr>
          <w:t>Case C-303/97</w:t>
        </w:r>
      </w:hyperlink>
      <w:r w:rsidRPr="009F4801">
        <w:rPr>
          <w:rStyle w:val="Fett"/>
          <w:rFonts w:asciiTheme="minorHAnsi" w:hAnsiTheme="minorHAnsi" w:cstheme="minorHAnsi"/>
          <w:b w:val="0"/>
          <w:bCs w:val="0"/>
          <w:color w:val="000000"/>
          <w:sz w:val="20"/>
          <w:szCs w:val="20"/>
          <w:lang w:val="en-US"/>
        </w:rPr>
        <w:t>, para. 38.</w:t>
      </w:r>
    </w:p>
  </w:footnote>
  <w:footnote w:id="47">
    <w:p w14:paraId="533D4CE1" w14:textId="77777777" w:rsidR="00BC5DBA" w:rsidRPr="00300FBD" w:rsidRDefault="00BC5DBA">
      <w:pPr>
        <w:pStyle w:val="Funotentext"/>
        <w:rPr>
          <w:lang w:val="en-US"/>
        </w:rPr>
      </w:pPr>
      <w:r>
        <w:rPr>
          <w:rStyle w:val="Funotenzeichen"/>
        </w:rPr>
        <w:footnoteRef/>
      </w:r>
      <w:r w:rsidRPr="00300FBD">
        <w:rPr>
          <w:lang w:val="en-US"/>
        </w:rPr>
        <w:t xml:space="preserve"> </w:t>
      </w:r>
      <w:proofErr w:type="gramStart"/>
      <w:r w:rsidRPr="00300FBD">
        <w:rPr>
          <w:lang w:val="en-US"/>
        </w:rPr>
        <w:t>Regulation (EU) 2015/2283 of the European Parliament and of the Council of 25.11.2015.</w:t>
      </w:r>
      <w:proofErr w:type="gramEnd"/>
    </w:p>
  </w:footnote>
  <w:footnote w:id="48">
    <w:p w14:paraId="71BB3298" w14:textId="77777777" w:rsidR="00BC5DBA" w:rsidRDefault="00BC5DBA">
      <w:pPr>
        <w:pStyle w:val="Funotentext"/>
        <w:rPr>
          <w:lang w:val="en-US"/>
        </w:rPr>
      </w:pPr>
      <w:r>
        <w:rPr>
          <w:rStyle w:val="Funotenzeichen"/>
        </w:rPr>
        <w:footnoteRef/>
      </w:r>
      <w:r>
        <w:rPr>
          <w:lang w:val="en-US"/>
        </w:rPr>
        <w:t xml:space="preserve"> </w:t>
      </w:r>
      <w:proofErr w:type="gramStart"/>
      <w:r>
        <w:rPr>
          <w:lang w:val="en-US"/>
        </w:rPr>
        <w:t>see</w:t>
      </w:r>
      <w:proofErr w:type="gramEnd"/>
      <w:r>
        <w:rPr>
          <w:lang w:val="en-US"/>
        </w:rPr>
        <w:t xml:space="preserve"> also </w:t>
      </w:r>
      <w:proofErr w:type="spellStart"/>
      <w:r>
        <w:rPr>
          <w:lang w:val="en-US"/>
        </w:rPr>
        <w:t>Melchor</w:t>
      </w:r>
      <w:proofErr w:type="spellEnd"/>
      <w:r>
        <w:rPr>
          <w:lang w:val="en-US"/>
        </w:rPr>
        <w:t>/</w:t>
      </w:r>
      <w:proofErr w:type="spellStart"/>
      <w:r>
        <w:rPr>
          <w:lang w:val="en-US"/>
        </w:rPr>
        <w:t>Timmermanns</w:t>
      </w:r>
      <w:proofErr w:type="spellEnd"/>
      <w:r>
        <w:rPr>
          <w:lang w:val="en-US"/>
        </w:rPr>
        <w:t xml:space="preserve">, </w:t>
      </w:r>
      <w:r w:rsidRPr="00A103B9">
        <w:rPr>
          <w:lang w:val="en-US"/>
        </w:rPr>
        <w:t xml:space="preserve">"It is the dosage, </w:t>
      </w:r>
      <w:r>
        <w:rPr>
          <w:lang w:val="en-US"/>
        </w:rPr>
        <w:t>stupid": The ECJ clarifies the Border between Medicines and Botanical Food Supplements, EFFL 2009, 185, 191.</w:t>
      </w:r>
    </w:p>
  </w:footnote>
  <w:footnote w:id="49">
    <w:p w14:paraId="5725290A" w14:textId="77777777" w:rsidR="00BC5DBA" w:rsidRPr="00CB63DA" w:rsidRDefault="00BC5DBA" w:rsidP="00FA1566">
      <w:pPr>
        <w:pStyle w:val="Funotentext"/>
        <w:spacing w:line="300" w:lineRule="auto"/>
        <w:rPr>
          <w:rFonts w:asciiTheme="minorHAnsi" w:hAnsiTheme="minorHAnsi" w:cstheme="minorHAnsi"/>
          <w:lang w:val="fr-FR"/>
        </w:rPr>
      </w:pPr>
      <w:r w:rsidRPr="00384EC7">
        <w:rPr>
          <w:rStyle w:val="Funotenzeichen"/>
          <w:rFonts w:asciiTheme="minorHAnsi" w:hAnsiTheme="minorHAnsi" w:cstheme="minorHAnsi"/>
        </w:rPr>
        <w:footnoteRef/>
      </w:r>
      <w:r w:rsidRPr="00384EC7">
        <w:rPr>
          <w:rFonts w:asciiTheme="minorHAnsi" w:hAnsiTheme="minorHAnsi" w:cstheme="minorHAnsi"/>
          <w:lang w:val="it-IT"/>
        </w:rPr>
        <w:t xml:space="preserve"> Carlini, </w:t>
      </w:r>
      <w:proofErr w:type="gramStart"/>
      <w:r w:rsidRPr="00384EC7">
        <w:rPr>
          <w:rFonts w:asciiTheme="minorHAnsi" w:hAnsiTheme="minorHAnsi" w:cstheme="minorHAnsi"/>
          <w:lang w:val="it-IT"/>
        </w:rPr>
        <w:t>E.A.</w:t>
      </w:r>
      <w:proofErr w:type="gramEnd"/>
      <w:r w:rsidRPr="00384EC7">
        <w:rPr>
          <w:rFonts w:asciiTheme="minorHAnsi" w:hAnsiTheme="minorHAnsi" w:cstheme="minorHAnsi"/>
          <w:lang w:val="it-IT"/>
        </w:rPr>
        <w:t xml:space="preserve"> et al, </w:t>
      </w:r>
      <w:proofErr w:type="spellStart"/>
      <w:r w:rsidRPr="00384EC7">
        <w:rPr>
          <w:rFonts w:asciiTheme="minorHAnsi" w:hAnsiTheme="minorHAnsi" w:cstheme="minorHAnsi"/>
          <w:lang w:val="it-IT"/>
        </w:rPr>
        <w:t>Cienc</w:t>
      </w:r>
      <w:proofErr w:type="spellEnd"/>
      <w:r w:rsidRPr="00384EC7">
        <w:rPr>
          <w:rFonts w:asciiTheme="minorHAnsi" w:hAnsiTheme="minorHAnsi" w:cstheme="minorHAnsi"/>
          <w:lang w:val="it-IT"/>
        </w:rPr>
        <w:t xml:space="preserve">. </w:t>
      </w:r>
      <w:proofErr w:type="spellStart"/>
      <w:r w:rsidRPr="00CB63DA">
        <w:rPr>
          <w:rFonts w:asciiTheme="minorHAnsi" w:hAnsiTheme="minorHAnsi" w:cstheme="minorHAnsi"/>
          <w:lang w:val="fr-FR"/>
        </w:rPr>
        <w:t>Cult</w:t>
      </w:r>
      <w:proofErr w:type="spellEnd"/>
      <w:r w:rsidRPr="00CB63DA">
        <w:rPr>
          <w:rFonts w:asciiTheme="minorHAnsi" w:hAnsiTheme="minorHAnsi" w:cstheme="minorHAnsi"/>
          <w:b/>
          <w:lang w:val="fr-FR"/>
        </w:rPr>
        <w:t>. 1979</w:t>
      </w:r>
      <w:r w:rsidRPr="00CB63DA">
        <w:rPr>
          <w:rFonts w:asciiTheme="minorHAnsi" w:hAnsiTheme="minorHAnsi" w:cstheme="minorHAnsi"/>
          <w:lang w:val="fr-FR"/>
        </w:rPr>
        <w:t>, 31, 315-322 (</w:t>
      </w:r>
      <w:proofErr w:type="spellStart"/>
      <w:r w:rsidRPr="00CB63DA">
        <w:rPr>
          <w:rFonts w:asciiTheme="minorHAnsi" w:hAnsiTheme="minorHAnsi" w:cstheme="minorHAnsi"/>
          <w:lang w:val="fr-FR"/>
        </w:rPr>
        <w:t>portug</w:t>
      </w:r>
      <w:proofErr w:type="spellEnd"/>
      <w:r w:rsidRPr="00CB63DA">
        <w:rPr>
          <w:rFonts w:asciiTheme="minorHAnsi" w:hAnsiTheme="minorHAnsi" w:cstheme="minorHAnsi"/>
          <w:lang w:val="fr-FR"/>
        </w:rPr>
        <w:t>.).</w:t>
      </w:r>
    </w:p>
  </w:footnote>
  <w:footnote w:id="50">
    <w:p w14:paraId="47A451E1" w14:textId="77777777" w:rsidR="00BC5DBA" w:rsidRDefault="00BC5DBA" w:rsidP="00FA1566">
      <w:pPr>
        <w:pStyle w:val="Funotentext"/>
        <w:rPr>
          <w:lang w:val="en-GB"/>
        </w:rPr>
      </w:pPr>
      <w:r>
        <w:rPr>
          <w:rStyle w:val="Funotenzeichen"/>
        </w:rPr>
        <w:footnoteRef/>
      </w:r>
      <w:r w:rsidRPr="00CB63DA">
        <w:rPr>
          <w:lang w:val="fr-FR"/>
        </w:rPr>
        <w:t xml:space="preserve"> </w:t>
      </w:r>
      <w:proofErr w:type="spellStart"/>
      <w:r w:rsidRPr="00CB63DA">
        <w:rPr>
          <w:lang w:val="fr-FR"/>
        </w:rPr>
        <w:t>Millar</w:t>
      </w:r>
      <w:proofErr w:type="spellEnd"/>
      <w:r w:rsidRPr="00CB63DA">
        <w:rPr>
          <w:lang w:val="fr-FR"/>
        </w:rPr>
        <w:t xml:space="preserve">, S. A. et al. </w:t>
      </w:r>
      <w:proofErr w:type="gramStart"/>
      <w:r>
        <w:rPr>
          <w:lang w:val="en-GB"/>
        </w:rPr>
        <w:t xml:space="preserve">(2019), </w:t>
      </w:r>
      <w:r w:rsidRPr="008D024C">
        <w:rPr>
          <w:lang w:val="en-GB"/>
        </w:rPr>
        <w:t>A systematic review of cannabidiol dosing in clinical populations</w:t>
      </w:r>
      <w:r>
        <w:rPr>
          <w:lang w:val="en-GB"/>
        </w:rPr>
        <w:t xml:space="preserve">, Brit. </w:t>
      </w:r>
      <w:r w:rsidRPr="008D024C">
        <w:rPr>
          <w:lang w:val="en-GB"/>
        </w:rPr>
        <w:t>J</w:t>
      </w:r>
      <w:r>
        <w:rPr>
          <w:lang w:val="en-GB"/>
        </w:rPr>
        <w:t xml:space="preserve">. </w:t>
      </w:r>
      <w:proofErr w:type="spellStart"/>
      <w:r w:rsidRPr="008D024C">
        <w:rPr>
          <w:lang w:val="en-GB"/>
        </w:rPr>
        <w:t>Clin</w:t>
      </w:r>
      <w:proofErr w:type="spellEnd"/>
      <w:r>
        <w:rPr>
          <w:lang w:val="en-GB"/>
        </w:rPr>
        <w:t>.</w:t>
      </w:r>
      <w:proofErr w:type="gramEnd"/>
      <w:r>
        <w:rPr>
          <w:lang w:val="en-GB"/>
        </w:rPr>
        <w:t xml:space="preserve"> </w:t>
      </w:r>
      <w:proofErr w:type="gramStart"/>
      <w:r w:rsidRPr="008D024C">
        <w:rPr>
          <w:lang w:val="en-GB"/>
        </w:rPr>
        <w:t>Pha</w:t>
      </w:r>
      <w:r w:rsidRPr="008D024C">
        <w:rPr>
          <w:lang w:val="en-GB"/>
        </w:rPr>
        <w:t>r</w:t>
      </w:r>
      <w:r w:rsidRPr="008D024C">
        <w:rPr>
          <w:lang w:val="en-GB"/>
        </w:rPr>
        <w:t>macol.</w:t>
      </w:r>
      <w:proofErr w:type="gramEnd"/>
      <w:r w:rsidRPr="008D024C">
        <w:rPr>
          <w:lang w:val="en-GB"/>
        </w:rPr>
        <w:t xml:space="preserve"> 1-13</w:t>
      </w:r>
      <w:r>
        <w:rPr>
          <w:lang w:val="en-GB"/>
        </w:rPr>
        <w:t xml:space="preserve">, </w:t>
      </w:r>
      <w:r w:rsidRPr="008D024C">
        <w:rPr>
          <w:lang w:val="en-GB"/>
        </w:rPr>
        <w:t>DOI: 10.1111/bcp.14038</w:t>
      </w:r>
      <w:r>
        <w:rPr>
          <w:lang w:val="en-GB"/>
        </w:rPr>
        <w:t>.</w:t>
      </w:r>
    </w:p>
  </w:footnote>
  <w:footnote w:id="51">
    <w:p w14:paraId="05E5F823" w14:textId="75AD9EC0" w:rsidR="00BC5DBA" w:rsidRDefault="00BC5DBA" w:rsidP="00FA1566">
      <w:pPr>
        <w:pStyle w:val="Funotentext"/>
        <w:rPr>
          <w:lang w:val="en-GB"/>
        </w:rPr>
      </w:pPr>
      <w:r>
        <w:rPr>
          <w:rStyle w:val="Funotenzeichen"/>
        </w:rPr>
        <w:footnoteRef/>
      </w:r>
      <w:r>
        <w:rPr>
          <w:lang w:val="en-GB"/>
        </w:rPr>
        <w:t xml:space="preserve"> Australian Government, Department of Health, Therapeutic Goods Administration (TGA), Safety of low dose cannabidiol, Version 1.0, April 2020, Chapter: Dose range for therapeutic use, p. 9, </w:t>
      </w:r>
      <w:r>
        <w:rPr>
          <w:lang w:val="en-GB"/>
        </w:rPr>
        <w:br/>
      </w:r>
      <w:hyperlink r:id="rId38" w:history="1">
        <w:r w:rsidR="000A3D79" w:rsidRPr="003A064F">
          <w:rPr>
            <w:rStyle w:val="Hyperlink"/>
            <w:rFonts w:cstheme="minorBidi"/>
            <w:lang w:val="en-GB"/>
          </w:rPr>
          <w:t>https://www.tga.gov.au/sites/default/files/review-safety-low-dose-cannabidiol.pdf</w:t>
        </w:r>
      </w:hyperlink>
      <w:r w:rsidR="000A3D79">
        <w:rPr>
          <w:lang w:val="en-GB"/>
        </w:rPr>
        <w:t xml:space="preserve"> </w:t>
      </w:r>
    </w:p>
  </w:footnote>
  <w:footnote w:id="52">
    <w:p w14:paraId="626D108F" w14:textId="77E6729A" w:rsidR="00BC5DBA" w:rsidRPr="00CB63DA" w:rsidRDefault="00BC5DBA" w:rsidP="00FA1566">
      <w:pPr>
        <w:pStyle w:val="Funotentext"/>
        <w:rPr>
          <w:lang w:val="en-GB"/>
        </w:rPr>
      </w:pPr>
      <w:r>
        <w:rPr>
          <w:rStyle w:val="Funotenzeichen"/>
        </w:rPr>
        <w:footnoteRef/>
      </w:r>
      <w:r w:rsidRPr="00CB63DA">
        <w:rPr>
          <w:lang w:val="fr-FR"/>
        </w:rPr>
        <w:t xml:space="preserve"> Arnold, J. C. et al. </w:t>
      </w:r>
      <w:r>
        <w:rPr>
          <w:lang w:val="en-GB"/>
        </w:rPr>
        <w:t xml:space="preserve">(2023), </w:t>
      </w:r>
      <w:proofErr w:type="gramStart"/>
      <w:r w:rsidRPr="00AE4B93">
        <w:rPr>
          <w:lang w:val="en-GB"/>
        </w:rPr>
        <w:t>The</w:t>
      </w:r>
      <w:proofErr w:type="gramEnd"/>
      <w:r w:rsidRPr="00AE4B93">
        <w:rPr>
          <w:lang w:val="en-GB"/>
        </w:rPr>
        <w:t xml:space="preserve"> safety and efficacy of low oral doses of cannabidiol: An evaluation of the ev</w:t>
      </w:r>
      <w:r w:rsidRPr="00AE4B93">
        <w:rPr>
          <w:lang w:val="en-GB"/>
        </w:rPr>
        <w:t>i</w:t>
      </w:r>
      <w:r w:rsidRPr="00AE4B93">
        <w:rPr>
          <w:lang w:val="en-GB"/>
        </w:rPr>
        <w:t>dence</w:t>
      </w:r>
      <w:r>
        <w:rPr>
          <w:lang w:val="en-GB"/>
        </w:rPr>
        <w:t xml:space="preserve">, </w:t>
      </w:r>
      <w:proofErr w:type="spellStart"/>
      <w:r w:rsidRPr="00AE4B93">
        <w:rPr>
          <w:lang w:val="en-GB"/>
        </w:rPr>
        <w:t>Clin</w:t>
      </w:r>
      <w:proofErr w:type="spellEnd"/>
      <w:r>
        <w:rPr>
          <w:lang w:val="en-GB"/>
        </w:rPr>
        <w:t xml:space="preserve">. </w:t>
      </w:r>
      <w:r w:rsidRPr="00AE4B93">
        <w:rPr>
          <w:lang w:val="en-GB"/>
        </w:rPr>
        <w:t>Transl</w:t>
      </w:r>
      <w:r>
        <w:rPr>
          <w:lang w:val="en-GB"/>
        </w:rPr>
        <w:t xml:space="preserve">. </w:t>
      </w:r>
      <w:r w:rsidRPr="00CB63DA">
        <w:rPr>
          <w:lang w:val="en-GB"/>
        </w:rPr>
        <w:t>Sci.</w:t>
      </w:r>
      <w:proofErr w:type="gramStart"/>
      <w:r w:rsidRPr="00CB63DA">
        <w:rPr>
          <w:lang w:val="en-GB"/>
        </w:rPr>
        <w:t>;16:10</w:t>
      </w:r>
      <w:proofErr w:type="gramEnd"/>
      <w:r w:rsidRPr="00CB63DA">
        <w:rPr>
          <w:lang w:val="en-GB"/>
        </w:rPr>
        <w:t xml:space="preserve">-30, DOI: 10.1111/cts.13425, </w:t>
      </w:r>
      <w:hyperlink r:id="rId39" w:history="1">
        <w:r w:rsidR="000A3D79" w:rsidRPr="00CB63DA">
          <w:rPr>
            <w:rStyle w:val="Hyperlink"/>
            <w:rFonts w:cstheme="minorBidi"/>
            <w:lang w:val="en-GB"/>
          </w:rPr>
          <w:t>https://www.researchgate.net/publication/364389776_The_safety_and_efficacy_of_low_oral_doses_of_cannabidiol_An_evaluation_of_the_evidence</w:t>
        </w:r>
      </w:hyperlink>
      <w:r w:rsidRPr="00CB63DA">
        <w:rPr>
          <w:lang w:val="en-GB"/>
        </w:rPr>
        <w:t>.</w:t>
      </w:r>
      <w:r w:rsidR="000A3D79" w:rsidRPr="00CB63DA">
        <w:rPr>
          <w:lang w:val="en-GB"/>
        </w:rPr>
        <w:t xml:space="preserve"> </w:t>
      </w:r>
    </w:p>
  </w:footnote>
  <w:footnote w:id="53">
    <w:p w14:paraId="0D21207C" w14:textId="626B6117" w:rsidR="00BC5DBA" w:rsidRDefault="00BC5DBA" w:rsidP="00FA1566">
      <w:pPr>
        <w:pStyle w:val="Funotentext"/>
        <w:rPr>
          <w:lang w:val="en-GB"/>
        </w:rPr>
      </w:pPr>
      <w:r>
        <w:rPr>
          <w:rStyle w:val="Funotenzeichen"/>
        </w:rPr>
        <w:footnoteRef/>
      </w:r>
      <w:r w:rsidRPr="00384EC7">
        <w:rPr>
          <w:lang w:val="en-GB"/>
        </w:rPr>
        <w:t xml:space="preserve"> De Meijer, E. (1995), Fibre hemp </w:t>
      </w:r>
      <w:r>
        <w:rPr>
          <w:lang w:val="en-GB"/>
        </w:rPr>
        <w:t>cultivars</w:t>
      </w:r>
      <w:r w:rsidRPr="00384EC7">
        <w:rPr>
          <w:lang w:val="en-GB"/>
        </w:rPr>
        <w:t>: A survey of origin, ancestry, availability and brief agronomic cha</w:t>
      </w:r>
      <w:r w:rsidRPr="00384EC7">
        <w:rPr>
          <w:lang w:val="en-GB"/>
        </w:rPr>
        <w:t>r</w:t>
      </w:r>
      <w:r w:rsidRPr="00384EC7">
        <w:rPr>
          <w:lang w:val="en-GB"/>
        </w:rPr>
        <w:t>acteristics</w:t>
      </w:r>
      <w:r>
        <w:rPr>
          <w:lang w:val="en-GB"/>
        </w:rPr>
        <w:t xml:space="preserve">, </w:t>
      </w:r>
      <w:r w:rsidRPr="00DA041A">
        <w:rPr>
          <w:lang w:val="en-GB"/>
        </w:rPr>
        <w:t>Journal of the International Hemp Association 2(2): 66-73.</w:t>
      </w:r>
    </w:p>
  </w:footnote>
  <w:footnote w:id="54">
    <w:p w14:paraId="4AE7E30D" w14:textId="37F4CE1A" w:rsidR="00BC5DBA" w:rsidRDefault="00BC5DBA" w:rsidP="00FA1566">
      <w:pPr>
        <w:pStyle w:val="Funotentext"/>
        <w:rPr>
          <w:lang w:val="en-GB"/>
        </w:rPr>
      </w:pPr>
      <w:r>
        <w:rPr>
          <w:rStyle w:val="Funotenzeichen"/>
        </w:rPr>
        <w:footnoteRef/>
      </w:r>
      <w:r w:rsidRPr="00384EC7">
        <w:rPr>
          <w:lang w:val="en-GB"/>
        </w:rPr>
        <w:t xml:space="preserve"> </w:t>
      </w:r>
      <w:proofErr w:type="spellStart"/>
      <w:r w:rsidRPr="00384EC7">
        <w:rPr>
          <w:lang w:val="en-GB"/>
        </w:rPr>
        <w:t>Glivar</w:t>
      </w:r>
      <w:proofErr w:type="spellEnd"/>
      <w:r w:rsidRPr="00384EC7">
        <w:rPr>
          <w:lang w:val="en-GB"/>
        </w:rPr>
        <w:t xml:space="preserve"> et al. (2020), Cannabinoid content in industrial hemp (Cannabis sativa L.) varieties grown in Slovenia, </w:t>
      </w:r>
      <w:r>
        <w:rPr>
          <w:lang w:val="en-GB"/>
        </w:rPr>
        <w:t xml:space="preserve">Industrial Crops &amp; Products 145, 112082, </w:t>
      </w:r>
      <w:hyperlink r:id="rId40" w:history="1">
        <w:r w:rsidR="00F342FC" w:rsidRPr="003A064F">
          <w:rPr>
            <w:rStyle w:val="Hyperlink"/>
            <w:rFonts w:cstheme="minorBidi"/>
            <w:lang w:val="en-GB"/>
          </w:rPr>
          <w:t>https://doi.org/10.1016/j.indcrop.2019.112082</w:t>
        </w:r>
      </w:hyperlink>
      <w:r>
        <w:rPr>
          <w:lang w:val="en-GB"/>
        </w:rPr>
        <w:t>.</w:t>
      </w:r>
      <w:r w:rsidR="00F342FC">
        <w:rPr>
          <w:lang w:val="en-GB"/>
        </w:rPr>
        <w:t xml:space="preserve"> </w:t>
      </w:r>
    </w:p>
  </w:footnote>
  <w:footnote w:id="55">
    <w:p w14:paraId="3CFE57CB" w14:textId="77777777" w:rsidR="00BC5DBA" w:rsidRDefault="00BC5DBA" w:rsidP="00FA1566">
      <w:pPr>
        <w:pStyle w:val="Funotentext"/>
        <w:rPr>
          <w:lang w:val="en-GB"/>
        </w:rPr>
      </w:pPr>
      <w:r>
        <w:rPr>
          <w:rStyle w:val="Funotenzeichen"/>
        </w:rPr>
        <w:footnoteRef/>
      </w:r>
      <w:r w:rsidRPr="00BB2955">
        <w:rPr>
          <w:lang w:val="en-GB"/>
        </w:rPr>
        <w:t xml:space="preserve"> </w:t>
      </w:r>
      <w:proofErr w:type="spellStart"/>
      <w:r w:rsidRPr="00BB2955">
        <w:rPr>
          <w:lang w:val="en-GB"/>
        </w:rPr>
        <w:t>Hillig</w:t>
      </w:r>
      <w:proofErr w:type="spellEnd"/>
      <w:r w:rsidRPr="00BB2955">
        <w:rPr>
          <w:lang w:val="en-GB"/>
        </w:rPr>
        <w:t xml:space="preserve">, K. W. </w:t>
      </w:r>
      <w:r w:rsidRPr="00384EC7">
        <w:rPr>
          <w:lang w:val="en-GB"/>
        </w:rPr>
        <w:t xml:space="preserve">and </w:t>
      </w:r>
      <w:proofErr w:type="spellStart"/>
      <w:r w:rsidRPr="00384EC7">
        <w:rPr>
          <w:lang w:val="en-GB"/>
        </w:rPr>
        <w:t>Mahlberg</w:t>
      </w:r>
      <w:proofErr w:type="spellEnd"/>
      <w:r w:rsidRPr="00384EC7">
        <w:rPr>
          <w:lang w:val="en-GB"/>
        </w:rPr>
        <w:t xml:space="preserve">, P. G. (2004), A CHEMOTAXONOMIC ANALYSIS OF </w:t>
      </w:r>
      <w:r>
        <w:rPr>
          <w:lang w:val="en-GB"/>
        </w:rPr>
        <w:t xml:space="preserve">CANNABINOID </w:t>
      </w:r>
      <w:r w:rsidRPr="00384EC7">
        <w:rPr>
          <w:lang w:val="en-GB"/>
        </w:rPr>
        <w:t>VARIATION IN CANNABIS (CANNABACEAE)</w:t>
      </w:r>
      <w:r>
        <w:rPr>
          <w:lang w:val="en-GB"/>
        </w:rPr>
        <w:t xml:space="preserve">, </w:t>
      </w:r>
      <w:r w:rsidRPr="00624A90">
        <w:rPr>
          <w:lang w:val="en-GB"/>
        </w:rPr>
        <w:t>American Journal of Botany 91(6): 966-975.</w:t>
      </w:r>
    </w:p>
  </w:footnote>
  <w:footnote w:id="56">
    <w:p w14:paraId="047ADA12" w14:textId="77777777" w:rsidR="00BC5DBA" w:rsidRDefault="00BC5DBA" w:rsidP="00FA1566">
      <w:pPr>
        <w:pStyle w:val="Funotentext"/>
        <w:rPr>
          <w:lang w:val="en-GB"/>
        </w:rPr>
      </w:pPr>
      <w:r>
        <w:rPr>
          <w:rStyle w:val="Funotenzeichen"/>
        </w:rPr>
        <w:footnoteRef/>
      </w:r>
      <w:r w:rsidRPr="00CB63DA">
        <w:rPr>
          <w:lang w:val="fr-FR"/>
        </w:rPr>
        <w:t xml:space="preserve"> Ibrahim, E. A. et al. </w:t>
      </w:r>
      <w:r w:rsidRPr="00384EC7">
        <w:rPr>
          <w:lang w:val="en-GB"/>
        </w:rPr>
        <w:t>(2018), Determination of Acid and Neutral Cannabinoids in Extracts of Different Strains of Cannabis sativa Using GC-FID</w:t>
      </w:r>
      <w:r>
        <w:rPr>
          <w:lang w:val="en-GB"/>
        </w:rPr>
        <w:t xml:space="preserve">, Planta Med. 84, 250-9, </w:t>
      </w:r>
    </w:p>
  </w:footnote>
  <w:footnote w:id="57">
    <w:p w14:paraId="780C976A" w14:textId="16AB7D98" w:rsidR="00BC5DBA" w:rsidRDefault="00BC5DBA" w:rsidP="00FA1566">
      <w:pPr>
        <w:pStyle w:val="Funotentext"/>
        <w:rPr>
          <w:lang w:val="en-GB"/>
        </w:rPr>
      </w:pPr>
      <w:r>
        <w:rPr>
          <w:rStyle w:val="Funotenzeichen"/>
        </w:rPr>
        <w:footnoteRef/>
      </w:r>
      <w:r w:rsidRPr="00CB63DA">
        <w:rPr>
          <w:lang w:val="fr-FR"/>
        </w:rPr>
        <w:t xml:space="preserve"> </w:t>
      </w:r>
      <w:proofErr w:type="spellStart"/>
      <w:r w:rsidRPr="00CB63DA">
        <w:rPr>
          <w:lang w:val="fr-FR"/>
        </w:rPr>
        <w:t>Lalge</w:t>
      </w:r>
      <w:proofErr w:type="spellEnd"/>
      <w:r w:rsidRPr="00CB63DA">
        <w:rPr>
          <w:lang w:val="fr-FR"/>
        </w:rPr>
        <w:t xml:space="preserve">, A. B. et al. </w:t>
      </w:r>
      <w:proofErr w:type="gramStart"/>
      <w:r w:rsidRPr="00384EC7">
        <w:rPr>
          <w:lang w:val="en-GB"/>
        </w:rPr>
        <w:t>(</w:t>
      </w:r>
      <w:r>
        <w:rPr>
          <w:lang w:val="en-GB"/>
        </w:rPr>
        <w:t>2016</w:t>
      </w:r>
      <w:r w:rsidRPr="00384EC7">
        <w:rPr>
          <w:lang w:val="en-GB"/>
        </w:rPr>
        <w:t xml:space="preserve">), GC-FID ANALYSIS OF FOOD SAMPLES MADE OF </w:t>
      </w:r>
      <w:r w:rsidR="00425D1A" w:rsidRPr="00384EC7">
        <w:rPr>
          <w:lang w:val="en-GB"/>
        </w:rPr>
        <w:t>HEMP,</w:t>
      </w:r>
      <w:r>
        <w:rPr>
          <w:lang w:val="en-GB"/>
        </w:rPr>
        <w:t xml:space="preserve"> Conference Paper, </w:t>
      </w:r>
      <w:proofErr w:type="spellStart"/>
      <w:r>
        <w:rPr>
          <w:lang w:val="en-GB"/>
        </w:rPr>
        <w:t>Me</w:t>
      </w:r>
      <w:r>
        <w:rPr>
          <w:lang w:val="en-GB"/>
        </w:rPr>
        <w:t>n</w:t>
      </w:r>
      <w:r>
        <w:rPr>
          <w:lang w:val="en-GB"/>
        </w:rPr>
        <w:t>delNet</w:t>
      </w:r>
      <w:proofErr w:type="spellEnd"/>
      <w:r>
        <w:rPr>
          <w:lang w:val="en-GB"/>
        </w:rPr>
        <w:t xml:space="preserve">, </w:t>
      </w:r>
      <w:hyperlink r:id="rId41" w:history="1">
        <w:r w:rsidR="00F342FC" w:rsidRPr="003A064F">
          <w:rPr>
            <w:rStyle w:val="Hyperlink"/>
            <w:rFonts w:cstheme="minorBidi"/>
            <w:lang w:val="en-GB"/>
          </w:rPr>
          <w:t>https://www.researchgate.net/publication/309772591</w:t>
        </w:r>
      </w:hyperlink>
      <w:r>
        <w:rPr>
          <w:lang w:val="en-GB"/>
        </w:rPr>
        <w:t>.</w:t>
      </w:r>
      <w:proofErr w:type="gramEnd"/>
      <w:r w:rsidR="00F342FC">
        <w:rPr>
          <w:lang w:val="en-GB"/>
        </w:rPr>
        <w:t xml:space="preserve"> </w:t>
      </w:r>
    </w:p>
  </w:footnote>
  <w:footnote w:id="58">
    <w:p w14:paraId="1619A42A" w14:textId="6C317766" w:rsidR="00BC5DBA" w:rsidRPr="00CB63DA" w:rsidRDefault="00BC5DBA" w:rsidP="00FA1566">
      <w:pPr>
        <w:pStyle w:val="Funotentext"/>
        <w:rPr>
          <w:rFonts w:asciiTheme="minorHAnsi" w:hAnsiTheme="minorHAnsi" w:cstheme="minorHAnsi"/>
          <w:lang w:val="it-IT"/>
        </w:rPr>
      </w:pPr>
      <w:r>
        <w:rPr>
          <w:rStyle w:val="Funotenzeichen"/>
        </w:rPr>
        <w:footnoteRef/>
      </w:r>
      <w:r w:rsidRPr="00384EC7">
        <w:rPr>
          <w:lang w:val="en-GB"/>
        </w:rPr>
        <w:t xml:space="preserve"> </w:t>
      </w:r>
      <w:proofErr w:type="spellStart"/>
      <w:r w:rsidRPr="00384EC7">
        <w:rPr>
          <w:lang w:val="en-GB"/>
        </w:rPr>
        <w:t>Citti</w:t>
      </w:r>
      <w:proofErr w:type="spellEnd"/>
      <w:r w:rsidRPr="00384EC7">
        <w:rPr>
          <w:lang w:val="en-GB"/>
        </w:rPr>
        <w:t xml:space="preserve">, C. et al. (2018), Analysis of cannabinoids in commercial hemp seed oil and decarboxylation kinetics </w:t>
      </w:r>
      <w:r w:rsidRPr="00384EC7">
        <w:rPr>
          <w:rFonts w:asciiTheme="minorHAnsi" w:hAnsiTheme="minorHAnsi" w:cstheme="minorHAnsi"/>
          <w:lang w:val="en-GB"/>
        </w:rPr>
        <w:t xml:space="preserve">studies of cannabidiolic acid (CBDA), J. Pharm. </w:t>
      </w:r>
      <w:r w:rsidRPr="0013322F">
        <w:rPr>
          <w:rFonts w:asciiTheme="minorHAnsi" w:hAnsiTheme="minorHAnsi" w:cstheme="minorHAnsi"/>
          <w:lang w:val="en-US"/>
        </w:rPr>
        <w:t xml:space="preserve">Biomed. </w:t>
      </w:r>
      <w:proofErr w:type="spellStart"/>
      <w:r w:rsidRPr="00CB63DA">
        <w:rPr>
          <w:rFonts w:asciiTheme="minorHAnsi" w:hAnsiTheme="minorHAnsi" w:cstheme="minorHAnsi"/>
          <w:lang w:val="it-IT"/>
        </w:rPr>
        <w:t>Anal</w:t>
      </w:r>
      <w:proofErr w:type="spellEnd"/>
      <w:r w:rsidRPr="00CB63DA">
        <w:rPr>
          <w:rFonts w:asciiTheme="minorHAnsi" w:hAnsiTheme="minorHAnsi" w:cstheme="minorHAnsi"/>
          <w:lang w:val="it-IT"/>
        </w:rPr>
        <w:t xml:space="preserve">. 149, 532-40, </w:t>
      </w:r>
      <w:hyperlink r:id="rId42" w:history="1">
        <w:r w:rsidR="00F342FC" w:rsidRPr="00CB63DA">
          <w:rPr>
            <w:rStyle w:val="Hyperlink"/>
            <w:rFonts w:cstheme="minorHAnsi"/>
            <w:lang w:val="it-IT"/>
          </w:rPr>
          <w:t>https://doi.org/10.1016/j.jpba.2017.11.044</w:t>
        </w:r>
      </w:hyperlink>
      <w:r w:rsidR="00F342FC">
        <w:rPr>
          <w:rFonts w:asciiTheme="minorHAnsi" w:hAnsiTheme="minorHAnsi" w:cstheme="minorHAnsi"/>
          <w:lang w:val="it-IT"/>
        </w:rPr>
        <w:t xml:space="preserve"> </w:t>
      </w:r>
    </w:p>
  </w:footnote>
  <w:footnote w:id="59">
    <w:p w14:paraId="70BB8D09" w14:textId="40BE64CA" w:rsidR="00BC5DBA" w:rsidRDefault="00BC5DBA" w:rsidP="00FA1566">
      <w:pPr>
        <w:pStyle w:val="Funotentext"/>
        <w:rPr>
          <w:lang w:val="en-GB"/>
        </w:rPr>
      </w:pPr>
      <w:r>
        <w:rPr>
          <w:rStyle w:val="Funotenzeichen"/>
        </w:rPr>
        <w:footnoteRef/>
      </w:r>
      <w:r w:rsidRPr="00CB63DA">
        <w:rPr>
          <w:lang w:val="it-IT"/>
        </w:rPr>
        <w:t xml:space="preserve"> Izzo, L. et al. </w:t>
      </w:r>
      <w:r w:rsidRPr="00384EC7">
        <w:rPr>
          <w:lang w:val="en-GB"/>
        </w:rPr>
        <w:t xml:space="preserve">(2020), Chemical Analysis of Minor Bioactive </w:t>
      </w:r>
      <w:proofErr w:type="gramStart"/>
      <w:r w:rsidRPr="00384EC7">
        <w:rPr>
          <w:lang w:val="en-GB"/>
        </w:rPr>
        <w:t>Components</w:t>
      </w:r>
      <w:proofErr w:type="gramEnd"/>
      <w:r w:rsidRPr="00384EC7">
        <w:rPr>
          <w:lang w:val="en-GB"/>
        </w:rPr>
        <w:t xml:space="preserve"> and Cannabidiolic </w:t>
      </w:r>
      <w:r>
        <w:rPr>
          <w:lang w:val="en-GB"/>
        </w:rPr>
        <w:t>Acid</w:t>
      </w:r>
      <w:r w:rsidRPr="00384EC7">
        <w:rPr>
          <w:lang w:val="en-GB"/>
        </w:rPr>
        <w:t xml:space="preserve"> in Commercial Hemp Seed Oil, </w:t>
      </w:r>
      <w:r w:rsidRPr="00781752">
        <w:rPr>
          <w:lang w:val="en-GB"/>
        </w:rPr>
        <w:t>Molecules 2020, 25, 3710; doi:10.3390/molecules25163710.</w:t>
      </w:r>
      <w:r w:rsidR="00F342FC">
        <w:rPr>
          <w:lang w:val="en-GB"/>
        </w:rPr>
        <w:t xml:space="preserve"> </w:t>
      </w:r>
    </w:p>
  </w:footnote>
  <w:footnote w:id="60">
    <w:p w14:paraId="661E91CC" w14:textId="77777777" w:rsidR="00BC5DBA" w:rsidRPr="0013322F" w:rsidRDefault="00BC5DBA" w:rsidP="00FA1566">
      <w:pPr>
        <w:pStyle w:val="Funotentext"/>
        <w:rPr>
          <w:rFonts w:asciiTheme="minorHAnsi" w:hAnsiTheme="minorHAnsi" w:cstheme="minorHAnsi"/>
          <w:lang w:val="en-US"/>
        </w:rPr>
      </w:pPr>
      <w:r w:rsidRPr="00384EC7">
        <w:rPr>
          <w:rStyle w:val="Funotenzeichen"/>
          <w:rFonts w:asciiTheme="minorHAnsi" w:hAnsiTheme="minorHAnsi" w:cstheme="minorHAnsi"/>
        </w:rPr>
        <w:footnoteRef/>
      </w:r>
      <w:r w:rsidRPr="0013322F">
        <w:rPr>
          <w:rFonts w:asciiTheme="minorHAnsi" w:hAnsiTheme="minorHAnsi" w:cstheme="minorHAnsi"/>
          <w:lang w:val="en-US"/>
        </w:rPr>
        <w:t xml:space="preserve"> http://www.dupetit.eu/, retrieved 2017-01-17 and 2017-11-26.</w:t>
      </w:r>
    </w:p>
  </w:footnote>
  <w:footnote w:id="61">
    <w:p w14:paraId="729EF9A9" w14:textId="7718ECF1" w:rsidR="00777250" w:rsidRPr="00E21AE8" w:rsidRDefault="00777250">
      <w:pPr>
        <w:pStyle w:val="Funotentext"/>
        <w:rPr>
          <w:lang w:val="en-GB"/>
        </w:rPr>
      </w:pPr>
      <w:r>
        <w:rPr>
          <w:rStyle w:val="Funotenzeichen"/>
        </w:rPr>
        <w:footnoteRef/>
      </w:r>
      <w:r>
        <w:rPr>
          <w:lang w:val="en-GB"/>
        </w:rPr>
        <w:t xml:space="preserve"> </w:t>
      </w:r>
      <w:hyperlink r:id="rId43" w:history="1">
        <w:r w:rsidR="00CC791A" w:rsidRPr="004908D2">
          <w:rPr>
            <w:rStyle w:val="Hyperlink"/>
            <w:rFonts w:cstheme="minorBidi"/>
            <w:lang w:val="en-GB"/>
          </w:rPr>
          <w:t>http://www.cannabia.de/english/page1.html</w:t>
        </w:r>
      </w:hyperlink>
      <w:r w:rsidR="00CC791A">
        <w:rPr>
          <w:lang w:val="en-GB"/>
        </w:rPr>
        <w:t>, accessed 03.10.2023.</w:t>
      </w:r>
    </w:p>
  </w:footnote>
  <w:footnote w:id="62">
    <w:p w14:paraId="3DCC1EF1" w14:textId="77777777" w:rsidR="00BC5DBA" w:rsidRDefault="00BC5DBA" w:rsidP="00FA1566">
      <w:pPr>
        <w:pStyle w:val="Funotentext"/>
        <w:rPr>
          <w:lang w:val="nb-NO"/>
        </w:rPr>
      </w:pPr>
      <w:r>
        <w:rPr>
          <w:rStyle w:val="Funotenzeichen"/>
        </w:rPr>
        <w:footnoteRef/>
      </w:r>
      <w:r w:rsidRPr="0005608A">
        <w:rPr>
          <w:lang w:val="nb-NO"/>
        </w:rPr>
        <w:t xml:space="preserve"> http://www.hanf-magazin.com/nutzhanf/lebensmittel-aus-hanf/die-tradition-des-hanfbieres/, Author: Heike Leonhardt, 05.05.2015</w:t>
      </w:r>
    </w:p>
  </w:footnote>
  <w:footnote w:id="63">
    <w:p w14:paraId="5ACBE99A" w14:textId="60A7744E" w:rsidR="00BC5DBA" w:rsidRPr="0013322F" w:rsidRDefault="00BC5DBA" w:rsidP="00FA1566">
      <w:pPr>
        <w:pStyle w:val="Funotentext"/>
        <w:rPr>
          <w:rFonts w:asciiTheme="minorHAnsi" w:hAnsiTheme="minorHAnsi" w:cstheme="minorHAnsi"/>
          <w:lang w:val="en-US"/>
        </w:rPr>
      </w:pPr>
      <w:r w:rsidRPr="00384EC7">
        <w:rPr>
          <w:rStyle w:val="Funotenzeichen"/>
          <w:rFonts w:asciiTheme="minorHAnsi" w:hAnsiTheme="minorHAnsi" w:cstheme="minorHAnsi"/>
        </w:rPr>
        <w:footnoteRef/>
      </w:r>
      <w:r>
        <w:rPr>
          <w:rFonts w:asciiTheme="minorHAnsi" w:hAnsiTheme="minorHAnsi" w:cstheme="minorHAnsi"/>
          <w:lang w:val="en-US"/>
        </w:rPr>
        <w:t xml:space="preserve"> </w:t>
      </w:r>
      <w:r w:rsidRPr="0013322F">
        <w:rPr>
          <w:rFonts w:asciiTheme="minorHAnsi" w:hAnsiTheme="minorHAnsi" w:cstheme="minorHAnsi"/>
          <w:lang w:val="en-US"/>
        </w:rPr>
        <w:t>Lachenmeier,</w:t>
      </w:r>
      <w:r>
        <w:rPr>
          <w:rFonts w:asciiTheme="minorHAnsi" w:hAnsiTheme="minorHAnsi" w:cstheme="minorHAnsi"/>
          <w:lang w:val="en-US"/>
        </w:rPr>
        <w:t xml:space="preserve"> D. W.,</w:t>
      </w:r>
      <w:r w:rsidRPr="0013322F">
        <w:rPr>
          <w:rFonts w:asciiTheme="minorHAnsi" w:hAnsiTheme="minorHAnsi" w:cstheme="minorHAnsi"/>
          <w:lang w:val="en-US"/>
        </w:rPr>
        <w:t xml:space="preserve"> </w:t>
      </w:r>
      <w:proofErr w:type="spellStart"/>
      <w:r w:rsidR="002E1B4D">
        <w:rPr>
          <w:rFonts w:asciiTheme="minorHAnsi" w:hAnsiTheme="minorHAnsi" w:cstheme="minorHAnsi"/>
          <w:lang w:val="en-US"/>
        </w:rPr>
        <w:t>Walch</w:t>
      </w:r>
      <w:proofErr w:type="spellEnd"/>
      <w:r w:rsidR="002E1B4D">
        <w:rPr>
          <w:rFonts w:asciiTheme="minorHAnsi" w:hAnsiTheme="minorHAnsi" w:cstheme="minorHAnsi"/>
          <w:lang w:val="en-US"/>
        </w:rPr>
        <w:t xml:space="preserve">, S. G., (2005), </w:t>
      </w:r>
      <w:r w:rsidR="002E1B4D" w:rsidRPr="00E21AE8">
        <w:rPr>
          <w:lang w:val="en-GB"/>
        </w:rPr>
        <w:t>Current Status of THC in German Hemp Food Products</w:t>
      </w:r>
      <w:r w:rsidR="002E1B4D">
        <w:rPr>
          <w:lang w:val="en-GB"/>
        </w:rPr>
        <w:t xml:space="preserve">, </w:t>
      </w:r>
      <w:hyperlink r:id="rId44" w:history="1">
        <w:r w:rsidR="002E1B4D" w:rsidRPr="00E21AE8">
          <w:rPr>
            <w:rStyle w:val="Hyperlink"/>
            <w:lang w:val="en-GB"/>
          </w:rPr>
          <w:t>Journal of Industrial Hemp</w:t>
        </w:r>
      </w:hyperlink>
      <w:r w:rsidR="002E1B4D" w:rsidRPr="00E21AE8">
        <w:rPr>
          <w:lang w:val="en-GB"/>
        </w:rPr>
        <w:t xml:space="preserve"> 10(2):5-17</w:t>
      </w:r>
      <w:r w:rsidR="002E1B4D">
        <w:rPr>
          <w:lang w:val="en-GB"/>
        </w:rPr>
        <w:t xml:space="preserve">, </w:t>
      </w:r>
      <w:r w:rsidR="002E1B4D" w:rsidRPr="002E1B4D">
        <w:rPr>
          <w:lang w:val="en-GB"/>
        </w:rPr>
        <w:t>DOI: 10.1300/J237v10n02_02</w:t>
      </w:r>
      <w:r w:rsidR="002E1B4D">
        <w:rPr>
          <w:lang w:val="en-GB"/>
        </w:rPr>
        <w:t xml:space="preserve">. </w:t>
      </w:r>
      <w:r w:rsidR="002E1B4D">
        <w:rPr>
          <w:rFonts w:asciiTheme="minorHAnsi" w:hAnsiTheme="minorHAnsi" w:cstheme="minorHAnsi"/>
          <w:lang w:val="en-US"/>
        </w:rPr>
        <w:br/>
      </w:r>
      <w:r w:rsidRPr="00E43D77">
        <w:rPr>
          <w:rFonts w:asciiTheme="minorHAnsi" w:hAnsiTheme="minorHAnsi" w:cstheme="minorHAnsi"/>
        </w:rPr>
        <w:t>CVUA Karlsruhe, Hemp-</w:t>
      </w:r>
      <w:proofErr w:type="spellStart"/>
      <w:r w:rsidRPr="00E43D77">
        <w:rPr>
          <w:rFonts w:asciiTheme="minorHAnsi" w:hAnsiTheme="minorHAnsi" w:cstheme="minorHAnsi"/>
        </w:rPr>
        <w:t>containing</w:t>
      </w:r>
      <w:proofErr w:type="spellEnd"/>
      <w:r w:rsidRPr="00E43D77">
        <w:rPr>
          <w:rFonts w:asciiTheme="minorHAnsi" w:hAnsiTheme="minorHAnsi" w:cstheme="minorHAnsi"/>
        </w:rPr>
        <w:t xml:space="preserve"> </w:t>
      </w:r>
      <w:proofErr w:type="spellStart"/>
      <w:r w:rsidRPr="00E43D77">
        <w:rPr>
          <w:rFonts w:asciiTheme="minorHAnsi" w:hAnsiTheme="minorHAnsi" w:cstheme="minorHAnsi"/>
        </w:rPr>
        <w:t>foodstuffs</w:t>
      </w:r>
      <w:proofErr w:type="spellEnd"/>
      <w:r w:rsidRPr="00E43D77">
        <w:rPr>
          <w:rFonts w:asciiTheme="minorHAnsi" w:hAnsiTheme="minorHAnsi" w:cstheme="minorHAnsi"/>
        </w:rPr>
        <w:t xml:space="preserve"> - a </w:t>
      </w:r>
      <w:proofErr w:type="spellStart"/>
      <w:r w:rsidRPr="00E43D77">
        <w:rPr>
          <w:rFonts w:asciiTheme="minorHAnsi" w:hAnsiTheme="minorHAnsi" w:cstheme="minorHAnsi"/>
        </w:rPr>
        <w:t>problem</w:t>
      </w:r>
      <w:proofErr w:type="spellEnd"/>
      <w:r w:rsidRPr="00E43D77">
        <w:rPr>
          <w:rFonts w:asciiTheme="minorHAnsi" w:hAnsiTheme="minorHAnsi" w:cstheme="minorHAnsi"/>
        </w:rPr>
        <w:t xml:space="preserve">? </w:t>
      </w:r>
      <w:r w:rsidRPr="00384EC7">
        <w:rPr>
          <w:rFonts w:asciiTheme="minorHAnsi" w:hAnsiTheme="minorHAnsi" w:cstheme="minorHAnsi"/>
        </w:rPr>
        <w:t>Deutsche Lebensmittelrundschau 2004 (100), 12, 481-490</w:t>
      </w:r>
      <w:r>
        <w:rPr>
          <w:rFonts w:asciiTheme="minorHAnsi" w:hAnsiTheme="minorHAnsi" w:cstheme="minorHAnsi"/>
        </w:rPr>
        <w:t xml:space="preserve">; </w:t>
      </w:r>
      <w:proofErr w:type="spellStart"/>
      <w:r w:rsidRPr="00384EC7">
        <w:rPr>
          <w:rFonts w:asciiTheme="minorHAnsi" w:hAnsiTheme="minorHAnsi" w:cstheme="minorHAnsi"/>
        </w:rPr>
        <w:t>citation</w:t>
      </w:r>
      <w:proofErr w:type="spellEnd"/>
      <w:r w:rsidRPr="00384EC7">
        <w:rPr>
          <w:rFonts w:asciiTheme="minorHAnsi" w:hAnsiTheme="minorHAnsi" w:cstheme="minorHAnsi"/>
        </w:rPr>
        <w:t xml:space="preserve"> 76: Hupf, H., H. Gerstenberg, H. Zeitler: "Nutzhanf-Drinks". </w:t>
      </w:r>
      <w:proofErr w:type="gramStart"/>
      <w:r w:rsidRPr="0013322F">
        <w:rPr>
          <w:rFonts w:asciiTheme="minorHAnsi" w:hAnsiTheme="minorHAnsi" w:cstheme="minorHAnsi"/>
          <w:lang w:val="en-US"/>
        </w:rPr>
        <w:t>On the question of the food pro</w:t>
      </w:r>
      <w:r w:rsidRPr="0013322F">
        <w:rPr>
          <w:rFonts w:asciiTheme="minorHAnsi" w:hAnsiTheme="minorHAnsi" w:cstheme="minorHAnsi"/>
          <w:lang w:val="en-US"/>
        </w:rPr>
        <w:t>p</w:t>
      </w:r>
      <w:r w:rsidRPr="0013322F">
        <w:rPr>
          <w:rFonts w:asciiTheme="minorHAnsi" w:hAnsiTheme="minorHAnsi" w:cstheme="minorHAnsi"/>
          <w:lang w:val="en-US"/>
        </w:rPr>
        <w:t>erty (enjoyment value) and the legal classification of useful hemp.</w:t>
      </w:r>
      <w:proofErr w:type="gram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Brauwelt</w:t>
      </w:r>
      <w:proofErr w:type="spellEnd"/>
      <w:r w:rsidRPr="0013322F">
        <w:rPr>
          <w:rFonts w:asciiTheme="minorHAnsi" w:hAnsiTheme="minorHAnsi" w:cstheme="minorHAnsi"/>
          <w:lang w:val="en-US"/>
        </w:rPr>
        <w:t xml:space="preserve"> </w:t>
      </w:r>
      <w:r w:rsidRPr="0013322F">
        <w:rPr>
          <w:rFonts w:asciiTheme="minorHAnsi" w:hAnsiTheme="minorHAnsi" w:cstheme="minorHAnsi"/>
          <w:i/>
          <w:lang w:val="en-US"/>
        </w:rPr>
        <w:t>137</w:t>
      </w:r>
      <w:r w:rsidRPr="0013322F">
        <w:rPr>
          <w:rFonts w:asciiTheme="minorHAnsi" w:hAnsiTheme="minorHAnsi" w:cstheme="minorHAnsi"/>
          <w:lang w:val="en-US"/>
        </w:rPr>
        <w:t xml:space="preserve">, 2119-2123 </w:t>
      </w:r>
      <w:r w:rsidRPr="0013322F">
        <w:rPr>
          <w:rFonts w:asciiTheme="minorHAnsi" w:hAnsiTheme="minorHAnsi" w:cstheme="minorHAnsi"/>
          <w:b/>
          <w:lang w:val="en-US"/>
        </w:rPr>
        <w:t>(1997</w:t>
      </w:r>
      <w:r w:rsidRPr="0013322F">
        <w:rPr>
          <w:rFonts w:asciiTheme="minorHAnsi" w:hAnsiTheme="minorHAnsi" w:cstheme="minorHAnsi"/>
          <w:lang w:val="en-US"/>
        </w:rPr>
        <w:t xml:space="preserve">); citation 77: </w:t>
      </w:r>
      <w:proofErr w:type="spellStart"/>
      <w:r w:rsidRPr="0013322F">
        <w:rPr>
          <w:rFonts w:asciiTheme="minorHAnsi" w:hAnsiTheme="minorHAnsi" w:cstheme="minorHAnsi"/>
          <w:lang w:val="en-US"/>
        </w:rPr>
        <w:t>Taschan</w:t>
      </w:r>
      <w:proofErr w:type="spellEnd"/>
      <w:r w:rsidRPr="0013322F">
        <w:rPr>
          <w:rFonts w:asciiTheme="minorHAnsi" w:hAnsiTheme="minorHAnsi" w:cstheme="minorHAnsi"/>
          <w:lang w:val="en-US"/>
        </w:rPr>
        <w:t>, H</w:t>
      </w:r>
      <w:proofErr w:type="gramStart"/>
      <w:r w:rsidRPr="0013322F">
        <w:rPr>
          <w:rFonts w:asciiTheme="minorHAnsi" w:hAnsiTheme="minorHAnsi" w:cstheme="minorHAnsi"/>
          <w:lang w:val="en-US"/>
        </w:rPr>
        <w:t>. :</w:t>
      </w:r>
      <w:proofErr w:type="gramEnd"/>
      <w:r w:rsidRPr="0013322F">
        <w:rPr>
          <w:rFonts w:asciiTheme="minorHAnsi" w:hAnsiTheme="minorHAnsi" w:cstheme="minorHAnsi"/>
          <w:lang w:val="en-US"/>
        </w:rPr>
        <w:t xml:space="preserve"> Hemp-containing foods: psychedelic foods, novel foods or </w:t>
      </w:r>
      <w:r w:rsidR="00425D1A" w:rsidRPr="0013322F">
        <w:rPr>
          <w:rFonts w:asciiTheme="minorHAnsi" w:hAnsiTheme="minorHAnsi" w:cstheme="minorHAnsi"/>
          <w:lang w:val="en-US"/>
        </w:rPr>
        <w:t>intoxicants?</w:t>
      </w:r>
      <w:r w:rsidRPr="0013322F">
        <w:rPr>
          <w:rFonts w:asciiTheme="minorHAnsi" w:hAnsiTheme="minorHAnsi" w:cstheme="minorHAnsi"/>
          <w:lang w:val="en-US"/>
        </w:rPr>
        <w:t xml:space="preserve"> </w:t>
      </w:r>
      <w:proofErr w:type="gramStart"/>
      <w:r w:rsidRPr="0013322F">
        <w:rPr>
          <w:rFonts w:asciiTheme="minorHAnsi" w:hAnsiTheme="minorHAnsi" w:cstheme="minorHAnsi"/>
          <w:lang w:val="en-US"/>
        </w:rPr>
        <w:t xml:space="preserve">Consumer Service </w:t>
      </w:r>
      <w:r w:rsidRPr="0013322F">
        <w:rPr>
          <w:rFonts w:asciiTheme="minorHAnsi" w:hAnsiTheme="minorHAnsi" w:cstheme="minorHAnsi"/>
          <w:i/>
          <w:lang w:val="en-US"/>
        </w:rPr>
        <w:t>44</w:t>
      </w:r>
      <w:r w:rsidRPr="0013322F">
        <w:rPr>
          <w:rFonts w:asciiTheme="minorHAnsi" w:hAnsiTheme="minorHAnsi" w:cstheme="minorHAnsi"/>
          <w:lang w:val="en-US"/>
        </w:rPr>
        <w:t>, 144-148 (</w:t>
      </w:r>
      <w:r w:rsidRPr="0013322F">
        <w:rPr>
          <w:rFonts w:asciiTheme="minorHAnsi" w:hAnsiTheme="minorHAnsi" w:cstheme="minorHAnsi"/>
          <w:b/>
          <w:lang w:val="en-US"/>
        </w:rPr>
        <w:t>1999</w:t>
      </w:r>
      <w:r w:rsidRPr="0013322F">
        <w:rPr>
          <w:rFonts w:asciiTheme="minorHAnsi" w:hAnsiTheme="minorHAnsi" w:cstheme="minorHAnsi"/>
          <w:lang w:val="en-US"/>
        </w:rPr>
        <w:t>).</w:t>
      </w:r>
      <w:proofErr w:type="gramEnd"/>
    </w:p>
  </w:footnote>
  <w:footnote w:id="64">
    <w:p w14:paraId="5BCDA1EB" w14:textId="058B38A4" w:rsidR="00BC5DBA" w:rsidRPr="0013322F" w:rsidRDefault="00BC5DBA" w:rsidP="00FA1566">
      <w:pPr>
        <w:pStyle w:val="Funotentext"/>
        <w:rPr>
          <w:rFonts w:asciiTheme="minorHAnsi" w:hAnsiTheme="minorHAnsi" w:cstheme="minorHAnsi"/>
          <w:lang w:val="en-US"/>
        </w:rPr>
      </w:pPr>
      <w:r w:rsidRPr="00384EC7">
        <w:rPr>
          <w:rStyle w:val="Funotenzeichen"/>
          <w:rFonts w:asciiTheme="minorHAnsi" w:hAnsiTheme="minorHAnsi" w:cstheme="minorHAnsi"/>
        </w:rPr>
        <w:footnoteRef/>
      </w:r>
      <w:r w:rsidRPr="0013322F">
        <w:rPr>
          <w:rFonts w:asciiTheme="minorHAnsi" w:hAnsiTheme="minorHAnsi" w:cstheme="minorHAnsi"/>
          <w:lang w:val="en-US"/>
        </w:rPr>
        <w:t xml:space="preserve"> </w:t>
      </w:r>
      <w:hyperlink r:id="rId45" w:history="1">
        <w:proofErr w:type="gramStart"/>
        <w:r w:rsidR="00555677" w:rsidRPr="003A064F">
          <w:rPr>
            <w:rStyle w:val="Hyperlink"/>
            <w:rFonts w:asciiTheme="minorHAnsi" w:hAnsiTheme="minorHAnsi" w:cstheme="minorHAnsi"/>
            <w:lang w:val="en-US"/>
          </w:rPr>
          <w:t>http://ec.europa.eu/food/safety/novel_food/catalogue/search/public/index.cfm#</w:t>
        </w:r>
      </w:hyperlink>
      <w:r w:rsidR="00555677">
        <w:rPr>
          <w:rFonts w:asciiTheme="minorHAnsi" w:hAnsiTheme="minorHAnsi" w:cstheme="minorHAnsi"/>
          <w:lang w:val="en-US"/>
        </w:rPr>
        <w:t xml:space="preserve"> </w:t>
      </w:r>
      <w:r w:rsidRPr="0013322F">
        <w:rPr>
          <w:rFonts w:asciiTheme="minorHAnsi" w:hAnsiTheme="minorHAnsi" w:cstheme="minorHAnsi"/>
          <w:lang w:val="en-US"/>
        </w:rPr>
        <w:t xml:space="preserve">, accessed </w:t>
      </w:r>
      <w:r w:rsidR="00425D1A" w:rsidRPr="0013322F">
        <w:rPr>
          <w:rFonts w:asciiTheme="minorHAnsi" w:hAnsiTheme="minorHAnsi" w:cstheme="minorHAnsi"/>
          <w:lang w:val="en-US"/>
        </w:rPr>
        <w:t>01/17/2017.</w:t>
      </w:r>
      <w:proofErr w:type="gramEnd"/>
    </w:p>
  </w:footnote>
  <w:footnote w:id="65">
    <w:p w14:paraId="7AC9A090" w14:textId="77777777" w:rsidR="00BC5DBA" w:rsidRPr="0013322F" w:rsidRDefault="00BC5DBA" w:rsidP="00FA1566">
      <w:pPr>
        <w:pStyle w:val="Funotentext"/>
        <w:rPr>
          <w:rFonts w:asciiTheme="minorHAnsi" w:hAnsiTheme="minorHAnsi" w:cstheme="minorHAnsi"/>
          <w:lang w:val="en-US"/>
        </w:rPr>
      </w:pPr>
      <w:r w:rsidRPr="004465FC">
        <w:rPr>
          <w:rStyle w:val="Funotenzeichen"/>
          <w:rFonts w:asciiTheme="minorHAnsi" w:hAnsiTheme="minorHAnsi" w:cstheme="minorHAnsi"/>
        </w:rPr>
        <w:footnoteRef/>
      </w:r>
      <w:r w:rsidRPr="0013322F">
        <w:rPr>
          <w:rFonts w:asciiTheme="minorHAnsi" w:hAnsiTheme="minorHAnsi" w:cstheme="minorHAnsi"/>
          <w:lang w:val="en-US"/>
        </w:rPr>
        <w:t xml:space="preserve"> Natalia </w:t>
      </w:r>
      <w:proofErr w:type="spellStart"/>
      <w:r w:rsidRPr="0013322F">
        <w:rPr>
          <w:rFonts w:asciiTheme="minorHAnsi" w:hAnsiTheme="minorHAnsi" w:cstheme="minorHAnsi"/>
          <w:lang w:val="en-US"/>
        </w:rPr>
        <w:t>Ananiewa</w:t>
      </w:r>
      <w:proofErr w:type="spellEnd"/>
      <w:r w:rsidRPr="0013322F">
        <w:rPr>
          <w:rFonts w:asciiTheme="minorHAnsi" w:hAnsiTheme="minorHAnsi" w:cstheme="minorHAnsi"/>
          <w:lang w:val="en-US"/>
        </w:rPr>
        <w:t>, "</w:t>
      </w:r>
      <w:proofErr w:type="spellStart"/>
      <w:r w:rsidRPr="0013322F">
        <w:rPr>
          <w:rFonts w:asciiTheme="minorHAnsi" w:hAnsiTheme="minorHAnsi" w:cstheme="minorHAnsi"/>
          <w:lang w:val="en-US"/>
        </w:rPr>
        <w:t>Nazwy</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potraw</w:t>
      </w:r>
      <w:proofErr w:type="spellEnd"/>
      <w:r w:rsidRPr="0013322F">
        <w:rPr>
          <w:rFonts w:asciiTheme="minorHAnsi" w:hAnsiTheme="minorHAnsi" w:cstheme="minorHAnsi"/>
          <w:lang w:val="en-US"/>
        </w:rPr>
        <w:t xml:space="preserve"> w </w:t>
      </w:r>
      <w:proofErr w:type="spellStart"/>
      <w:r w:rsidRPr="0013322F">
        <w:rPr>
          <w:rFonts w:asciiTheme="minorHAnsi" w:hAnsiTheme="minorHAnsi" w:cstheme="minorHAnsi"/>
          <w:lang w:val="en-US"/>
        </w:rPr>
        <w:t>polskich</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gwarach</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na</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litwie</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białorusi</w:t>
      </w:r>
      <w:proofErr w:type="spellEnd"/>
      <w:r w:rsidRPr="0013322F">
        <w:rPr>
          <w:rFonts w:asciiTheme="minorHAnsi" w:hAnsiTheme="minorHAnsi" w:cstheme="minorHAnsi"/>
          <w:lang w:val="en-US"/>
        </w:rPr>
        <w:t xml:space="preserve"> i </w:t>
      </w:r>
      <w:proofErr w:type="spellStart"/>
      <w:r w:rsidRPr="0013322F">
        <w:rPr>
          <w:rFonts w:asciiTheme="minorHAnsi" w:hAnsiTheme="minorHAnsi" w:cstheme="minorHAnsi"/>
          <w:lang w:val="en-US"/>
        </w:rPr>
        <w:t>syberii</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wobec</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przemian</w:t>
      </w:r>
      <w:proofErr w:type="spellEnd"/>
      <w:r w:rsidRPr="0013322F">
        <w:rPr>
          <w:rFonts w:asciiTheme="minorHAnsi" w:hAnsiTheme="minorHAnsi" w:cstheme="minorHAnsi"/>
          <w:lang w:val="en-US"/>
        </w:rPr>
        <w:t xml:space="preserve"> </w:t>
      </w:r>
    </w:p>
    <w:p w14:paraId="2421BF9B" w14:textId="77777777" w:rsidR="00BC5DBA" w:rsidRPr="0013322F" w:rsidRDefault="00BC5DBA" w:rsidP="00FA1566">
      <w:pPr>
        <w:pStyle w:val="Funotentext"/>
        <w:rPr>
          <w:rFonts w:asciiTheme="minorHAnsi" w:hAnsiTheme="minorHAnsi" w:cstheme="minorHAnsi"/>
          <w:lang w:val="en-US"/>
        </w:rPr>
      </w:pPr>
      <w:proofErr w:type="spellStart"/>
      <w:r w:rsidRPr="0013322F">
        <w:rPr>
          <w:rFonts w:asciiTheme="minorHAnsi" w:hAnsiTheme="minorHAnsi" w:cstheme="minorHAnsi"/>
          <w:lang w:val="en-US"/>
        </w:rPr>
        <w:t>cywilizacyjnych</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Rozprawy</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Komisji</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Językowej</w:t>
      </w:r>
      <w:proofErr w:type="spellEnd"/>
      <w:r w:rsidRPr="0013322F">
        <w:rPr>
          <w:rFonts w:asciiTheme="minorHAnsi" w:hAnsiTheme="minorHAnsi" w:cstheme="minorHAnsi"/>
          <w:lang w:val="en-US"/>
        </w:rPr>
        <w:t xml:space="preserve"> ŁTN, t. LXIV, 2017 (</w:t>
      </w:r>
      <w:proofErr w:type="spellStart"/>
      <w:r w:rsidRPr="0013322F">
        <w:rPr>
          <w:rFonts w:asciiTheme="minorHAnsi" w:hAnsiTheme="minorHAnsi" w:cstheme="minorHAnsi"/>
          <w:lang w:val="en-US"/>
        </w:rPr>
        <w:t>tekste</w:t>
      </w:r>
      <w:proofErr w:type="spellEnd"/>
      <w:r w:rsidRPr="0013322F">
        <w:rPr>
          <w:rFonts w:asciiTheme="minorHAnsi" w:hAnsiTheme="minorHAnsi" w:cstheme="minorHAnsi"/>
          <w:lang w:val="en-US"/>
        </w:rPr>
        <w:t xml:space="preserve"> </w:t>
      </w:r>
      <w:proofErr w:type="spellStart"/>
      <w:r w:rsidRPr="0013322F">
        <w:rPr>
          <w:rFonts w:asciiTheme="minorHAnsi" w:hAnsiTheme="minorHAnsi" w:cstheme="minorHAnsi"/>
          <w:lang w:val="en-US"/>
        </w:rPr>
        <w:t>šaltiniai</w:t>
      </w:r>
      <w:proofErr w:type="spellEnd"/>
      <w:r w:rsidRPr="0013322F">
        <w:rPr>
          <w:rFonts w:asciiTheme="minorHAnsi" w:hAnsiTheme="minorHAnsi" w:cstheme="minorHAnsi"/>
          <w:lang w:val="en-US"/>
        </w:rPr>
        <w:t xml:space="preserve">- SBH 4, 1984 p. 514; SBH 5, </w:t>
      </w:r>
    </w:p>
    <w:p w14:paraId="3DC06A8F" w14:textId="77777777" w:rsidR="00BC5DBA" w:rsidRPr="00636E91" w:rsidRDefault="00BC5DBA" w:rsidP="00FA1566">
      <w:pPr>
        <w:pStyle w:val="Funotentext"/>
        <w:rPr>
          <w:rFonts w:asciiTheme="minorHAnsi" w:hAnsiTheme="minorHAnsi" w:cstheme="minorHAnsi"/>
          <w:lang w:val="it-IT"/>
        </w:rPr>
      </w:pPr>
      <w:r w:rsidRPr="00636E91">
        <w:rPr>
          <w:rFonts w:asciiTheme="minorHAnsi" w:hAnsiTheme="minorHAnsi" w:cstheme="minorHAnsi"/>
          <w:lang w:val="it-IT"/>
        </w:rPr>
        <w:t>1986 s. 489</w:t>
      </w:r>
      <w:proofErr w:type="gramStart"/>
      <w:r w:rsidRPr="00636E91">
        <w:rPr>
          <w:rFonts w:asciiTheme="minorHAnsi" w:hAnsiTheme="minorHAnsi" w:cstheme="minorHAnsi"/>
          <w:lang w:val="it-IT"/>
        </w:rPr>
        <w:t>)</w:t>
      </w:r>
      <w:proofErr w:type="gramEnd"/>
      <w:r w:rsidRPr="00636E91">
        <w:rPr>
          <w:rFonts w:asciiTheme="minorHAnsi" w:hAnsiTheme="minorHAnsi" w:cstheme="minorHAnsi"/>
          <w:lang w:val="it-IT"/>
        </w:rPr>
        <w:t>:</w:t>
      </w:r>
    </w:p>
  </w:footnote>
  <w:footnote w:id="66">
    <w:p w14:paraId="19C4D435" w14:textId="346F2049" w:rsidR="00BC5DBA" w:rsidRPr="00636E91" w:rsidRDefault="00BC5DBA" w:rsidP="00FA1566">
      <w:pPr>
        <w:pStyle w:val="Funotentext"/>
        <w:rPr>
          <w:rFonts w:asciiTheme="minorHAnsi" w:hAnsiTheme="minorHAnsi" w:cstheme="minorHAnsi"/>
          <w:lang w:val="it-IT"/>
        </w:rPr>
      </w:pPr>
      <w:r w:rsidRPr="004465FC">
        <w:rPr>
          <w:rStyle w:val="Funotenzeichen"/>
          <w:rFonts w:asciiTheme="minorHAnsi" w:hAnsiTheme="minorHAnsi" w:cstheme="minorHAnsi"/>
        </w:rPr>
        <w:footnoteRef/>
      </w:r>
      <w:r w:rsidRPr="00636E91">
        <w:rPr>
          <w:rFonts w:asciiTheme="minorHAnsi" w:hAnsiTheme="minorHAnsi" w:cstheme="minorHAnsi"/>
          <w:lang w:val="it-IT"/>
        </w:rPr>
        <w:t xml:space="preserve"> </w:t>
      </w:r>
      <w:hyperlink r:id="rId46" w:history="1">
        <w:r w:rsidR="00252504" w:rsidRPr="003A064F">
          <w:rPr>
            <w:rStyle w:val="Hyperlink"/>
            <w:rFonts w:asciiTheme="minorHAnsi" w:hAnsiTheme="minorHAnsi" w:cstheme="minorHAnsi"/>
            <w:lang w:val="it-IT"/>
          </w:rPr>
          <w:t>http://ec.europa.eu/food/safety/novel_food/catalogue/search/public/index.cfm#</w:t>
        </w:r>
      </w:hyperlink>
      <w:proofErr w:type="gramStart"/>
      <w:r w:rsidR="00252504">
        <w:rPr>
          <w:rFonts w:asciiTheme="minorHAnsi" w:hAnsiTheme="minorHAnsi" w:cstheme="minorHAnsi"/>
          <w:lang w:val="it-IT"/>
        </w:rPr>
        <w:t xml:space="preserve"> </w:t>
      </w:r>
      <w:r w:rsidRPr="00636E91">
        <w:rPr>
          <w:rFonts w:asciiTheme="minorHAnsi" w:hAnsiTheme="minorHAnsi" w:cstheme="minorHAnsi"/>
          <w:lang w:val="it-IT"/>
        </w:rPr>
        <w:t>,</w:t>
      </w:r>
      <w:proofErr w:type="gramEnd"/>
      <w:r w:rsidRPr="00636E91">
        <w:rPr>
          <w:rFonts w:asciiTheme="minorHAnsi" w:hAnsiTheme="minorHAnsi" w:cstheme="minorHAnsi"/>
          <w:lang w:val="it-IT"/>
        </w:rPr>
        <w:t xml:space="preserve"> Cannabis sativa L, </w:t>
      </w:r>
      <w:proofErr w:type="spellStart"/>
      <w:r w:rsidRPr="00636E91">
        <w:rPr>
          <w:rFonts w:asciiTheme="minorHAnsi" w:hAnsiTheme="minorHAnsi" w:cstheme="minorHAnsi"/>
          <w:lang w:val="it-IT"/>
        </w:rPr>
        <w:t>acce</w:t>
      </w:r>
      <w:r w:rsidRPr="00636E91">
        <w:rPr>
          <w:rFonts w:asciiTheme="minorHAnsi" w:hAnsiTheme="minorHAnsi" w:cstheme="minorHAnsi"/>
          <w:lang w:val="it-IT"/>
        </w:rPr>
        <w:t>s</w:t>
      </w:r>
      <w:r w:rsidRPr="00636E91">
        <w:rPr>
          <w:rFonts w:asciiTheme="minorHAnsi" w:hAnsiTheme="minorHAnsi" w:cstheme="minorHAnsi"/>
          <w:lang w:val="it-IT"/>
        </w:rPr>
        <w:t>sed</w:t>
      </w:r>
      <w:proofErr w:type="spellEnd"/>
      <w:r w:rsidRPr="00636E91">
        <w:rPr>
          <w:rFonts w:asciiTheme="minorHAnsi" w:hAnsiTheme="minorHAnsi" w:cstheme="minorHAnsi"/>
          <w:lang w:val="it-IT"/>
        </w:rPr>
        <w:t xml:space="preserve"> 11/25/2017.</w:t>
      </w:r>
    </w:p>
  </w:footnote>
  <w:footnote w:id="67">
    <w:p w14:paraId="2F0DAA14" w14:textId="7D859766" w:rsidR="00BC5DBA" w:rsidRPr="0013322F" w:rsidRDefault="00BC5DBA" w:rsidP="00FA1566">
      <w:pPr>
        <w:pStyle w:val="Funotentext"/>
        <w:rPr>
          <w:rFonts w:asciiTheme="minorHAnsi" w:hAnsiTheme="minorHAnsi" w:cstheme="minorHAnsi"/>
          <w:lang w:val="en-US"/>
        </w:rPr>
      </w:pPr>
      <w:r w:rsidRPr="004465FC">
        <w:rPr>
          <w:rStyle w:val="Funotenzeichen"/>
          <w:rFonts w:asciiTheme="minorHAnsi" w:hAnsiTheme="minorHAnsi" w:cstheme="minorHAnsi"/>
        </w:rPr>
        <w:footnoteRef/>
      </w:r>
      <w:r w:rsidRPr="0013322F">
        <w:rPr>
          <w:rFonts w:asciiTheme="minorHAnsi" w:hAnsiTheme="minorHAnsi" w:cstheme="minorHAnsi"/>
          <w:lang w:val="en-US"/>
        </w:rPr>
        <w:t xml:space="preserve"> </w:t>
      </w:r>
      <w:hyperlink r:id="rId47" w:history="1">
        <w:proofErr w:type="gramStart"/>
        <w:r w:rsidR="00252504" w:rsidRPr="003A064F">
          <w:rPr>
            <w:rStyle w:val="Hyperlink"/>
            <w:rFonts w:asciiTheme="minorHAnsi" w:hAnsiTheme="minorHAnsi" w:cstheme="minorHAnsi"/>
            <w:lang w:val="en-US"/>
          </w:rPr>
          <w:t>http://ec.europa.eu/food/safety/novel_food/catalogue/search/public/index.cfm#</w:t>
        </w:r>
      </w:hyperlink>
      <w:r w:rsidR="00252504">
        <w:rPr>
          <w:rFonts w:asciiTheme="minorHAnsi" w:hAnsiTheme="minorHAnsi" w:cstheme="minorHAnsi"/>
          <w:lang w:val="en-US"/>
        </w:rPr>
        <w:t xml:space="preserve"> </w:t>
      </w:r>
      <w:r w:rsidRPr="0013322F">
        <w:rPr>
          <w:rFonts w:asciiTheme="minorHAnsi" w:hAnsiTheme="minorHAnsi" w:cstheme="minorHAnsi"/>
          <w:lang w:val="en-US"/>
        </w:rPr>
        <w:t xml:space="preserve">, accessed </w:t>
      </w:r>
      <w:r w:rsidR="00425D1A" w:rsidRPr="0013322F">
        <w:rPr>
          <w:rFonts w:asciiTheme="minorHAnsi" w:hAnsiTheme="minorHAnsi" w:cstheme="minorHAnsi"/>
          <w:lang w:val="en-US"/>
        </w:rPr>
        <w:t>11/25/2017.</w:t>
      </w:r>
      <w:proofErr w:type="gramEnd"/>
    </w:p>
  </w:footnote>
  <w:footnote w:id="68">
    <w:p w14:paraId="3A429D47" w14:textId="6AED57B1" w:rsidR="00BC5DBA" w:rsidRDefault="00BC5DBA" w:rsidP="00FA1566">
      <w:pPr>
        <w:pStyle w:val="Funotentext"/>
        <w:rPr>
          <w:rFonts w:asciiTheme="minorHAnsi" w:hAnsiTheme="minorHAnsi" w:cstheme="minorHAnsi"/>
        </w:rPr>
      </w:pPr>
      <w:r w:rsidRPr="004465FC">
        <w:rPr>
          <w:rStyle w:val="Funotenzeichen"/>
          <w:rFonts w:asciiTheme="minorHAnsi" w:hAnsiTheme="minorHAnsi" w:cstheme="minorHAnsi"/>
        </w:rPr>
        <w:footnoteRef/>
      </w:r>
      <w:r w:rsidRPr="004465FC">
        <w:rPr>
          <w:rFonts w:asciiTheme="minorHAnsi" w:hAnsiTheme="minorHAnsi" w:cstheme="minorHAnsi"/>
        </w:rPr>
        <w:t xml:space="preserve"> Forstmann &amp; Büttner, Rechtsanwaltskanzlei, Rechtsgutachten Novel</w:t>
      </w:r>
      <w:r w:rsidR="001B720C">
        <w:rPr>
          <w:rFonts w:asciiTheme="minorHAnsi" w:hAnsiTheme="minorHAnsi" w:cstheme="minorHAnsi"/>
        </w:rPr>
        <w:t xml:space="preserve"> </w:t>
      </w:r>
      <w:r w:rsidRPr="004465FC">
        <w:rPr>
          <w:rFonts w:asciiTheme="minorHAnsi" w:hAnsiTheme="minorHAnsi" w:cstheme="minorHAnsi"/>
        </w:rPr>
        <w:t>Food, Frankfurt a.M., 26.10.2016, p. 13,14, Ziffer 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6678A"/>
    <w:multiLevelType w:val="hybridMultilevel"/>
    <w:tmpl w:val="D2385578"/>
    <w:lvl w:ilvl="0" w:tplc="3A4A977A">
      <w:numFmt w:val="bullet"/>
      <w:lvlText w:val="-"/>
      <w:lvlJc w:val="left"/>
      <w:pPr>
        <w:ind w:left="644" w:hanging="360"/>
      </w:pPr>
      <w:rPr>
        <w:rFonts w:ascii="Calibri" w:eastAsiaTheme="minorHAnsi" w:hAnsi="Calibri" w:cs="Calibri" w:hint="default"/>
      </w:rPr>
    </w:lvl>
    <w:lvl w:ilvl="1" w:tplc="04070003" w:tentative="1">
      <w:start w:val="1"/>
      <w:numFmt w:val="bullet"/>
      <w:lvlText w:val="o"/>
      <w:lvlJc w:val="left"/>
      <w:pPr>
        <w:ind w:left="1364" w:hanging="360"/>
      </w:pPr>
      <w:rPr>
        <w:rFonts w:ascii="Courier New" w:hAnsi="Courier New" w:cs="Courier New" w:hint="default"/>
      </w:rPr>
    </w:lvl>
    <w:lvl w:ilvl="2" w:tplc="04070005" w:tentative="1">
      <w:start w:val="1"/>
      <w:numFmt w:val="bullet"/>
      <w:lvlText w:val=""/>
      <w:lvlJc w:val="left"/>
      <w:pPr>
        <w:ind w:left="2084" w:hanging="360"/>
      </w:pPr>
      <w:rPr>
        <w:rFonts w:ascii="Wingdings" w:hAnsi="Wingdings" w:hint="default"/>
      </w:rPr>
    </w:lvl>
    <w:lvl w:ilvl="3" w:tplc="04070001" w:tentative="1">
      <w:start w:val="1"/>
      <w:numFmt w:val="bullet"/>
      <w:lvlText w:val=""/>
      <w:lvlJc w:val="left"/>
      <w:pPr>
        <w:ind w:left="2804" w:hanging="360"/>
      </w:pPr>
      <w:rPr>
        <w:rFonts w:ascii="Symbol" w:hAnsi="Symbol" w:hint="default"/>
      </w:rPr>
    </w:lvl>
    <w:lvl w:ilvl="4" w:tplc="04070003" w:tentative="1">
      <w:start w:val="1"/>
      <w:numFmt w:val="bullet"/>
      <w:lvlText w:val="o"/>
      <w:lvlJc w:val="left"/>
      <w:pPr>
        <w:ind w:left="3524" w:hanging="360"/>
      </w:pPr>
      <w:rPr>
        <w:rFonts w:ascii="Courier New" w:hAnsi="Courier New" w:cs="Courier New" w:hint="default"/>
      </w:rPr>
    </w:lvl>
    <w:lvl w:ilvl="5" w:tplc="04070005" w:tentative="1">
      <w:start w:val="1"/>
      <w:numFmt w:val="bullet"/>
      <w:lvlText w:val=""/>
      <w:lvlJc w:val="left"/>
      <w:pPr>
        <w:ind w:left="4244" w:hanging="360"/>
      </w:pPr>
      <w:rPr>
        <w:rFonts w:ascii="Wingdings" w:hAnsi="Wingdings" w:hint="default"/>
      </w:rPr>
    </w:lvl>
    <w:lvl w:ilvl="6" w:tplc="04070001" w:tentative="1">
      <w:start w:val="1"/>
      <w:numFmt w:val="bullet"/>
      <w:lvlText w:val=""/>
      <w:lvlJc w:val="left"/>
      <w:pPr>
        <w:ind w:left="4964" w:hanging="360"/>
      </w:pPr>
      <w:rPr>
        <w:rFonts w:ascii="Symbol" w:hAnsi="Symbol" w:hint="default"/>
      </w:rPr>
    </w:lvl>
    <w:lvl w:ilvl="7" w:tplc="04070003" w:tentative="1">
      <w:start w:val="1"/>
      <w:numFmt w:val="bullet"/>
      <w:lvlText w:val="o"/>
      <w:lvlJc w:val="left"/>
      <w:pPr>
        <w:ind w:left="5684" w:hanging="360"/>
      </w:pPr>
      <w:rPr>
        <w:rFonts w:ascii="Courier New" w:hAnsi="Courier New" w:cs="Courier New" w:hint="default"/>
      </w:rPr>
    </w:lvl>
    <w:lvl w:ilvl="8" w:tplc="04070005" w:tentative="1">
      <w:start w:val="1"/>
      <w:numFmt w:val="bullet"/>
      <w:lvlText w:val=""/>
      <w:lvlJc w:val="left"/>
      <w:pPr>
        <w:ind w:left="6404" w:hanging="360"/>
      </w:pPr>
      <w:rPr>
        <w:rFonts w:ascii="Wingdings" w:hAnsi="Wingdings" w:hint="default"/>
      </w:rPr>
    </w:lvl>
  </w:abstractNum>
  <w:abstractNum w:abstractNumId="1">
    <w:nsid w:val="242C63EF"/>
    <w:multiLevelType w:val="hybridMultilevel"/>
    <w:tmpl w:val="13BEDE9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nsid w:val="2EEC44AF"/>
    <w:multiLevelType w:val="hybridMultilevel"/>
    <w:tmpl w:val="F822E6D2"/>
    <w:lvl w:ilvl="0" w:tplc="DAD0183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4C22739"/>
    <w:multiLevelType w:val="hybridMultilevel"/>
    <w:tmpl w:val="A5DA1948"/>
    <w:lvl w:ilvl="0" w:tplc="AE7EC88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nsid w:val="39006986"/>
    <w:multiLevelType w:val="hybridMultilevel"/>
    <w:tmpl w:val="822EAEC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4E653D04"/>
    <w:multiLevelType w:val="hybridMultilevel"/>
    <w:tmpl w:val="822EAEC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690A7F20"/>
    <w:multiLevelType w:val="hybridMultilevel"/>
    <w:tmpl w:val="A410A07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6E0C237F"/>
    <w:multiLevelType w:val="hybridMultilevel"/>
    <w:tmpl w:val="822EAEC2"/>
    <w:lvl w:ilvl="0" w:tplc="6DF832A0">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nsid w:val="6F683E63"/>
    <w:multiLevelType w:val="hybridMultilevel"/>
    <w:tmpl w:val="82509B2E"/>
    <w:lvl w:ilvl="0" w:tplc="796453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nsid w:val="74F95552"/>
    <w:multiLevelType w:val="hybridMultilevel"/>
    <w:tmpl w:val="6CFC7C44"/>
    <w:lvl w:ilvl="0" w:tplc="9734200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nsid w:val="7BED15E3"/>
    <w:multiLevelType w:val="hybridMultilevel"/>
    <w:tmpl w:val="1714B4E4"/>
    <w:lvl w:ilvl="0" w:tplc="40AA0902">
      <w:start w:val="4"/>
      <w:numFmt w:val="bullet"/>
      <w:lvlText w:val="-"/>
      <w:lvlJc w:val="left"/>
      <w:pPr>
        <w:ind w:left="1065" w:hanging="360"/>
      </w:pPr>
      <w:rPr>
        <w:rFonts w:ascii="Calibri" w:eastAsiaTheme="minorHAnsi" w:hAnsi="Calibri" w:cs="Calibri" w:hint="default"/>
      </w:rPr>
    </w:lvl>
    <w:lvl w:ilvl="1" w:tplc="04070003" w:tentative="1">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num w:numId="1">
    <w:abstractNumId w:val="7"/>
  </w:num>
  <w:num w:numId="2">
    <w:abstractNumId w:val="8"/>
  </w:num>
  <w:num w:numId="3">
    <w:abstractNumId w:val="10"/>
  </w:num>
  <w:num w:numId="4">
    <w:abstractNumId w:val="3"/>
  </w:num>
  <w:num w:numId="5">
    <w:abstractNumId w:val="4"/>
  </w:num>
  <w:num w:numId="6">
    <w:abstractNumId w:val="0"/>
  </w:num>
  <w:num w:numId="7">
    <w:abstractNumId w:val="5"/>
  </w:num>
  <w:num w:numId="8">
    <w:abstractNumId w:val="9"/>
  </w:num>
  <w:num w:numId="9">
    <w:abstractNumId w:val="1"/>
  </w:num>
  <w:num w:numId="10">
    <w:abstractNumId w:val="2"/>
  </w:num>
  <w:num w:numId="1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i-Friedrich Niermann">
    <w15:presenceInfo w15:providerId="Windows Live" w15:userId="25e8c6bc1919564e"/>
  </w15:person>
  <w15:person w15:author="Gerhard Nahler">
    <w15:presenceInfo w15:providerId="Windows Live" w15:userId="6579c452e20152db"/>
  </w15:person>
  <w15:person w15:author="Hempro Int. - D. Kruse">
    <w15:presenceInfo w15:providerId="AD" w15:userId="S::d.kruse@hempro.com::5311a146-c4ab-477c-a38c-7d6a7c7d1a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trackRevision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C447660F-9ED2-4C26-A4B2-0C80803E52EC}"/>
    <w:docVar w:name="dgnword-eventsink" w:val="983291744"/>
    <w:docVar w:name="dgnword-lastRevisionsView" w:val="0"/>
  </w:docVars>
  <w:rsids>
    <w:rsidRoot w:val="00F34D73"/>
    <w:rsid w:val="00000030"/>
    <w:rsid w:val="0000265F"/>
    <w:rsid w:val="00002968"/>
    <w:rsid w:val="0000453B"/>
    <w:rsid w:val="00004912"/>
    <w:rsid w:val="000062FC"/>
    <w:rsid w:val="00006F0B"/>
    <w:rsid w:val="00007D41"/>
    <w:rsid w:val="00010181"/>
    <w:rsid w:val="00011E76"/>
    <w:rsid w:val="000147A5"/>
    <w:rsid w:val="00015E7D"/>
    <w:rsid w:val="0001688D"/>
    <w:rsid w:val="000179B2"/>
    <w:rsid w:val="00021F7B"/>
    <w:rsid w:val="00022B28"/>
    <w:rsid w:val="00022F0E"/>
    <w:rsid w:val="000246DA"/>
    <w:rsid w:val="000248DB"/>
    <w:rsid w:val="0002737F"/>
    <w:rsid w:val="0002779A"/>
    <w:rsid w:val="000323DE"/>
    <w:rsid w:val="000338BE"/>
    <w:rsid w:val="000356A3"/>
    <w:rsid w:val="00037B6F"/>
    <w:rsid w:val="00040D18"/>
    <w:rsid w:val="00041209"/>
    <w:rsid w:val="000417AF"/>
    <w:rsid w:val="000418EC"/>
    <w:rsid w:val="00041A98"/>
    <w:rsid w:val="00042ED3"/>
    <w:rsid w:val="0004324F"/>
    <w:rsid w:val="000449DA"/>
    <w:rsid w:val="000456A4"/>
    <w:rsid w:val="00051EE1"/>
    <w:rsid w:val="00052315"/>
    <w:rsid w:val="00054106"/>
    <w:rsid w:val="00054789"/>
    <w:rsid w:val="00054CEC"/>
    <w:rsid w:val="000601C8"/>
    <w:rsid w:val="00060324"/>
    <w:rsid w:val="00060B61"/>
    <w:rsid w:val="00061F55"/>
    <w:rsid w:val="00062259"/>
    <w:rsid w:val="000622D2"/>
    <w:rsid w:val="00062874"/>
    <w:rsid w:val="00062EB6"/>
    <w:rsid w:val="00063FF9"/>
    <w:rsid w:val="000643C7"/>
    <w:rsid w:val="000654DF"/>
    <w:rsid w:val="0006562B"/>
    <w:rsid w:val="00067EC5"/>
    <w:rsid w:val="00067FD1"/>
    <w:rsid w:val="0007184F"/>
    <w:rsid w:val="00071E63"/>
    <w:rsid w:val="00072C58"/>
    <w:rsid w:val="00072D0C"/>
    <w:rsid w:val="000771F4"/>
    <w:rsid w:val="00081209"/>
    <w:rsid w:val="00081C42"/>
    <w:rsid w:val="0008341A"/>
    <w:rsid w:val="0008512E"/>
    <w:rsid w:val="00085402"/>
    <w:rsid w:val="00086BFB"/>
    <w:rsid w:val="000910C4"/>
    <w:rsid w:val="00092D6F"/>
    <w:rsid w:val="000938EF"/>
    <w:rsid w:val="00094BDF"/>
    <w:rsid w:val="00095E79"/>
    <w:rsid w:val="000969B1"/>
    <w:rsid w:val="000A0398"/>
    <w:rsid w:val="000A0CA2"/>
    <w:rsid w:val="000A0DCD"/>
    <w:rsid w:val="000A1B15"/>
    <w:rsid w:val="000A1FAD"/>
    <w:rsid w:val="000A3D79"/>
    <w:rsid w:val="000A412C"/>
    <w:rsid w:val="000A5697"/>
    <w:rsid w:val="000A6C88"/>
    <w:rsid w:val="000B25A1"/>
    <w:rsid w:val="000B36A3"/>
    <w:rsid w:val="000B5E4A"/>
    <w:rsid w:val="000B671F"/>
    <w:rsid w:val="000B68E9"/>
    <w:rsid w:val="000C0A77"/>
    <w:rsid w:val="000C22C3"/>
    <w:rsid w:val="000C6A09"/>
    <w:rsid w:val="000D02F5"/>
    <w:rsid w:val="000D0605"/>
    <w:rsid w:val="000D3342"/>
    <w:rsid w:val="000D51AC"/>
    <w:rsid w:val="000D5AA9"/>
    <w:rsid w:val="000D63C3"/>
    <w:rsid w:val="000D68E6"/>
    <w:rsid w:val="000E1401"/>
    <w:rsid w:val="000E15D5"/>
    <w:rsid w:val="000E48FB"/>
    <w:rsid w:val="000E792E"/>
    <w:rsid w:val="000F1949"/>
    <w:rsid w:val="000F3569"/>
    <w:rsid w:val="000F39C8"/>
    <w:rsid w:val="000F462B"/>
    <w:rsid w:val="000F5F78"/>
    <w:rsid w:val="000F6A79"/>
    <w:rsid w:val="000F6D6C"/>
    <w:rsid w:val="000F75F6"/>
    <w:rsid w:val="001031F4"/>
    <w:rsid w:val="00105621"/>
    <w:rsid w:val="001078D2"/>
    <w:rsid w:val="001100FE"/>
    <w:rsid w:val="00110DD1"/>
    <w:rsid w:val="0012120C"/>
    <w:rsid w:val="00121FFA"/>
    <w:rsid w:val="001220DB"/>
    <w:rsid w:val="00122745"/>
    <w:rsid w:val="00132D0C"/>
    <w:rsid w:val="00132D79"/>
    <w:rsid w:val="001337B5"/>
    <w:rsid w:val="00134021"/>
    <w:rsid w:val="00136BA9"/>
    <w:rsid w:val="00136D3E"/>
    <w:rsid w:val="00140C06"/>
    <w:rsid w:val="00141492"/>
    <w:rsid w:val="001424D1"/>
    <w:rsid w:val="00142C29"/>
    <w:rsid w:val="0014319D"/>
    <w:rsid w:val="00143841"/>
    <w:rsid w:val="00143E6C"/>
    <w:rsid w:val="001448FC"/>
    <w:rsid w:val="00144AA2"/>
    <w:rsid w:val="00147252"/>
    <w:rsid w:val="001474B1"/>
    <w:rsid w:val="0014763E"/>
    <w:rsid w:val="00150717"/>
    <w:rsid w:val="001547BB"/>
    <w:rsid w:val="00154922"/>
    <w:rsid w:val="00157CC9"/>
    <w:rsid w:val="001606F8"/>
    <w:rsid w:val="00160DA5"/>
    <w:rsid w:val="00161388"/>
    <w:rsid w:val="0016380D"/>
    <w:rsid w:val="00165C8E"/>
    <w:rsid w:val="00171749"/>
    <w:rsid w:val="00172420"/>
    <w:rsid w:val="00172C6C"/>
    <w:rsid w:val="001733F7"/>
    <w:rsid w:val="00175B54"/>
    <w:rsid w:val="00177F3A"/>
    <w:rsid w:val="0018029D"/>
    <w:rsid w:val="0018135A"/>
    <w:rsid w:val="00181583"/>
    <w:rsid w:val="00182376"/>
    <w:rsid w:val="00184F5E"/>
    <w:rsid w:val="00186F9E"/>
    <w:rsid w:val="00193DB0"/>
    <w:rsid w:val="001940A0"/>
    <w:rsid w:val="00194EE8"/>
    <w:rsid w:val="00196331"/>
    <w:rsid w:val="00197A80"/>
    <w:rsid w:val="001A0266"/>
    <w:rsid w:val="001A04B9"/>
    <w:rsid w:val="001A1B7A"/>
    <w:rsid w:val="001A2057"/>
    <w:rsid w:val="001A2993"/>
    <w:rsid w:val="001A443E"/>
    <w:rsid w:val="001A67C3"/>
    <w:rsid w:val="001A6A1C"/>
    <w:rsid w:val="001A7C46"/>
    <w:rsid w:val="001A7D96"/>
    <w:rsid w:val="001A7DCD"/>
    <w:rsid w:val="001B2691"/>
    <w:rsid w:val="001B29BC"/>
    <w:rsid w:val="001B2D75"/>
    <w:rsid w:val="001B33F8"/>
    <w:rsid w:val="001B5BFE"/>
    <w:rsid w:val="001B5D4B"/>
    <w:rsid w:val="001B6671"/>
    <w:rsid w:val="001B6746"/>
    <w:rsid w:val="001B720C"/>
    <w:rsid w:val="001C1957"/>
    <w:rsid w:val="001C3290"/>
    <w:rsid w:val="001C4B1B"/>
    <w:rsid w:val="001C5446"/>
    <w:rsid w:val="001C56A4"/>
    <w:rsid w:val="001C646B"/>
    <w:rsid w:val="001C6EA8"/>
    <w:rsid w:val="001C7139"/>
    <w:rsid w:val="001C744B"/>
    <w:rsid w:val="001C7633"/>
    <w:rsid w:val="001C78A7"/>
    <w:rsid w:val="001C7BE9"/>
    <w:rsid w:val="001C7E4D"/>
    <w:rsid w:val="001D1381"/>
    <w:rsid w:val="001D1A04"/>
    <w:rsid w:val="001D246E"/>
    <w:rsid w:val="001D26AF"/>
    <w:rsid w:val="001D420B"/>
    <w:rsid w:val="001D61AE"/>
    <w:rsid w:val="001E2FBD"/>
    <w:rsid w:val="001E4188"/>
    <w:rsid w:val="001E782B"/>
    <w:rsid w:val="001E7D22"/>
    <w:rsid w:val="001F13A1"/>
    <w:rsid w:val="001F13A8"/>
    <w:rsid w:val="001F152A"/>
    <w:rsid w:val="001F1B33"/>
    <w:rsid w:val="001F2E1E"/>
    <w:rsid w:val="001F4528"/>
    <w:rsid w:val="001F693F"/>
    <w:rsid w:val="0020020E"/>
    <w:rsid w:val="002007A4"/>
    <w:rsid w:val="00200EB6"/>
    <w:rsid w:val="002033E5"/>
    <w:rsid w:val="00204C3B"/>
    <w:rsid w:val="00207098"/>
    <w:rsid w:val="00207F18"/>
    <w:rsid w:val="00211BE3"/>
    <w:rsid w:val="0021227E"/>
    <w:rsid w:val="0021264E"/>
    <w:rsid w:val="00213773"/>
    <w:rsid w:val="00213FEF"/>
    <w:rsid w:val="00214846"/>
    <w:rsid w:val="00214F12"/>
    <w:rsid w:val="0021792F"/>
    <w:rsid w:val="002213A9"/>
    <w:rsid w:val="00221680"/>
    <w:rsid w:val="0022410D"/>
    <w:rsid w:val="00224E1F"/>
    <w:rsid w:val="00226520"/>
    <w:rsid w:val="0022726F"/>
    <w:rsid w:val="002276DC"/>
    <w:rsid w:val="00230456"/>
    <w:rsid w:val="002313C4"/>
    <w:rsid w:val="0023295E"/>
    <w:rsid w:val="0023355A"/>
    <w:rsid w:val="00235468"/>
    <w:rsid w:val="0023725C"/>
    <w:rsid w:val="002418DA"/>
    <w:rsid w:val="002436DC"/>
    <w:rsid w:val="00243FF6"/>
    <w:rsid w:val="0024550F"/>
    <w:rsid w:val="00245706"/>
    <w:rsid w:val="00246212"/>
    <w:rsid w:val="00247150"/>
    <w:rsid w:val="002519D3"/>
    <w:rsid w:val="00252420"/>
    <w:rsid w:val="00252504"/>
    <w:rsid w:val="002528AF"/>
    <w:rsid w:val="002534C7"/>
    <w:rsid w:val="0025386C"/>
    <w:rsid w:val="00254A51"/>
    <w:rsid w:val="00256383"/>
    <w:rsid w:val="002609DB"/>
    <w:rsid w:val="00260AA0"/>
    <w:rsid w:val="00261A0B"/>
    <w:rsid w:val="00262D2A"/>
    <w:rsid w:val="00263F1C"/>
    <w:rsid w:val="00266E4E"/>
    <w:rsid w:val="00275832"/>
    <w:rsid w:val="00275915"/>
    <w:rsid w:val="00275B63"/>
    <w:rsid w:val="00275BEA"/>
    <w:rsid w:val="0027606B"/>
    <w:rsid w:val="002764D1"/>
    <w:rsid w:val="00276DA9"/>
    <w:rsid w:val="0027700B"/>
    <w:rsid w:val="002771A3"/>
    <w:rsid w:val="002809C0"/>
    <w:rsid w:val="00280D7C"/>
    <w:rsid w:val="00283037"/>
    <w:rsid w:val="0028428B"/>
    <w:rsid w:val="00291B29"/>
    <w:rsid w:val="00291E12"/>
    <w:rsid w:val="002939DD"/>
    <w:rsid w:val="00294482"/>
    <w:rsid w:val="00295C20"/>
    <w:rsid w:val="00296D08"/>
    <w:rsid w:val="00297AD6"/>
    <w:rsid w:val="002A11CB"/>
    <w:rsid w:val="002A1E26"/>
    <w:rsid w:val="002A29D1"/>
    <w:rsid w:val="002A2D4D"/>
    <w:rsid w:val="002A41EF"/>
    <w:rsid w:val="002A461B"/>
    <w:rsid w:val="002A4F63"/>
    <w:rsid w:val="002A5473"/>
    <w:rsid w:val="002A5B34"/>
    <w:rsid w:val="002A5D15"/>
    <w:rsid w:val="002A5D78"/>
    <w:rsid w:val="002A7BC4"/>
    <w:rsid w:val="002B2741"/>
    <w:rsid w:val="002B3BC3"/>
    <w:rsid w:val="002B4205"/>
    <w:rsid w:val="002B5354"/>
    <w:rsid w:val="002B55CA"/>
    <w:rsid w:val="002B7674"/>
    <w:rsid w:val="002B78CA"/>
    <w:rsid w:val="002C073B"/>
    <w:rsid w:val="002C0940"/>
    <w:rsid w:val="002C2D72"/>
    <w:rsid w:val="002C4793"/>
    <w:rsid w:val="002C4C93"/>
    <w:rsid w:val="002C4E68"/>
    <w:rsid w:val="002C5461"/>
    <w:rsid w:val="002C57B0"/>
    <w:rsid w:val="002C58DF"/>
    <w:rsid w:val="002C5CCD"/>
    <w:rsid w:val="002C7F48"/>
    <w:rsid w:val="002D09D5"/>
    <w:rsid w:val="002D19F2"/>
    <w:rsid w:val="002D2227"/>
    <w:rsid w:val="002D22A7"/>
    <w:rsid w:val="002D2E81"/>
    <w:rsid w:val="002D315D"/>
    <w:rsid w:val="002D7D66"/>
    <w:rsid w:val="002E02C4"/>
    <w:rsid w:val="002E1B4D"/>
    <w:rsid w:val="002E2F69"/>
    <w:rsid w:val="002E4D57"/>
    <w:rsid w:val="002E6B06"/>
    <w:rsid w:val="002E6BC4"/>
    <w:rsid w:val="002E730E"/>
    <w:rsid w:val="002E7ACD"/>
    <w:rsid w:val="002E7FBC"/>
    <w:rsid w:val="002F34CA"/>
    <w:rsid w:val="002F3C59"/>
    <w:rsid w:val="002F3C6A"/>
    <w:rsid w:val="002F4AB0"/>
    <w:rsid w:val="002F7202"/>
    <w:rsid w:val="002F73A6"/>
    <w:rsid w:val="002F7702"/>
    <w:rsid w:val="00300FBD"/>
    <w:rsid w:val="0030134B"/>
    <w:rsid w:val="00302C08"/>
    <w:rsid w:val="00304E4F"/>
    <w:rsid w:val="0030539C"/>
    <w:rsid w:val="00310A82"/>
    <w:rsid w:val="003117B5"/>
    <w:rsid w:val="00311C1C"/>
    <w:rsid w:val="003127EE"/>
    <w:rsid w:val="00316216"/>
    <w:rsid w:val="00316C1E"/>
    <w:rsid w:val="0032110C"/>
    <w:rsid w:val="003234A5"/>
    <w:rsid w:val="00324365"/>
    <w:rsid w:val="003247E7"/>
    <w:rsid w:val="00325836"/>
    <w:rsid w:val="003265F0"/>
    <w:rsid w:val="003315C9"/>
    <w:rsid w:val="00331A5E"/>
    <w:rsid w:val="00331C6F"/>
    <w:rsid w:val="00332B64"/>
    <w:rsid w:val="00332BC0"/>
    <w:rsid w:val="003338CC"/>
    <w:rsid w:val="00334045"/>
    <w:rsid w:val="0033407C"/>
    <w:rsid w:val="003347E7"/>
    <w:rsid w:val="00334E8E"/>
    <w:rsid w:val="003350FE"/>
    <w:rsid w:val="003351FA"/>
    <w:rsid w:val="00335427"/>
    <w:rsid w:val="003410A6"/>
    <w:rsid w:val="00341390"/>
    <w:rsid w:val="00341811"/>
    <w:rsid w:val="00341BD4"/>
    <w:rsid w:val="00342464"/>
    <w:rsid w:val="00345909"/>
    <w:rsid w:val="00346BD2"/>
    <w:rsid w:val="00347EE0"/>
    <w:rsid w:val="00350419"/>
    <w:rsid w:val="00350F02"/>
    <w:rsid w:val="0035168D"/>
    <w:rsid w:val="003521D1"/>
    <w:rsid w:val="003538BB"/>
    <w:rsid w:val="00353922"/>
    <w:rsid w:val="00353C50"/>
    <w:rsid w:val="003544F8"/>
    <w:rsid w:val="00355262"/>
    <w:rsid w:val="003563D5"/>
    <w:rsid w:val="003568B1"/>
    <w:rsid w:val="00356C39"/>
    <w:rsid w:val="00364670"/>
    <w:rsid w:val="00364FC4"/>
    <w:rsid w:val="00365B58"/>
    <w:rsid w:val="00365C79"/>
    <w:rsid w:val="00366BE5"/>
    <w:rsid w:val="00371557"/>
    <w:rsid w:val="003717B6"/>
    <w:rsid w:val="0037227F"/>
    <w:rsid w:val="00372F2B"/>
    <w:rsid w:val="00373906"/>
    <w:rsid w:val="00373A2C"/>
    <w:rsid w:val="00374E2D"/>
    <w:rsid w:val="00375F41"/>
    <w:rsid w:val="00377332"/>
    <w:rsid w:val="00377634"/>
    <w:rsid w:val="00377BEC"/>
    <w:rsid w:val="0038041E"/>
    <w:rsid w:val="00380D4F"/>
    <w:rsid w:val="00381A23"/>
    <w:rsid w:val="00382B9E"/>
    <w:rsid w:val="00382DA8"/>
    <w:rsid w:val="00384315"/>
    <w:rsid w:val="003864A4"/>
    <w:rsid w:val="00386E6A"/>
    <w:rsid w:val="00387428"/>
    <w:rsid w:val="0039097A"/>
    <w:rsid w:val="003914FF"/>
    <w:rsid w:val="00394162"/>
    <w:rsid w:val="003952F1"/>
    <w:rsid w:val="003A0A24"/>
    <w:rsid w:val="003A1954"/>
    <w:rsid w:val="003A5317"/>
    <w:rsid w:val="003B2175"/>
    <w:rsid w:val="003B37DB"/>
    <w:rsid w:val="003B3949"/>
    <w:rsid w:val="003B4076"/>
    <w:rsid w:val="003B4099"/>
    <w:rsid w:val="003B5397"/>
    <w:rsid w:val="003B5985"/>
    <w:rsid w:val="003B6D14"/>
    <w:rsid w:val="003B75DD"/>
    <w:rsid w:val="003B7C86"/>
    <w:rsid w:val="003B7CC4"/>
    <w:rsid w:val="003C28D7"/>
    <w:rsid w:val="003C33A9"/>
    <w:rsid w:val="003C5671"/>
    <w:rsid w:val="003C5973"/>
    <w:rsid w:val="003C6C8B"/>
    <w:rsid w:val="003D002A"/>
    <w:rsid w:val="003D0774"/>
    <w:rsid w:val="003D1174"/>
    <w:rsid w:val="003D1FEF"/>
    <w:rsid w:val="003D3975"/>
    <w:rsid w:val="003D67AF"/>
    <w:rsid w:val="003D73AD"/>
    <w:rsid w:val="003D7716"/>
    <w:rsid w:val="003E009A"/>
    <w:rsid w:val="003E15CA"/>
    <w:rsid w:val="003E1BF6"/>
    <w:rsid w:val="003E2863"/>
    <w:rsid w:val="003E30CD"/>
    <w:rsid w:val="003E3E15"/>
    <w:rsid w:val="003E4624"/>
    <w:rsid w:val="003E6C26"/>
    <w:rsid w:val="003E7288"/>
    <w:rsid w:val="003F1F68"/>
    <w:rsid w:val="003F2611"/>
    <w:rsid w:val="003F682E"/>
    <w:rsid w:val="003F7006"/>
    <w:rsid w:val="003F795B"/>
    <w:rsid w:val="004006AB"/>
    <w:rsid w:val="004030BD"/>
    <w:rsid w:val="00403207"/>
    <w:rsid w:val="00405101"/>
    <w:rsid w:val="00405CD7"/>
    <w:rsid w:val="00405F2A"/>
    <w:rsid w:val="00411242"/>
    <w:rsid w:val="00411521"/>
    <w:rsid w:val="004120D5"/>
    <w:rsid w:val="004126A1"/>
    <w:rsid w:val="004128AB"/>
    <w:rsid w:val="004137B9"/>
    <w:rsid w:val="004140BD"/>
    <w:rsid w:val="00414AD6"/>
    <w:rsid w:val="004152C2"/>
    <w:rsid w:val="00415713"/>
    <w:rsid w:val="0041575A"/>
    <w:rsid w:val="00417C15"/>
    <w:rsid w:val="004203A2"/>
    <w:rsid w:val="0042149E"/>
    <w:rsid w:val="0042362D"/>
    <w:rsid w:val="00425D1A"/>
    <w:rsid w:val="00431C59"/>
    <w:rsid w:val="00431CF3"/>
    <w:rsid w:val="004336EA"/>
    <w:rsid w:val="004339F6"/>
    <w:rsid w:val="004348BE"/>
    <w:rsid w:val="00435A27"/>
    <w:rsid w:val="0043759B"/>
    <w:rsid w:val="00440176"/>
    <w:rsid w:val="00440910"/>
    <w:rsid w:val="00443AE3"/>
    <w:rsid w:val="0044593E"/>
    <w:rsid w:val="00445FA7"/>
    <w:rsid w:val="004463DB"/>
    <w:rsid w:val="00446487"/>
    <w:rsid w:val="00447219"/>
    <w:rsid w:val="00447799"/>
    <w:rsid w:val="00452C19"/>
    <w:rsid w:val="004538BA"/>
    <w:rsid w:val="0045396A"/>
    <w:rsid w:val="00453F8B"/>
    <w:rsid w:val="0045480B"/>
    <w:rsid w:val="00455F70"/>
    <w:rsid w:val="004571B1"/>
    <w:rsid w:val="00457527"/>
    <w:rsid w:val="00460952"/>
    <w:rsid w:val="00461CBF"/>
    <w:rsid w:val="00462335"/>
    <w:rsid w:val="00462FE2"/>
    <w:rsid w:val="0046446E"/>
    <w:rsid w:val="00464884"/>
    <w:rsid w:val="00466E29"/>
    <w:rsid w:val="00470CDA"/>
    <w:rsid w:val="004719C2"/>
    <w:rsid w:val="00475F81"/>
    <w:rsid w:val="00476EFE"/>
    <w:rsid w:val="00480336"/>
    <w:rsid w:val="0048040B"/>
    <w:rsid w:val="004808FD"/>
    <w:rsid w:val="00483D38"/>
    <w:rsid w:val="00484129"/>
    <w:rsid w:val="00484482"/>
    <w:rsid w:val="004866C1"/>
    <w:rsid w:val="004902FC"/>
    <w:rsid w:val="00490506"/>
    <w:rsid w:val="004912AD"/>
    <w:rsid w:val="00491D2B"/>
    <w:rsid w:val="0049238C"/>
    <w:rsid w:val="00496B01"/>
    <w:rsid w:val="0049768F"/>
    <w:rsid w:val="00497B71"/>
    <w:rsid w:val="004A069C"/>
    <w:rsid w:val="004A072D"/>
    <w:rsid w:val="004A07FB"/>
    <w:rsid w:val="004A0930"/>
    <w:rsid w:val="004A2566"/>
    <w:rsid w:val="004A2B39"/>
    <w:rsid w:val="004A43EE"/>
    <w:rsid w:val="004A7685"/>
    <w:rsid w:val="004A7C47"/>
    <w:rsid w:val="004B0F37"/>
    <w:rsid w:val="004B4909"/>
    <w:rsid w:val="004B55AA"/>
    <w:rsid w:val="004B6063"/>
    <w:rsid w:val="004C0524"/>
    <w:rsid w:val="004C0899"/>
    <w:rsid w:val="004C0DAD"/>
    <w:rsid w:val="004C1D0E"/>
    <w:rsid w:val="004C2C32"/>
    <w:rsid w:val="004C344F"/>
    <w:rsid w:val="004C4088"/>
    <w:rsid w:val="004C59FD"/>
    <w:rsid w:val="004C646A"/>
    <w:rsid w:val="004D0AB9"/>
    <w:rsid w:val="004D145E"/>
    <w:rsid w:val="004D2FBD"/>
    <w:rsid w:val="004D3176"/>
    <w:rsid w:val="004D32E5"/>
    <w:rsid w:val="004D779F"/>
    <w:rsid w:val="004D79B2"/>
    <w:rsid w:val="004E0C0C"/>
    <w:rsid w:val="004E0E28"/>
    <w:rsid w:val="004E19C7"/>
    <w:rsid w:val="004E4607"/>
    <w:rsid w:val="004E7CB6"/>
    <w:rsid w:val="004F58D0"/>
    <w:rsid w:val="00501094"/>
    <w:rsid w:val="005019DC"/>
    <w:rsid w:val="00502BC3"/>
    <w:rsid w:val="005061D3"/>
    <w:rsid w:val="005109EB"/>
    <w:rsid w:val="00512685"/>
    <w:rsid w:val="005129B4"/>
    <w:rsid w:val="0051438C"/>
    <w:rsid w:val="00516CBC"/>
    <w:rsid w:val="00521A52"/>
    <w:rsid w:val="00522FEC"/>
    <w:rsid w:val="005236F0"/>
    <w:rsid w:val="0052496E"/>
    <w:rsid w:val="00524D9C"/>
    <w:rsid w:val="00531262"/>
    <w:rsid w:val="00531D76"/>
    <w:rsid w:val="0053460B"/>
    <w:rsid w:val="00534866"/>
    <w:rsid w:val="005354EE"/>
    <w:rsid w:val="00535EEA"/>
    <w:rsid w:val="00537F41"/>
    <w:rsid w:val="00540356"/>
    <w:rsid w:val="00541919"/>
    <w:rsid w:val="00541A0B"/>
    <w:rsid w:val="005420E9"/>
    <w:rsid w:val="00544040"/>
    <w:rsid w:val="00547B27"/>
    <w:rsid w:val="0055107C"/>
    <w:rsid w:val="005510F4"/>
    <w:rsid w:val="00551C82"/>
    <w:rsid w:val="0055229A"/>
    <w:rsid w:val="005535CC"/>
    <w:rsid w:val="00553F18"/>
    <w:rsid w:val="00554BDF"/>
    <w:rsid w:val="00555677"/>
    <w:rsid w:val="00555C8F"/>
    <w:rsid w:val="0055751B"/>
    <w:rsid w:val="00561FED"/>
    <w:rsid w:val="00563170"/>
    <w:rsid w:val="005641C8"/>
    <w:rsid w:val="00564369"/>
    <w:rsid w:val="005643AA"/>
    <w:rsid w:val="00567323"/>
    <w:rsid w:val="00567C2A"/>
    <w:rsid w:val="00572DC8"/>
    <w:rsid w:val="00573394"/>
    <w:rsid w:val="005746D6"/>
    <w:rsid w:val="00574D0A"/>
    <w:rsid w:val="00575CE7"/>
    <w:rsid w:val="00577E50"/>
    <w:rsid w:val="0058022B"/>
    <w:rsid w:val="00581BC4"/>
    <w:rsid w:val="00582254"/>
    <w:rsid w:val="005842D1"/>
    <w:rsid w:val="00584826"/>
    <w:rsid w:val="005851DF"/>
    <w:rsid w:val="005862E6"/>
    <w:rsid w:val="005871C4"/>
    <w:rsid w:val="0059280A"/>
    <w:rsid w:val="00593832"/>
    <w:rsid w:val="00595EA9"/>
    <w:rsid w:val="00596226"/>
    <w:rsid w:val="005A071D"/>
    <w:rsid w:val="005A10AC"/>
    <w:rsid w:val="005A1A72"/>
    <w:rsid w:val="005A2152"/>
    <w:rsid w:val="005A26C2"/>
    <w:rsid w:val="005A2AC9"/>
    <w:rsid w:val="005A4A0A"/>
    <w:rsid w:val="005A53E3"/>
    <w:rsid w:val="005A70E1"/>
    <w:rsid w:val="005A7EB5"/>
    <w:rsid w:val="005B1AB6"/>
    <w:rsid w:val="005B1FEB"/>
    <w:rsid w:val="005B2D79"/>
    <w:rsid w:val="005B32A5"/>
    <w:rsid w:val="005B355B"/>
    <w:rsid w:val="005B55E6"/>
    <w:rsid w:val="005B5684"/>
    <w:rsid w:val="005C60B8"/>
    <w:rsid w:val="005C63E9"/>
    <w:rsid w:val="005C69E2"/>
    <w:rsid w:val="005C6A15"/>
    <w:rsid w:val="005D012A"/>
    <w:rsid w:val="005D2A15"/>
    <w:rsid w:val="005D4171"/>
    <w:rsid w:val="005D7015"/>
    <w:rsid w:val="005D72AB"/>
    <w:rsid w:val="005E0923"/>
    <w:rsid w:val="005E17D7"/>
    <w:rsid w:val="005E1C95"/>
    <w:rsid w:val="005E3685"/>
    <w:rsid w:val="005E4356"/>
    <w:rsid w:val="005E48A9"/>
    <w:rsid w:val="005F0076"/>
    <w:rsid w:val="005F318E"/>
    <w:rsid w:val="005F471B"/>
    <w:rsid w:val="005F60D3"/>
    <w:rsid w:val="005F624C"/>
    <w:rsid w:val="005F6360"/>
    <w:rsid w:val="005F7085"/>
    <w:rsid w:val="005F7CE9"/>
    <w:rsid w:val="00600053"/>
    <w:rsid w:val="00600D6E"/>
    <w:rsid w:val="00601982"/>
    <w:rsid w:val="00601B26"/>
    <w:rsid w:val="00601C89"/>
    <w:rsid w:val="00602F62"/>
    <w:rsid w:val="006030CD"/>
    <w:rsid w:val="00605E74"/>
    <w:rsid w:val="00607AEA"/>
    <w:rsid w:val="0061197B"/>
    <w:rsid w:val="00614C80"/>
    <w:rsid w:val="00620EF4"/>
    <w:rsid w:val="00621C64"/>
    <w:rsid w:val="00622135"/>
    <w:rsid w:val="00622EE1"/>
    <w:rsid w:val="006236B7"/>
    <w:rsid w:val="00623D52"/>
    <w:rsid w:val="00625894"/>
    <w:rsid w:val="00625B0B"/>
    <w:rsid w:val="00626A68"/>
    <w:rsid w:val="006311B7"/>
    <w:rsid w:val="00632375"/>
    <w:rsid w:val="00633B65"/>
    <w:rsid w:val="0063542E"/>
    <w:rsid w:val="00635C39"/>
    <w:rsid w:val="00636E8C"/>
    <w:rsid w:val="00636E91"/>
    <w:rsid w:val="006376A5"/>
    <w:rsid w:val="00640875"/>
    <w:rsid w:val="00640E46"/>
    <w:rsid w:val="0064192A"/>
    <w:rsid w:val="0064233C"/>
    <w:rsid w:val="00645C76"/>
    <w:rsid w:val="00651452"/>
    <w:rsid w:val="0065478D"/>
    <w:rsid w:val="00655C4D"/>
    <w:rsid w:val="00655CDC"/>
    <w:rsid w:val="00656349"/>
    <w:rsid w:val="00656D58"/>
    <w:rsid w:val="00656F28"/>
    <w:rsid w:val="006606E3"/>
    <w:rsid w:val="00662B77"/>
    <w:rsid w:val="00663435"/>
    <w:rsid w:val="00667372"/>
    <w:rsid w:val="00670627"/>
    <w:rsid w:val="0067063F"/>
    <w:rsid w:val="006712DF"/>
    <w:rsid w:val="00671B92"/>
    <w:rsid w:val="00671EDC"/>
    <w:rsid w:val="00677151"/>
    <w:rsid w:val="006775CF"/>
    <w:rsid w:val="00680F33"/>
    <w:rsid w:val="00681462"/>
    <w:rsid w:val="006816E0"/>
    <w:rsid w:val="00682CC7"/>
    <w:rsid w:val="00684478"/>
    <w:rsid w:val="00684D02"/>
    <w:rsid w:val="00684FB2"/>
    <w:rsid w:val="006873B4"/>
    <w:rsid w:val="00691178"/>
    <w:rsid w:val="00691686"/>
    <w:rsid w:val="00691E5C"/>
    <w:rsid w:val="00693474"/>
    <w:rsid w:val="00693AD4"/>
    <w:rsid w:val="0069412B"/>
    <w:rsid w:val="006942D8"/>
    <w:rsid w:val="006952DA"/>
    <w:rsid w:val="00696314"/>
    <w:rsid w:val="00696623"/>
    <w:rsid w:val="006968A8"/>
    <w:rsid w:val="006975A6"/>
    <w:rsid w:val="006A3005"/>
    <w:rsid w:val="006A33FD"/>
    <w:rsid w:val="006A48FC"/>
    <w:rsid w:val="006A61A2"/>
    <w:rsid w:val="006B0556"/>
    <w:rsid w:val="006B14BF"/>
    <w:rsid w:val="006B2BE2"/>
    <w:rsid w:val="006B332F"/>
    <w:rsid w:val="006B3AAB"/>
    <w:rsid w:val="006B4495"/>
    <w:rsid w:val="006B4B89"/>
    <w:rsid w:val="006B7927"/>
    <w:rsid w:val="006B7FA1"/>
    <w:rsid w:val="006C18FB"/>
    <w:rsid w:val="006C37E7"/>
    <w:rsid w:val="006C5B58"/>
    <w:rsid w:val="006D1C1D"/>
    <w:rsid w:val="006D238B"/>
    <w:rsid w:val="006D4DBE"/>
    <w:rsid w:val="006D5074"/>
    <w:rsid w:val="006D50E5"/>
    <w:rsid w:val="006E0044"/>
    <w:rsid w:val="006E0130"/>
    <w:rsid w:val="006E047E"/>
    <w:rsid w:val="006E1662"/>
    <w:rsid w:val="006E1A55"/>
    <w:rsid w:val="006E297C"/>
    <w:rsid w:val="006E3D8B"/>
    <w:rsid w:val="006E4EDF"/>
    <w:rsid w:val="006F2102"/>
    <w:rsid w:val="006F33B5"/>
    <w:rsid w:val="006F379E"/>
    <w:rsid w:val="006F3FE7"/>
    <w:rsid w:val="006F4171"/>
    <w:rsid w:val="006F49FD"/>
    <w:rsid w:val="006F6E76"/>
    <w:rsid w:val="006F7421"/>
    <w:rsid w:val="007009C0"/>
    <w:rsid w:val="00700C71"/>
    <w:rsid w:val="00707B1B"/>
    <w:rsid w:val="00711C30"/>
    <w:rsid w:val="0071247F"/>
    <w:rsid w:val="00712568"/>
    <w:rsid w:val="007139CA"/>
    <w:rsid w:val="00714300"/>
    <w:rsid w:val="00715BA3"/>
    <w:rsid w:val="00716FA3"/>
    <w:rsid w:val="00722F35"/>
    <w:rsid w:val="00724BC0"/>
    <w:rsid w:val="00724D9B"/>
    <w:rsid w:val="007256FA"/>
    <w:rsid w:val="007266E5"/>
    <w:rsid w:val="0072728D"/>
    <w:rsid w:val="00731197"/>
    <w:rsid w:val="0073138F"/>
    <w:rsid w:val="00731E28"/>
    <w:rsid w:val="0073292F"/>
    <w:rsid w:val="0073345A"/>
    <w:rsid w:val="00734433"/>
    <w:rsid w:val="007346FE"/>
    <w:rsid w:val="00736D1F"/>
    <w:rsid w:val="00737079"/>
    <w:rsid w:val="00741513"/>
    <w:rsid w:val="00743685"/>
    <w:rsid w:val="00743799"/>
    <w:rsid w:val="007444DF"/>
    <w:rsid w:val="0074528E"/>
    <w:rsid w:val="00746188"/>
    <w:rsid w:val="00747E42"/>
    <w:rsid w:val="0075037A"/>
    <w:rsid w:val="00750761"/>
    <w:rsid w:val="0075116E"/>
    <w:rsid w:val="0075201F"/>
    <w:rsid w:val="007524B9"/>
    <w:rsid w:val="007525B3"/>
    <w:rsid w:val="00752DB1"/>
    <w:rsid w:val="00752E6A"/>
    <w:rsid w:val="007546A4"/>
    <w:rsid w:val="00755FB3"/>
    <w:rsid w:val="0075669D"/>
    <w:rsid w:val="00757DFF"/>
    <w:rsid w:val="007603F1"/>
    <w:rsid w:val="00760C1D"/>
    <w:rsid w:val="00760D46"/>
    <w:rsid w:val="0076198B"/>
    <w:rsid w:val="0076267B"/>
    <w:rsid w:val="00763D51"/>
    <w:rsid w:val="00764CEE"/>
    <w:rsid w:val="007655ED"/>
    <w:rsid w:val="00767C46"/>
    <w:rsid w:val="007718E3"/>
    <w:rsid w:val="00771984"/>
    <w:rsid w:val="00773D6F"/>
    <w:rsid w:val="00774AC2"/>
    <w:rsid w:val="00776911"/>
    <w:rsid w:val="00777250"/>
    <w:rsid w:val="00777C0B"/>
    <w:rsid w:val="007806BA"/>
    <w:rsid w:val="00780A3D"/>
    <w:rsid w:val="00781FB8"/>
    <w:rsid w:val="007832E1"/>
    <w:rsid w:val="007834FA"/>
    <w:rsid w:val="00783D1B"/>
    <w:rsid w:val="0078419D"/>
    <w:rsid w:val="00790879"/>
    <w:rsid w:val="0079294E"/>
    <w:rsid w:val="00793C27"/>
    <w:rsid w:val="00793F7F"/>
    <w:rsid w:val="0079583D"/>
    <w:rsid w:val="00796506"/>
    <w:rsid w:val="00796C45"/>
    <w:rsid w:val="007973A0"/>
    <w:rsid w:val="007A0355"/>
    <w:rsid w:val="007A04D1"/>
    <w:rsid w:val="007A354D"/>
    <w:rsid w:val="007A4E0F"/>
    <w:rsid w:val="007A5522"/>
    <w:rsid w:val="007A5A07"/>
    <w:rsid w:val="007A6F85"/>
    <w:rsid w:val="007A7884"/>
    <w:rsid w:val="007B01BF"/>
    <w:rsid w:val="007B0DD1"/>
    <w:rsid w:val="007B127A"/>
    <w:rsid w:val="007B180F"/>
    <w:rsid w:val="007B1D5F"/>
    <w:rsid w:val="007B2708"/>
    <w:rsid w:val="007B2BB3"/>
    <w:rsid w:val="007B49B5"/>
    <w:rsid w:val="007B5E58"/>
    <w:rsid w:val="007B73A4"/>
    <w:rsid w:val="007B767D"/>
    <w:rsid w:val="007B7742"/>
    <w:rsid w:val="007C011B"/>
    <w:rsid w:val="007C05EF"/>
    <w:rsid w:val="007C12F7"/>
    <w:rsid w:val="007C1366"/>
    <w:rsid w:val="007C18BF"/>
    <w:rsid w:val="007C19EA"/>
    <w:rsid w:val="007C1CE7"/>
    <w:rsid w:val="007C3550"/>
    <w:rsid w:val="007C498A"/>
    <w:rsid w:val="007D1477"/>
    <w:rsid w:val="007D1D6A"/>
    <w:rsid w:val="007D28CD"/>
    <w:rsid w:val="007D324C"/>
    <w:rsid w:val="007D53FB"/>
    <w:rsid w:val="007D65C8"/>
    <w:rsid w:val="007E0373"/>
    <w:rsid w:val="007E1F60"/>
    <w:rsid w:val="007E2E2B"/>
    <w:rsid w:val="007E3E1D"/>
    <w:rsid w:val="007E51A8"/>
    <w:rsid w:val="007E5E69"/>
    <w:rsid w:val="007E5EE4"/>
    <w:rsid w:val="007E6CB7"/>
    <w:rsid w:val="007E7122"/>
    <w:rsid w:val="007E7771"/>
    <w:rsid w:val="007F074B"/>
    <w:rsid w:val="007F1E86"/>
    <w:rsid w:val="007F228C"/>
    <w:rsid w:val="007F32E2"/>
    <w:rsid w:val="007F353A"/>
    <w:rsid w:val="007F37D8"/>
    <w:rsid w:val="007F38E0"/>
    <w:rsid w:val="00800B37"/>
    <w:rsid w:val="00800B85"/>
    <w:rsid w:val="00800F9C"/>
    <w:rsid w:val="00802061"/>
    <w:rsid w:val="008055CF"/>
    <w:rsid w:val="0080596B"/>
    <w:rsid w:val="00806496"/>
    <w:rsid w:val="00807795"/>
    <w:rsid w:val="00810697"/>
    <w:rsid w:val="00810E46"/>
    <w:rsid w:val="00812760"/>
    <w:rsid w:val="0081333D"/>
    <w:rsid w:val="0081457B"/>
    <w:rsid w:val="00814804"/>
    <w:rsid w:val="008160A2"/>
    <w:rsid w:val="0081717F"/>
    <w:rsid w:val="00820F3D"/>
    <w:rsid w:val="00820F56"/>
    <w:rsid w:val="0082201D"/>
    <w:rsid w:val="00822353"/>
    <w:rsid w:val="00822424"/>
    <w:rsid w:val="00822E90"/>
    <w:rsid w:val="00827D96"/>
    <w:rsid w:val="008304A5"/>
    <w:rsid w:val="008308AF"/>
    <w:rsid w:val="00831354"/>
    <w:rsid w:val="00832BBA"/>
    <w:rsid w:val="008344D5"/>
    <w:rsid w:val="0083500E"/>
    <w:rsid w:val="008364EF"/>
    <w:rsid w:val="00842FDA"/>
    <w:rsid w:val="00843401"/>
    <w:rsid w:val="008438A9"/>
    <w:rsid w:val="0084398F"/>
    <w:rsid w:val="0084558C"/>
    <w:rsid w:val="0084615C"/>
    <w:rsid w:val="008508A5"/>
    <w:rsid w:val="00851388"/>
    <w:rsid w:val="00851EBB"/>
    <w:rsid w:val="008524B7"/>
    <w:rsid w:val="00857144"/>
    <w:rsid w:val="0086004E"/>
    <w:rsid w:val="00861FA6"/>
    <w:rsid w:val="008627D4"/>
    <w:rsid w:val="008628D9"/>
    <w:rsid w:val="0086648E"/>
    <w:rsid w:val="0086664E"/>
    <w:rsid w:val="00866FF5"/>
    <w:rsid w:val="008670D3"/>
    <w:rsid w:val="00871AD6"/>
    <w:rsid w:val="00872437"/>
    <w:rsid w:val="008730DB"/>
    <w:rsid w:val="00876B1F"/>
    <w:rsid w:val="00880FA1"/>
    <w:rsid w:val="00881FFC"/>
    <w:rsid w:val="00882C16"/>
    <w:rsid w:val="00883E44"/>
    <w:rsid w:val="0088450B"/>
    <w:rsid w:val="0088488E"/>
    <w:rsid w:val="008850B9"/>
    <w:rsid w:val="00885165"/>
    <w:rsid w:val="00886A1C"/>
    <w:rsid w:val="0089018F"/>
    <w:rsid w:val="00890C7C"/>
    <w:rsid w:val="00892DE3"/>
    <w:rsid w:val="00893BD1"/>
    <w:rsid w:val="008949A0"/>
    <w:rsid w:val="008951FE"/>
    <w:rsid w:val="00896EBF"/>
    <w:rsid w:val="00897DE1"/>
    <w:rsid w:val="008A00EB"/>
    <w:rsid w:val="008A03B1"/>
    <w:rsid w:val="008A03B9"/>
    <w:rsid w:val="008A11D2"/>
    <w:rsid w:val="008A45F5"/>
    <w:rsid w:val="008A5D7E"/>
    <w:rsid w:val="008A6901"/>
    <w:rsid w:val="008A7D79"/>
    <w:rsid w:val="008B1534"/>
    <w:rsid w:val="008B2E4E"/>
    <w:rsid w:val="008B4BC6"/>
    <w:rsid w:val="008B4F14"/>
    <w:rsid w:val="008B54F3"/>
    <w:rsid w:val="008B7925"/>
    <w:rsid w:val="008B798B"/>
    <w:rsid w:val="008B7A45"/>
    <w:rsid w:val="008C01E9"/>
    <w:rsid w:val="008C0A93"/>
    <w:rsid w:val="008C1008"/>
    <w:rsid w:val="008C187D"/>
    <w:rsid w:val="008C2376"/>
    <w:rsid w:val="008C318E"/>
    <w:rsid w:val="008C4666"/>
    <w:rsid w:val="008C4AF8"/>
    <w:rsid w:val="008C5127"/>
    <w:rsid w:val="008C5356"/>
    <w:rsid w:val="008C5733"/>
    <w:rsid w:val="008C5BAC"/>
    <w:rsid w:val="008C6075"/>
    <w:rsid w:val="008C7840"/>
    <w:rsid w:val="008D04A8"/>
    <w:rsid w:val="008D0FA4"/>
    <w:rsid w:val="008D1663"/>
    <w:rsid w:val="008D1A87"/>
    <w:rsid w:val="008D31A7"/>
    <w:rsid w:val="008D3CC4"/>
    <w:rsid w:val="008D3F7E"/>
    <w:rsid w:val="008D4726"/>
    <w:rsid w:val="008D4815"/>
    <w:rsid w:val="008D4D2B"/>
    <w:rsid w:val="008D5A7D"/>
    <w:rsid w:val="008D6E2A"/>
    <w:rsid w:val="008D7B74"/>
    <w:rsid w:val="008D7DA7"/>
    <w:rsid w:val="008E1632"/>
    <w:rsid w:val="008E1F6C"/>
    <w:rsid w:val="008E4885"/>
    <w:rsid w:val="008E5E62"/>
    <w:rsid w:val="008E691E"/>
    <w:rsid w:val="008F70F4"/>
    <w:rsid w:val="0090012C"/>
    <w:rsid w:val="00904003"/>
    <w:rsid w:val="009050C1"/>
    <w:rsid w:val="00905346"/>
    <w:rsid w:val="00907864"/>
    <w:rsid w:val="00910711"/>
    <w:rsid w:val="009118BE"/>
    <w:rsid w:val="00911953"/>
    <w:rsid w:val="009125B8"/>
    <w:rsid w:val="00913232"/>
    <w:rsid w:val="00914657"/>
    <w:rsid w:val="0091783D"/>
    <w:rsid w:val="00921B9B"/>
    <w:rsid w:val="009222ED"/>
    <w:rsid w:val="009226B9"/>
    <w:rsid w:val="00923177"/>
    <w:rsid w:val="00930F7D"/>
    <w:rsid w:val="00931163"/>
    <w:rsid w:val="0093311D"/>
    <w:rsid w:val="009333B8"/>
    <w:rsid w:val="00933C21"/>
    <w:rsid w:val="00934F30"/>
    <w:rsid w:val="00935777"/>
    <w:rsid w:val="00935EF9"/>
    <w:rsid w:val="009360E1"/>
    <w:rsid w:val="00937FD5"/>
    <w:rsid w:val="0094008B"/>
    <w:rsid w:val="00942593"/>
    <w:rsid w:val="00942778"/>
    <w:rsid w:val="00945266"/>
    <w:rsid w:val="00945571"/>
    <w:rsid w:val="00947F01"/>
    <w:rsid w:val="009521F5"/>
    <w:rsid w:val="00952994"/>
    <w:rsid w:val="00952C3A"/>
    <w:rsid w:val="00952DB9"/>
    <w:rsid w:val="00953B84"/>
    <w:rsid w:val="00953F4F"/>
    <w:rsid w:val="00954B31"/>
    <w:rsid w:val="00954D15"/>
    <w:rsid w:val="00956B46"/>
    <w:rsid w:val="00956CF6"/>
    <w:rsid w:val="00957B4F"/>
    <w:rsid w:val="00960348"/>
    <w:rsid w:val="00961341"/>
    <w:rsid w:val="009627C5"/>
    <w:rsid w:val="00962EA0"/>
    <w:rsid w:val="00963147"/>
    <w:rsid w:val="009634E3"/>
    <w:rsid w:val="0096419E"/>
    <w:rsid w:val="00967D2A"/>
    <w:rsid w:val="00970BDC"/>
    <w:rsid w:val="00971F5D"/>
    <w:rsid w:val="00972773"/>
    <w:rsid w:val="00974284"/>
    <w:rsid w:val="00974999"/>
    <w:rsid w:val="009751A9"/>
    <w:rsid w:val="00975D34"/>
    <w:rsid w:val="00980A98"/>
    <w:rsid w:val="0098254B"/>
    <w:rsid w:val="00983D33"/>
    <w:rsid w:val="0099057B"/>
    <w:rsid w:val="0099378E"/>
    <w:rsid w:val="009955C9"/>
    <w:rsid w:val="00996C8B"/>
    <w:rsid w:val="009A11A7"/>
    <w:rsid w:val="009A171A"/>
    <w:rsid w:val="009A2265"/>
    <w:rsid w:val="009A3A25"/>
    <w:rsid w:val="009A5266"/>
    <w:rsid w:val="009A66DF"/>
    <w:rsid w:val="009B0896"/>
    <w:rsid w:val="009B158B"/>
    <w:rsid w:val="009B33AE"/>
    <w:rsid w:val="009B4E60"/>
    <w:rsid w:val="009B507D"/>
    <w:rsid w:val="009B6178"/>
    <w:rsid w:val="009B7407"/>
    <w:rsid w:val="009B7EEC"/>
    <w:rsid w:val="009C16F3"/>
    <w:rsid w:val="009C51AA"/>
    <w:rsid w:val="009C5A59"/>
    <w:rsid w:val="009C5CE6"/>
    <w:rsid w:val="009C5DC0"/>
    <w:rsid w:val="009C6EDC"/>
    <w:rsid w:val="009D0F21"/>
    <w:rsid w:val="009D0F4D"/>
    <w:rsid w:val="009D1427"/>
    <w:rsid w:val="009D26B2"/>
    <w:rsid w:val="009D41CC"/>
    <w:rsid w:val="009D6F2E"/>
    <w:rsid w:val="009D744A"/>
    <w:rsid w:val="009D7F3B"/>
    <w:rsid w:val="009E0B80"/>
    <w:rsid w:val="009E2AFD"/>
    <w:rsid w:val="009E593B"/>
    <w:rsid w:val="009F4801"/>
    <w:rsid w:val="009F6670"/>
    <w:rsid w:val="00A00CFD"/>
    <w:rsid w:val="00A03F9C"/>
    <w:rsid w:val="00A05333"/>
    <w:rsid w:val="00A053EA"/>
    <w:rsid w:val="00A0573A"/>
    <w:rsid w:val="00A103B9"/>
    <w:rsid w:val="00A10F05"/>
    <w:rsid w:val="00A11834"/>
    <w:rsid w:val="00A14239"/>
    <w:rsid w:val="00A15128"/>
    <w:rsid w:val="00A15FF7"/>
    <w:rsid w:val="00A160ED"/>
    <w:rsid w:val="00A1612D"/>
    <w:rsid w:val="00A16391"/>
    <w:rsid w:val="00A2054A"/>
    <w:rsid w:val="00A217C2"/>
    <w:rsid w:val="00A22AB9"/>
    <w:rsid w:val="00A24022"/>
    <w:rsid w:val="00A25A14"/>
    <w:rsid w:val="00A271E6"/>
    <w:rsid w:val="00A27F5E"/>
    <w:rsid w:val="00A312F9"/>
    <w:rsid w:val="00A31FE3"/>
    <w:rsid w:val="00A34299"/>
    <w:rsid w:val="00A35CAC"/>
    <w:rsid w:val="00A411D7"/>
    <w:rsid w:val="00A41CB8"/>
    <w:rsid w:val="00A442C4"/>
    <w:rsid w:val="00A514C2"/>
    <w:rsid w:val="00A517D2"/>
    <w:rsid w:val="00A51C04"/>
    <w:rsid w:val="00A5202C"/>
    <w:rsid w:val="00A520A6"/>
    <w:rsid w:val="00A535B6"/>
    <w:rsid w:val="00A539FE"/>
    <w:rsid w:val="00A53F78"/>
    <w:rsid w:val="00A566C8"/>
    <w:rsid w:val="00A57DE9"/>
    <w:rsid w:val="00A6150F"/>
    <w:rsid w:val="00A616C5"/>
    <w:rsid w:val="00A6380E"/>
    <w:rsid w:val="00A664BB"/>
    <w:rsid w:val="00A675F7"/>
    <w:rsid w:val="00A67704"/>
    <w:rsid w:val="00A71D5F"/>
    <w:rsid w:val="00A73AEC"/>
    <w:rsid w:val="00A745DF"/>
    <w:rsid w:val="00A8162E"/>
    <w:rsid w:val="00A824F3"/>
    <w:rsid w:val="00A834D4"/>
    <w:rsid w:val="00A8380A"/>
    <w:rsid w:val="00A91695"/>
    <w:rsid w:val="00A9268B"/>
    <w:rsid w:val="00A92C5C"/>
    <w:rsid w:val="00A94200"/>
    <w:rsid w:val="00A94603"/>
    <w:rsid w:val="00A954D1"/>
    <w:rsid w:val="00A956CB"/>
    <w:rsid w:val="00AA0639"/>
    <w:rsid w:val="00AA0A30"/>
    <w:rsid w:val="00AA32A5"/>
    <w:rsid w:val="00AA51AB"/>
    <w:rsid w:val="00AA603E"/>
    <w:rsid w:val="00AA682A"/>
    <w:rsid w:val="00AB16E2"/>
    <w:rsid w:val="00AB1AC9"/>
    <w:rsid w:val="00AB3498"/>
    <w:rsid w:val="00AB3F2B"/>
    <w:rsid w:val="00AB51B1"/>
    <w:rsid w:val="00AB583E"/>
    <w:rsid w:val="00AB697D"/>
    <w:rsid w:val="00AB7B60"/>
    <w:rsid w:val="00AB7C83"/>
    <w:rsid w:val="00AC1977"/>
    <w:rsid w:val="00AC1FB1"/>
    <w:rsid w:val="00AC60F8"/>
    <w:rsid w:val="00AD0835"/>
    <w:rsid w:val="00AD1082"/>
    <w:rsid w:val="00AD2B86"/>
    <w:rsid w:val="00AD3066"/>
    <w:rsid w:val="00AD3C89"/>
    <w:rsid w:val="00AD5EE5"/>
    <w:rsid w:val="00AE0C89"/>
    <w:rsid w:val="00AE218C"/>
    <w:rsid w:val="00AE3703"/>
    <w:rsid w:val="00AE58C3"/>
    <w:rsid w:val="00AE6EAC"/>
    <w:rsid w:val="00AE7310"/>
    <w:rsid w:val="00AF0CD8"/>
    <w:rsid w:val="00AF2FDB"/>
    <w:rsid w:val="00AF464D"/>
    <w:rsid w:val="00AF50C8"/>
    <w:rsid w:val="00AF527B"/>
    <w:rsid w:val="00AF666F"/>
    <w:rsid w:val="00AF6F44"/>
    <w:rsid w:val="00AF745E"/>
    <w:rsid w:val="00AF76C9"/>
    <w:rsid w:val="00B01DC3"/>
    <w:rsid w:val="00B05D79"/>
    <w:rsid w:val="00B06112"/>
    <w:rsid w:val="00B136A2"/>
    <w:rsid w:val="00B157CD"/>
    <w:rsid w:val="00B16CC2"/>
    <w:rsid w:val="00B20F19"/>
    <w:rsid w:val="00B2336A"/>
    <w:rsid w:val="00B24384"/>
    <w:rsid w:val="00B263AE"/>
    <w:rsid w:val="00B2748C"/>
    <w:rsid w:val="00B304F4"/>
    <w:rsid w:val="00B31280"/>
    <w:rsid w:val="00B31B4B"/>
    <w:rsid w:val="00B32CDF"/>
    <w:rsid w:val="00B337F9"/>
    <w:rsid w:val="00B33AB2"/>
    <w:rsid w:val="00B33F98"/>
    <w:rsid w:val="00B35F1A"/>
    <w:rsid w:val="00B36F06"/>
    <w:rsid w:val="00B51E82"/>
    <w:rsid w:val="00B52031"/>
    <w:rsid w:val="00B52635"/>
    <w:rsid w:val="00B53A1C"/>
    <w:rsid w:val="00B53F06"/>
    <w:rsid w:val="00B54D7C"/>
    <w:rsid w:val="00B5527C"/>
    <w:rsid w:val="00B55728"/>
    <w:rsid w:val="00B55733"/>
    <w:rsid w:val="00B56068"/>
    <w:rsid w:val="00B5636F"/>
    <w:rsid w:val="00B60649"/>
    <w:rsid w:val="00B60B26"/>
    <w:rsid w:val="00B61590"/>
    <w:rsid w:val="00B62128"/>
    <w:rsid w:val="00B631C0"/>
    <w:rsid w:val="00B63D24"/>
    <w:rsid w:val="00B66232"/>
    <w:rsid w:val="00B663B5"/>
    <w:rsid w:val="00B67BE4"/>
    <w:rsid w:val="00B67E3F"/>
    <w:rsid w:val="00B708A3"/>
    <w:rsid w:val="00B70C35"/>
    <w:rsid w:val="00B71D44"/>
    <w:rsid w:val="00B747FE"/>
    <w:rsid w:val="00B74F58"/>
    <w:rsid w:val="00B755DC"/>
    <w:rsid w:val="00B7616E"/>
    <w:rsid w:val="00B76B5C"/>
    <w:rsid w:val="00B76FAE"/>
    <w:rsid w:val="00B774C4"/>
    <w:rsid w:val="00B8028D"/>
    <w:rsid w:val="00B81FF5"/>
    <w:rsid w:val="00B825EE"/>
    <w:rsid w:val="00B830F7"/>
    <w:rsid w:val="00B8373E"/>
    <w:rsid w:val="00B83AC7"/>
    <w:rsid w:val="00B83C31"/>
    <w:rsid w:val="00B842F2"/>
    <w:rsid w:val="00B851BB"/>
    <w:rsid w:val="00B85BE4"/>
    <w:rsid w:val="00B9013A"/>
    <w:rsid w:val="00B924EE"/>
    <w:rsid w:val="00B943DD"/>
    <w:rsid w:val="00B944FF"/>
    <w:rsid w:val="00B95968"/>
    <w:rsid w:val="00B96762"/>
    <w:rsid w:val="00B975F9"/>
    <w:rsid w:val="00BA00C0"/>
    <w:rsid w:val="00BA0226"/>
    <w:rsid w:val="00BA1332"/>
    <w:rsid w:val="00BA5F28"/>
    <w:rsid w:val="00BA68FD"/>
    <w:rsid w:val="00BB2788"/>
    <w:rsid w:val="00BB4D16"/>
    <w:rsid w:val="00BB4F7F"/>
    <w:rsid w:val="00BB648F"/>
    <w:rsid w:val="00BB66C5"/>
    <w:rsid w:val="00BB7C17"/>
    <w:rsid w:val="00BC5DBA"/>
    <w:rsid w:val="00BC63E6"/>
    <w:rsid w:val="00BD0486"/>
    <w:rsid w:val="00BD117B"/>
    <w:rsid w:val="00BD1850"/>
    <w:rsid w:val="00BD2766"/>
    <w:rsid w:val="00BD2E1F"/>
    <w:rsid w:val="00BD5E5D"/>
    <w:rsid w:val="00BD64F3"/>
    <w:rsid w:val="00BD6C34"/>
    <w:rsid w:val="00BE1D6E"/>
    <w:rsid w:val="00BE2123"/>
    <w:rsid w:val="00BE2A27"/>
    <w:rsid w:val="00BE460C"/>
    <w:rsid w:val="00BE48A0"/>
    <w:rsid w:val="00BE55F5"/>
    <w:rsid w:val="00BF006B"/>
    <w:rsid w:val="00BF03FE"/>
    <w:rsid w:val="00BF0519"/>
    <w:rsid w:val="00BF278D"/>
    <w:rsid w:val="00BF2EE1"/>
    <w:rsid w:val="00BF7579"/>
    <w:rsid w:val="00C01D5A"/>
    <w:rsid w:val="00C023EA"/>
    <w:rsid w:val="00C03CDF"/>
    <w:rsid w:val="00C05BF0"/>
    <w:rsid w:val="00C11CF8"/>
    <w:rsid w:val="00C13339"/>
    <w:rsid w:val="00C13612"/>
    <w:rsid w:val="00C138DB"/>
    <w:rsid w:val="00C13FDB"/>
    <w:rsid w:val="00C145DB"/>
    <w:rsid w:val="00C17786"/>
    <w:rsid w:val="00C20111"/>
    <w:rsid w:val="00C22077"/>
    <w:rsid w:val="00C236EA"/>
    <w:rsid w:val="00C23750"/>
    <w:rsid w:val="00C24A8D"/>
    <w:rsid w:val="00C255EC"/>
    <w:rsid w:val="00C26DCD"/>
    <w:rsid w:val="00C2767A"/>
    <w:rsid w:val="00C30D47"/>
    <w:rsid w:val="00C31C57"/>
    <w:rsid w:val="00C338E3"/>
    <w:rsid w:val="00C378A1"/>
    <w:rsid w:val="00C403E7"/>
    <w:rsid w:val="00C4069E"/>
    <w:rsid w:val="00C40E4D"/>
    <w:rsid w:val="00C4480F"/>
    <w:rsid w:val="00C44AE1"/>
    <w:rsid w:val="00C4559D"/>
    <w:rsid w:val="00C51033"/>
    <w:rsid w:val="00C526BB"/>
    <w:rsid w:val="00C54352"/>
    <w:rsid w:val="00C549B2"/>
    <w:rsid w:val="00C549D0"/>
    <w:rsid w:val="00C54C96"/>
    <w:rsid w:val="00C55E1A"/>
    <w:rsid w:val="00C57B21"/>
    <w:rsid w:val="00C60062"/>
    <w:rsid w:val="00C61534"/>
    <w:rsid w:val="00C61639"/>
    <w:rsid w:val="00C6293F"/>
    <w:rsid w:val="00C64453"/>
    <w:rsid w:val="00C66FB7"/>
    <w:rsid w:val="00C6732C"/>
    <w:rsid w:val="00C7188E"/>
    <w:rsid w:val="00C71DA2"/>
    <w:rsid w:val="00C7302C"/>
    <w:rsid w:val="00C75FD4"/>
    <w:rsid w:val="00C7623F"/>
    <w:rsid w:val="00C76AFA"/>
    <w:rsid w:val="00C81072"/>
    <w:rsid w:val="00C824BA"/>
    <w:rsid w:val="00C83E26"/>
    <w:rsid w:val="00C84A9D"/>
    <w:rsid w:val="00C84AFA"/>
    <w:rsid w:val="00C86B78"/>
    <w:rsid w:val="00C87E43"/>
    <w:rsid w:val="00C90844"/>
    <w:rsid w:val="00C952D4"/>
    <w:rsid w:val="00C978E2"/>
    <w:rsid w:val="00C97D86"/>
    <w:rsid w:val="00CA2FA9"/>
    <w:rsid w:val="00CA30EE"/>
    <w:rsid w:val="00CA31D1"/>
    <w:rsid w:val="00CA3C54"/>
    <w:rsid w:val="00CA49D5"/>
    <w:rsid w:val="00CA5D32"/>
    <w:rsid w:val="00CA6FFE"/>
    <w:rsid w:val="00CA79EC"/>
    <w:rsid w:val="00CA7EED"/>
    <w:rsid w:val="00CB0E63"/>
    <w:rsid w:val="00CB1EA4"/>
    <w:rsid w:val="00CB2A73"/>
    <w:rsid w:val="00CB2ED3"/>
    <w:rsid w:val="00CB48ED"/>
    <w:rsid w:val="00CB4C2B"/>
    <w:rsid w:val="00CB63DA"/>
    <w:rsid w:val="00CB6B55"/>
    <w:rsid w:val="00CB779C"/>
    <w:rsid w:val="00CB790A"/>
    <w:rsid w:val="00CC4708"/>
    <w:rsid w:val="00CC4A4E"/>
    <w:rsid w:val="00CC5086"/>
    <w:rsid w:val="00CC7609"/>
    <w:rsid w:val="00CC791A"/>
    <w:rsid w:val="00CD0A01"/>
    <w:rsid w:val="00CD3A2A"/>
    <w:rsid w:val="00CD47FD"/>
    <w:rsid w:val="00CD569F"/>
    <w:rsid w:val="00CD69E5"/>
    <w:rsid w:val="00CD7A83"/>
    <w:rsid w:val="00CD7DD7"/>
    <w:rsid w:val="00CE08B1"/>
    <w:rsid w:val="00CE0DA9"/>
    <w:rsid w:val="00CE0F05"/>
    <w:rsid w:val="00CE13B6"/>
    <w:rsid w:val="00CE27E6"/>
    <w:rsid w:val="00CE3350"/>
    <w:rsid w:val="00CE3ED6"/>
    <w:rsid w:val="00CE5157"/>
    <w:rsid w:val="00CE59D3"/>
    <w:rsid w:val="00CE5FF5"/>
    <w:rsid w:val="00CF0036"/>
    <w:rsid w:val="00CF2385"/>
    <w:rsid w:val="00CF38BC"/>
    <w:rsid w:val="00CF3F8D"/>
    <w:rsid w:val="00CF4289"/>
    <w:rsid w:val="00CF66D7"/>
    <w:rsid w:val="00CF6BD8"/>
    <w:rsid w:val="00D02C75"/>
    <w:rsid w:val="00D044E9"/>
    <w:rsid w:val="00D04DD7"/>
    <w:rsid w:val="00D055E0"/>
    <w:rsid w:val="00D06C63"/>
    <w:rsid w:val="00D078EF"/>
    <w:rsid w:val="00D12FA2"/>
    <w:rsid w:val="00D13678"/>
    <w:rsid w:val="00D14640"/>
    <w:rsid w:val="00D151DA"/>
    <w:rsid w:val="00D16F13"/>
    <w:rsid w:val="00D20617"/>
    <w:rsid w:val="00D21981"/>
    <w:rsid w:val="00D2216A"/>
    <w:rsid w:val="00D22BF4"/>
    <w:rsid w:val="00D236AB"/>
    <w:rsid w:val="00D24C50"/>
    <w:rsid w:val="00D255B9"/>
    <w:rsid w:val="00D27ED1"/>
    <w:rsid w:val="00D27FB7"/>
    <w:rsid w:val="00D27FC9"/>
    <w:rsid w:val="00D30273"/>
    <w:rsid w:val="00D30869"/>
    <w:rsid w:val="00D326A5"/>
    <w:rsid w:val="00D32D69"/>
    <w:rsid w:val="00D33562"/>
    <w:rsid w:val="00D33CF5"/>
    <w:rsid w:val="00D37E7E"/>
    <w:rsid w:val="00D41432"/>
    <w:rsid w:val="00D42442"/>
    <w:rsid w:val="00D4254D"/>
    <w:rsid w:val="00D47430"/>
    <w:rsid w:val="00D47B13"/>
    <w:rsid w:val="00D5003E"/>
    <w:rsid w:val="00D50EB7"/>
    <w:rsid w:val="00D5117D"/>
    <w:rsid w:val="00D523F6"/>
    <w:rsid w:val="00D52D27"/>
    <w:rsid w:val="00D53CD0"/>
    <w:rsid w:val="00D53DDE"/>
    <w:rsid w:val="00D53F99"/>
    <w:rsid w:val="00D569C9"/>
    <w:rsid w:val="00D56C0F"/>
    <w:rsid w:val="00D56CB1"/>
    <w:rsid w:val="00D65638"/>
    <w:rsid w:val="00D65D7A"/>
    <w:rsid w:val="00D66A04"/>
    <w:rsid w:val="00D66CDA"/>
    <w:rsid w:val="00D67789"/>
    <w:rsid w:val="00D72842"/>
    <w:rsid w:val="00D738B7"/>
    <w:rsid w:val="00D75867"/>
    <w:rsid w:val="00D76B2B"/>
    <w:rsid w:val="00D772A7"/>
    <w:rsid w:val="00D775EE"/>
    <w:rsid w:val="00D802F1"/>
    <w:rsid w:val="00D82444"/>
    <w:rsid w:val="00D85961"/>
    <w:rsid w:val="00D86546"/>
    <w:rsid w:val="00D90CCD"/>
    <w:rsid w:val="00D9170C"/>
    <w:rsid w:val="00D91D46"/>
    <w:rsid w:val="00D9483F"/>
    <w:rsid w:val="00D9513F"/>
    <w:rsid w:val="00DA01C9"/>
    <w:rsid w:val="00DA05E6"/>
    <w:rsid w:val="00DA11C1"/>
    <w:rsid w:val="00DA21CE"/>
    <w:rsid w:val="00DA25D1"/>
    <w:rsid w:val="00DA2614"/>
    <w:rsid w:val="00DA3429"/>
    <w:rsid w:val="00DA3561"/>
    <w:rsid w:val="00DA450E"/>
    <w:rsid w:val="00DA62A4"/>
    <w:rsid w:val="00DA68EE"/>
    <w:rsid w:val="00DB059C"/>
    <w:rsid w:val="00DB3024"/>
    <w:rsid w:val="00DB3E61"/>
    <w:rsid w:val="00DB3EF8"/>
    <w:rsid w:val="00DB501A"/>
    <w:rsid w:val="00DB61C5"/>
    <w:rsid w:val="00DC082F"/>
    <w:rsid w:val="00DC3FB0"/>
    <w:rsid w:val="00DC555D"/>
    <w:rsid w:val="00DC5C4A"/>
    <w:rsid w:val="00DC5F3E"/>
    <w:rsid w:val="00DC5FEC"/>
    <w:rsid w:val="00DC706D"/>
    <w:rsid w:val="00DD0C17"/>
    <w:rsid w:val="00DD14EB"/>
    <w:rsid w:val="00DD37D5"/>
    <w:rsid w:val="00DD66C9"/>
    <w:rsid w:val="00DD7D3C"/>
    <w:rsid w:val="00DE1FD7"/>
    <w:rsid w:val="00DE394E"/>
    <w:rsid w:val="00DE4F63"/>
    <w:rsid w:val="00DE5E29"/>
    <w:rsid w:val="00DE6385"/>
    <w:rsid w:val="00DE704C"/>
    <w:rsid w:val="00DE79E7"/>
    <w:rsid w:val="00DF1AAB"/>
    <w:rsid w:val="00DF1EFA"/>
    <w:rsid w:val="00DF234C"/>
    <w:rsid w:val="00DF33C4"/>
    <w:rsid w:val="00DF38BF"/>
    <w:rsid w:val="00DF3CF9"/>
    <w:rsid w:val="00E00328"/>
    <w:rsid w:val="00E01B45"/>
    <w:rsid w:val="00E01C98"/>
    <w:rsid w:val="00E02986"/>
    <w:rsid w:val="00E03C52"/>
    <w:rsid w:val="00E06986"/>
    <w:rsid w:val="00E06ACF"/>
    <w:rsid w:val="00E07132"/>
    <w:rsid w:val="00E074C4"/>
    <w:rsid w:val="00E077E0"/>
    <w:rsid w:val="00E1098C"/>
    <w:rsid w:val="00E1186E"/>
    <w:rsid w:val="00E11D6B"/>
    <w:rsid w:val="00E12A41"/>
    <w:rsid w:val="00E15368"/>
    <w:rsid w:val="00E1667E"/>
    <w:rsid w:val="00E16DCC"/>
    <w:rsid w:val="00E21AE8"/>
    <w:rsid w:val="00E22290"/>
    <w:rsid w:val="00E22CCE"/>
    <w:rsid w:val="00E22DBA"/>
    <w:rsid w:val="00E2388B"/>
    <w:rsid w:val="00E24530"/>
    <w:rsid w:val="00E2555F"/>
    <w:rsid w:val="00E308E8"/>
    <w:rsid w:val="00E315E5"/>
    <w:rsid w:val="00E32A6E"/>
    <w:rsid w:val="00E33065"/>
    <w:rsid w:val="00E338C7"/>
    <w:rsid w:val="00E33BF3"/>
    <w:rsid w:val="00E40B77"/>
    <w:rsid w:val="00E41B1E"/>
    <w:rsid w:val="00E42C20"/>
    <w:rsid w:val="00E4308A"/>
    <w:rsid w:val="00E43D77"/>
    <w:rsid w:val="00E46BAA"/>
    <w:rsid w:val="00E4712E"/>
    <w:rsid w:val="00E505BA"/>
    <w:rsid w:val="00E50961"/>
    <w:rsid w:val="00E50CFD"/>
    <w:rsid w:val="00E50F90"/>
    <w:rsid w:val="00E527EE"/>
    <w:rsid w:val="00E52900"/>
    <w:rsid w:val="00E534AE"/>
    <w:rsid w:val="00E53605"/>
    <w:rsid w:val="00E53E3C"/>
    <w:rsid w:val="00E546BC"/>
    <w:rsid w:val="00E555DA"/>
    <w:rsid w:val="00E559CA"/>
    <w:rsid w:val="00E55DE2"/>
    <w:rsid w:val="00E57F93"/>
    <w:rsid w:val="00E605BE"/>
    <w:rsid w:val="00E60D01"/>
    <w:rsid w:val="00E6122D"/>
    <w:rsid w:val="00E62848"/>
    <w:rsid w:val="00E62A46"/>
    <w:rsid w:val="00E634F0"/>
    <w:rsid w:val="00E649C0"/>
    <w:rsid w:val="00E6581C"/>
    <w:rsid w:val="00E66848"/>
    <w:rsid w:val="00E66A29"/>
    <w:rsid w:val="00E66C11"/>
    <w:rsid w:val="00E67A27"/>
    <w:rsid w:val="00E701E8"/>
    <w:rsid w:val="00E768F7"/>
    <w:rsid w:val="00E77830"/>
    <w:rsid w:val="00E80341"/>
    <w:rsid w:val="00E80A38"/>
    <w:rsid w:val="00E80AA1"/>
    <w:rsid w:val="00E80AD4"/>
    <w:rsid w:val="00E8131A"/>
    <w:rsid w:val="00E82CB2"/>
    <w:rsid w:val="00E830C5"/>
    <w:rsid w:val="00E8355C"/>
    <w:rsid w:val="00E84516"/>
    <w:rsid w:val="00E86113"/>
    <w:rsid w:val="00E86903"/>
    <w:rsid w:val="00E86C4D"/>
    <w:rsid w:val="00E877F4"/>
    <w:rsid w:val="00E878ED"/>
    <w:rsid w:val="00E93662"/>
    <w:rsid w:val="00E946BD"/>
    <w:rsid w:val="00E953BA"/>
    <w:rsid w:val="00E979DA"/>
    <w:rsid w:val="00EA17D6"/>
    <w:rsid w:val="00EA4DA7"/>
    <w:rsid w:val="00EB292C"/>
    <w:rsid w:val="00EB588F"/>
    <w:rsid w:val="00EB7731"/>
    <w:rsid w:val="00EC1646"/>
    <w:rsid w:val="00EC4198"/>
    <w:rsid w:val="00EC4279"/>
    <w:rsid w:val="00EC516C"/>
    <w:rsid w:val="00EC62DE"/>
    <w:rsid w:val="00EC63CD"/>
    <w:rsid w:val="00EC7139"/>
    <w:rsid w:val="00EC73F6"/>
    <w:rsid w:val="00EC7787"/>
    <w:rsid w:val="00ED043C"/>
    <w:rsid w:val="00ED15D0"/>
    <w:rsid w:val="00ED18B8"/>
    <w:rsid w:val="00ED1DA4"/>
    <w:rsid w:val="00ED3ECB"/>
    <w:rsid w:val="00ED4105"/>
    <w:rsid w:val="00ED4A46"/>
    <w:rsid w:val="00ED4CF7"/>
    <w:rsid w:val="00ED54AD"/>
    <w:rsid w:val="00ED7CD6"/>
    <w:rsid w:val="00ED7CF0"/>
    <w:rsid w:val="00ED7F3E"/>
    <w:rsid w:val="00EE0FFF"/>
    <w:rsid w:val="00EE13B1"/>
    <w:rsid w:val="00EE29F9"/>
    <w:rsid w:val="00EE3068"/>
    <w:rsid w:val="00EE35DF"/>
    <w:rsid w:val="00EE362D"/>
    <w:rsid w:val="00EE4D69"/>
    <w:rsid w:val="00EE712E"/>
    <w:rsid w:val="00EE73AC"/>
    <w:rsid w:val="00EF0EC5"/>
    <w:rsid w:val="00EF2094"/>
    <w:rsid w:val="00EF2EE1"/>
    <w:rsid w:val="00EF3B80"/>
    <w:rsid w:val="00EF437B"/>
    <w:rsid w:val="00EF4E54"/>
    <w:rsid w:val="00EF664A"/>
    <w:rsid w:val="00F01371"/>
    <w:rsid w:val="00F01FAF"/>
    <w:rsid w:val="00F01FE3"/>
    <w:rsid w:val="00F02AFC"/>
    <w:rsid w:val="00F03C2F"/>
    <w:rsid w:val="00F05627"/>
    <w:rsid w:val="00F05AE2"/>
    <w:rsid w:val="00F06383"/>
    <w:rsid w:val="00F07BB7"/>
    <w:rsid w:val="00F10191"/>
    <w:rsid w:val="00F111F6"/>
    <w:rsid w:val="00F114F2"/>
    <w:rsid w:val="00F142AC"/>
    <w:rsid w:val="00F2469B"/>
    <w:rsid w:val="00F259B4"/>
    <w:rsid w:val="00F3021F"/>
    <w:rsid w:val="00F30D4C"/>
    <w:rsid w:val="00F3152E"/>
    <w:rsid w:val="00F31624"/>
    <w:rsid w:val="00F31949"/>
    <w:rsid w:val="00F342FC"/>
    <w:rsid w:val="00F34D73"/>
    <w:rsid w:val="00F34FFC"/>
    <w:rsid w:val="00F35406"/>
    <w:rsid w:val="00F359D4"/>
    <w:rsid w:val="00F35D00"/>
    <w:rsid w:val="00F3698F"/>
    <w:rsid w:val="00F40F3C"/>
    <w:rsid w:val="00F435B6"/>
    <w:rsid w:val="00F43B61"/>
    <w:rsid w:val="00F44587"/>
    <w:rsid w:val="00F4770A"/>
    <w:rsid w:val="00F4781E"/>
    <w:rsid w:val="00F517F7"/>
    <w:rsid w:val="00F525A9"/>
    <w:rsid w:val="00F53323"/>
    <w:rsid w:val="00F5362A"/>
    <w:rsid w:val="00F539A1"/>
    <w:rsid w:val="00F55E9D"/>
    <w:rsid w:val="00F56957"/>
    <w:rsid w:val="00F5763C"/>
    <w:rsid w:val="00F61F1B"/>
    <w:rsid w:val="00F64DC9"/>
    <w:rsid w:val="00F667D5"/>
    <w:rsid w:val="00F667F9"/>
    <w:rsid w:val="00F67F43"/>
    <w:rsid w:val="00F70DEE"/>
    <w:rsid w:val="00F71097"/>
    <w:rsid w:val="00F75116"/>
    <w:rsid w:val="00F76AE1"/>
    <w:rsid w:val="00F76D30"/>
    <w:rsid w:val="00F771F8"/>
    <w:rsid w:val="00F83624"/>
    <w:rsid w:val="00F847C6"/>
    <w:rsid w:val="00F847E5"/>
    <w:rsid w:val="00F85893"/>
    <w:rsid w:val="00F85D3E"/>
    <w:rsid w:val="00F87F0B"/>
    <w:rsid w:val="00F9164A"/>
    <w:rsid w:val="00F926BA"/>
    <w:rsid w:val="00F928CF"/>
    <w:rsid w:val="00F94B6F"/>
    <w:rsid w:val="00F96535"/>
    <w:rsid w:val="00F965B9"/>
    <w:rsid w:val="00F96711"/>
    <w:rsid w:val="00F971C4"/>
    <w:rsid w:val="00F9748F"/>
    <w:rsid w:val="00F97BAE"/>
    <w:rsid w:val="00FA1566"/>
    <w:rsid w:val="00FA3EA0"/>
    <w:rsid w:val="00FA4589"/>
    <w:rsid w:val="00FB069F"/>
    <w:rsid w:val="00FB0FB4"/>
    <w:rsid w:val="00FB10AC"/>
    <w:rsid w:val="00FB2653"/>
    <w:rsid w:val="00FB269B"/>
    <w:rsid w:val="00FB392B"/>
    <w:rsid w:val="00FB4573"/>
    <w:rsid w:val="00FB533C"/>
    <w:rsid w:val="00FB66AA"/>
    <w:rsid w:val="00FB7A6B"/>
    <w:rsid w:val="00FC119B"/>
    <w:rsid w:val="00FC1DAF"/>
    <w:rsid w:val="00FC2E8B"/>
    <w:rsid w:val="00FC627F"/>
    <w:rsid w:val="00FC7707"/>
    <w:rsid w:val="00FD0A77"/>
    <w:rsid w:val="00FD15BC"/>
    <w:rsid w:val="00FD18D3"/>
    <w:rsid w:val="00FD1ABF"/>
    <w:rsid w:val="00FD2266"/>
    <w:rsid w:val="00FD3E34"/>
    <w:rsid w:val="00FD41C7"/>
    <w:rsid w:val="00FD4787"/>
    <w:rsid w:val="00FD4CF5"/>
    <w:rsid w:val="00FD5C47"/>
    <w:rsid w:val="00FE260E"/>
    <w:rsid w:val="00FE5AD1"/>
    <w:rsid w:val="00FE5AFC"/>
    <w:rsid w:val="00FE5D7F"/>
    <w:rsid w:val="00FE771E"/>
    <w:rsid w:val="00FF0193"/>
    <w:rsid w:val="00FF41F4"/>
    <w:rsid w:val="00FF463D"/>
    <w:rsid w:val="00FF48FA"/>
    <w:rsid w:val="00FF4E58"/>
    <w:rsid w:val="00FF539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9A226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berschrift6">
    <w:name w:val="heading 6"/>
    <w:basedOn w:val="Standard"/>
    <w:next w:val="Standard"/>
    <w:link w:val="berschrift6Zchn"/>
    <w:uiPriority w:val="9"/>
    <w:unhideWhenUsed/>
    <w:qFormat/>
    <w:rsid w:val="00EB588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nhideWhenUsed/>
    <w:rsid w:val="003D002A"/>
    <w:pPr>
      <w:spacing w:after="0" w:line="240" w:lineRule="auto"/>
    </w:pPr>
    <w:rPr>
      <w:sz w:val="20"/>
      <w:szCs w:val="20"/>
    </w:rPr>
  </w:style>
  <w:style w:type="character" w:customStyle="1" w:styleId="FunotentextZchn">
    <w:name w:val="Fußnotentext Zchn"/>
    <w:basedOn w:val="Absatz-Standardschriftart"/>
    <w:link w:val="Funotentext"/>
    <w:uiPriority w:val="99"/>
    <w:rsid w:val="003D002A"/>
    <w:rPr>
      <w:sz w:val="20"/>
      <w:szCs w:val="20"/>
    </w:rPr>
  </w:style>
  <w:style w:type="character" w:styleId="Funotenzeichen">
    <w:name w:val="footnote reference"/>
    <w:basedOn w:val="Absatz-Standardschriftart"/>
    <w:unhideWhenUsed/>
    <w:rsid w:val="003D002A"/>
    <w:rPr>
      <w:vertAlign w:val="superscript"/>
    </w:rPr>
  </w:style>
  <w:style w:type="paragraph" w:styleId="Listenabsatz">
    <w:name w:val="List Paragraph"/>
    <w:basedOn w:val="Standard"/>
    <w:uiPriority w:val="34"/>
    <w:qFormat/>
    <w:rsid w:val="00143E6C"/>
    <w:pPr>
      <w:ind w:left="720"/>
      <w:contextualSpacing/>
    </w:pPr>
  </w:style>
  <w:style w:type="paragraph" w:styleId="Kopfzeile">
    <w:name w:val="header"/>
    <w:basedOn w:val="Standard"/>
    <w:link w:val="KopfzeileZchn"/>
    <w:uiPriority w:val="99"/>
    <w:unhideWhenUsed/>
    <w:rsid w:val="00A160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160ED"/>
  </w:style>
  <w:style w:type="paragraph" w:styleId="Fuzeile">
    <w:name w:val="footer"/>
    <w:basedOn w:val="Standard"/>
    <w:link w:val="FuzeileZchn"/>
    <w:uiPriority w:val="99"/>
    <w:unhideWhenUsed/>
    <w:rsid w:val="00A160E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160ED"/>
  </w:style>
  <w:style w:type="character" w:customStyle="1" w:styleId="Funotenzeichen1">
    <w:name w:val="Fußnotenzeichen1"/>
    <w:rsid w:val="007C011B"/>
  </w:style>
  <w:style w:type="paragraph" w:customStyle="1" w:styleId="Default">
    <w:name w:val="Default"/>
    <w:uiPriority w:val="99"/>
    <w:rsid w:val="00D20617"/>
    <w:pPr>
      <w:autoSpaceDE w:val="0"/>
      <w:autoSpaceDN w:val="0"/>
      <w:adjustRightInd w:val="0"/>
      <w:spacing w:after="0" w:line="240" w:lineRule="auto"/>
    </w:pPr>
    <w:rPr>
      <w:rFonts w:cs="Calibri"/>
      <w:color w:val="000000"/>
      <w:sz w:val="24"/>
      <w:szCs w:val="24"/>
    </w:rPr>
  </w:style>
  <w:style w:type="paragraph" w:styleId="berarbeitung">
    <w:name w:val="Revision"/>
    <w:hidden/>
    <w:uiPriority w:val="99"/>
    <w:semiHidden/>
    <w:rsid w:val="00484482"/>
    <w:pPr>
      <w:spacing w:after="0" w:line="240" w:lineRule="auto"/>
    </w:pPr>
  </w:style>
  <w:style w:type="character" w:styleId="Kommentarzeichen">
    <w:name w:val="annotation reference"/>
    <w:basedOn w:val="Absatz-Standardschriftart"/>
    <w:uiPriority w:val="99"/>
    <w:semiHidden/>
    <w:unhideWhenUsed/>
    <w:rsid w:val="00484482"/>
    <w:rPr>
      <w:sz w:val="16"/>
      <w:szCs w:val="16"/>
    </w:rPr>
  </w:style>
  <w:style w:type="paragraph" w:styleId="Kommentartext">
    <w:name w:val="annotation text"/>
    <w:basedOn w:val="Standard"/>
    <w:link w:val="KommentartextZchn"/>
    <w:uiPriority w:val="99"/>
    <w:unhideWhenUsed/>
    <w:rsid w:val="00484482"/>
    <w:pPr>
      <w:spacing w:line="240" w:lineRule="auto"/>
    </w:pPr>
    <w:rPr>
      <w:sz w:val="20"/>
      <w:szCs w:val="20"/>
    </w:rPr>
  </w:style>
  <w:style w:type="character" w:customStyle="1" w:styleId="KommentartextZchn">
    <w:name w:val="Kommentartext Zchn"/>
    <w:basedOn w:val="Absatz-Standardschriftart"/>
    <w:link w:val="Kommentartext"/>
    <w:uiPriority w:val="99"/>
    <w:rsid w:val="00484482"/>
    <w:rPr>
      <w:sz w:val="20"/>
      <w:szCs w:val="20"/>
    </w:rPr>
  </w:style>
  <w:style w:type="paragraph" w:styleId="Kommentarthema">
    <w:name w:val="annotation subject"/>
    <w:basedOn w:val="Kommentartext"/>
    <w:next w:val="Kommentartext"/>
    <w:link w:val="KommentarthemaZchn"/>
    <w:uiPriority w:val="99"/>
    <w:semiHidden/>
    <w:unhideWhenUsed/>
    <w:rsid w:val="00484482"/>
    <w:rPr>
      <w:b/>
      <w:bCs/>
    </w:rPr>
  </w:style>
  <w:style w:type="character" w:customStyle="1" w:styleId="KommentarthemaZchn">
    <w:name w:val="Kommentarthema Zchn"/>
    <w:basedOn w:val="KommentartextZchn"/>
    <w:link w:val="Kommentarthema"/>
    <w:uiPriority w:val="99"/>
    <w:semiHidden/>
    <w:rsid w:val="00484482"/>
    <w:rPr>
      <w:b/>
      <w:bCs/>
      <w:sz w:val="20"/>
      <w:szCs w:val="20"/>
    </w:rPr>
  </w:style>
  <w:style w:type="character" w:styleId="Hyperlink">
    <w:name w:val="Hyperlink"/>
    <w:basedOn w:val="Absatz-Standardschriftart"/>
    <w:uiPriority w:val="99"/>
    <w:rsid w:val="001B5BFE"/>
    <w:rPr>
      <w:rFonts w:cs="Times New Roman"/>
      <w:color w:val="0000FF" w:themeColor="hyperlink"/>
      <w:u w:val="single"/>
    </w:rPr>
  </w:style>
  <w:style w:type="character" w:styleId="Fett">
    <w:name w:val="Strong"/>
    <w:basedOn w:val="Absatz-Standardschriftart"/>
    <w:uiPriority w:val="22"/>
    <w:qFormat/>
    <w:rsid w:val="001B5BFE"/>
    <w:rPr>
      <w:b/>
      <w:bCs/>
    </w:rPr>
  </w:style>
  <w:style w:type="character" w:styleId="BesuchterHyperlink">
    <w:name w:val="FollowedHyperlink"/>
    <w:basedOn w:val="Absatz-Standardschriftart"/>
    <w:uiPriority w:val="99"/>
    <w:semiHidden/>
    <w:unhideWhenUsed/>
    <w:rsid w:val="00EA17D6"/>
    <w:rPr>
      <w:color w:val="800080" w:themeColor="followedHyperlink"/>
      <w:u w:val="single"/>
    </w:rPr>
  </w:style>
  <w:style w:type="character" w:customStyle="1" w:styleId="NichtaufgelsteErwhnung1">
    <w:name w:val="Nicht aufgelöste Erwähnung1"/>
    <w:basedOn w:val="Absatz-Standardschriftart"/>
    <w:uiPriority w:val="99"/>
    <w:semiHidden/>
    <w:unhideWhenUsed/>
    <w:rsid w:val="00EA17D6"/>
    <w:rPr>
      <w:color w:val="605E5C"/>
      <w:shd w:val="clear" w:color="auto" w:fill="E1DFDD"/>
    </w:rPr>
  </w:style>
  <w:style w:type="paragraph" w:styleId="StandardWeb">
    <w:name w:val="Normal (Web)"/>
    <w:basedOn w:val="Standard"/>
    <w:uiPriority w:val="99"/>
    <w:rsid w:val="00FA1566"/>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31621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16216"/>
    <w:rPr>
      <w:rFonts w:ascii="Tahoma" w:hAnsi="Tahoma" w:cs="Tahoma"/>
      <w:sz w:val="16"/>
      <w:szCs w:val="16"/>
    </w:rPr>
  </w:style>
  <w:style w:type="character" w:customStyle="1" w:styleId="whyltd">
    <w:name w:val="whyltd"/>
    <w:basedOn w:val="Absatz-Standardschriftart"/>
    <w:rsid w:val="0014763E"/>
  </w:style>
  <w:style w:type="character" w:customStyle="1" w:styleId="nobr">
    <w:name w:val="nobr"/>
    <w:basedOn w:val="Absatz-Standardschriftart"/>
    <w:rsid w:val="00175B54"/>
  </w:style>
  <w:style w:type="character" w:customStyle="1" w:styleId="fm-vol-iss-date">
    <w:name w:val="fm-vol-iss-date"/>
    <w:basedOn w:val="Absatz-Standardschriftart"/>
    <w:rsid w:val="00C24A8D"/>
  </w:style>
  <w:style w:type="character" w:customStyle="1" w:styleId="doi">
    <w:name w:val="doi"/>
    <w:basedOn w:val="Absatz-Standardschriftart"/>
    <w:rsid w:val="00C24A8D"/>
  </w:style>
  <w:style w:type="character" w:customStyle="1" w:styleId="berschrift1Zchn">
    <w:name w:val="Überschrift 1 Zchn"/>
    <w:basedOn w:val="Absatz-Standardschriftart"/>
    <w:link w:val="berschrift1"/>
    <w:uiPriority w:val="9"/>
    <w:rsid w:val="009A2265"/>
    <w:rPr>
      <w:rFonts w:ascii="Times New Roman" w:eastAsia="Times New Roman" w:hAnsi="Times New Roman" w:cs="Times New Roman"/>
      <w:b/>
      <w:bCs/>
      <w:kern w:val="36"/>
      <w:sz w:val="48"/>
      <w:szCs w:val="48"/>
      <w:lang w:val="en-GB" w:eastAsia="en-GB"/>
    </w:rPr>
  </w:style>
  <w:style w:type="character" w:styleId="Hervorhebung">
    <w:name w:val="Emphasis"/>
    <w:basedOn w:val="Absatz-Standardschriftart"/>
    <w:uiPriority w:val="20"/>
    <w:qFormat/>
    <w:rsid w:val="009A2265"/>
    <w:rPr>
      <w:i/>
      <w:iCs/>
    </w:rPr>
  </w:style>
  <w:style w:type="character" w:customStyle="1" w:styleId="berschrift6Zchn">
    <w:name w:val="Überschrift 6 Zchn"/>
    <w:basedOn w:val="Absatz-Standardschriftart"/>
    <w:link w:val="berschrift6"/>
    <w:uiPriority w:val="9"/>
    <w:rsid w:val="00EB588F"/>
    <w:rPr>
      <w:rFonts w:asciiTheme="majorHAnsi" w:eastAsiaTheme="majorEastAsia" w:hAnsiTheme="majorHAnsi" w:cstheme="majorBidi"/>
      <w:i/>
      <w:iCs/>
      <w:color w:val="243F60" w:themeColor="accent1" w:themeShade="7F"/>
    </w:rPr>
  </w:style>
  <w:style w:type="character" w:customStyle="1" w:styleId="s4">
    <w:name w:val="s4"/>
    <w:basedOn w:val="Absatz-Standardschriftart"/>
    <w:rsid w:val="00EB588F"/>
  </w:style>
  <w:style w:type="character" w:customStyle="1" w:styleId="s6">
    <w:name w:val="s6"/>
    <w:basedOn w:val="Absatz-Standardschriftart"/>
    <w:rsid w:val="00EB588F"/>
  </w:style>
  <w:style w:type="character" w:customStyle="1" w:styleId="UnresolvedMention">
    <w:name w:val="Unresolved Mention"/>
    <w:basedOn w:val="Absatz-Standardschriftart"/>
    <w:uiPriority w:val="99"/>
    <w:semiHidden/>
    <w:unhideWhenUsed/>
    <w:rsid w:val="00D569C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9A226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berschrift6">
    <w:name w:val="heading 6"/>
    <w:basedOn w:val="Standard"/>
    <w:next w:val="Standard"/>
    <w:link w:val="berschrift6Zchn"/>
    <w:uiPriority w:val="9"/>
    <w:unhideWhenUsed/>
    <w:qFormat/>
    <w:rsid w:val="00EB588F"/>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unhideWhenUsed/>
    <w:rsid w:val="003D002A"/>
    <w:pPr>
      <w:spacing w:after="0" w:line="240" w:lineRule="auto"/>
    </w:pPr>
    <w:rPr>
      <w:sz w:val="20"/>
      <w:szCs w:val="20"/>
    </w:rPr>
  </w:style>
  <w:style w:type="character" w:customStyle="1" w:styleId="FunotentextZchn">
    <w:name w:val="Fußnotentext Zchn"/>
    <w:basedOn w:val="Absatz-Standardschriftart"/>
    <w:link w:val="Funotentext"/>
    <w:uiPriority w:val="99"/>
    <w:rsid w:val="003D002A"/>
    <w:rPr>
      <w:sz w:val="20"/>
      <w:szCs w:val="20"/>
    </w:rPr>
  </w:style>
  <w:style w:type="character" w:styleId="Funotenzeichen">
    <w:name w:val="footnote reference"/>
    <w:basedOn w:val="Absatz-Standardschriftart"/>
    <w:unhideWhenUsed/>
    <w:rsid w:val="003D002A"/>
    <w:rPr>
      <w:vertAlign w:val="superscript"/>
    </w:rPr>
  </w:style>
  <w:style w:type="paragraph" w:styleId="Listenabsatz">
    <w:name w:val="List Paragraph"/>
    <w:basedOn w:val="Standard"/>
    <w:uiPriority w:val="34"/>
    <w:qFormat/>
    <w:rsid w:val="00143E6C"/>
    <w:pPr>
      <w:ind w:left="720"/>
      <w:contextualSpacing/>
    </w:pPr>
  </w:style>
  <w:style w:type="paragraph" w:styleId="Kopfzeile">
    <w:name w:val="header"/>
    <w:basedOn w:val="Standard"/>
    <w:link w:val="KopfzeileZchn"/>
    <w:uiPriority w:val="99"/>
    <w:unhideWhenUsed/>
    <w:rsid w:val="00A160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160ED"/>
  </w:style>
  <w:style w:type="paragraph" w:styleId="Fuzeile">
    <w:name w:val="footer"/>
    <w:basedOn w:val="Standard"/>
    <w:link w:val="FuzeileZchn"/>
    <w:uiPriority w:val="99"/>
    <w:unhideWhenUsed/>
    <w:rsid w:val="00A160E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160ED"/>
  </w:style>
  <w:style w:type="character" w:customStyle="1" w:styleId="Funotenzeichen1">
    <w:name w:val="Fußnotenzeichen1"/>
    <w:rsid w:val="007C011B"/>
  </w:style>
  <w:style w:type="paragraph" w:customStyle="1" w:styleId="Default">
    <w:name w:val="Default"/>
    <w:uiPriority w:val="99"/>
    <w:rsid w:val="00D20617"/>
    <w:pPr>
      <w:autoSpaceDE w:val="0"/>
      <w:autoSpaceDN w:val="0"/>
      <w:adjustRightInd w:val="0"/>
      <w:spacing w:after="0" w:line="240" w:lineRule="auto"/>
    </w:pPr>
    <w:rPr>
      <w:rFonts w:cs="Calibri"/>
      <w:color w:val="000000"/>
      <w:sz w:val="24"/>
      <w:szCs w:val="24"/>
    </w:rPr>
  </w:style>
  <w:style w:type="paragraph" w:styleId="berarbeitung">
    <w:name w:val="Revision"/>
    <w:hidden/>
    <w:uiPriority w:val="99"/>
    <w:semiHidden/>
    <w:rsid w:val="00484482"/>
    <w:pPr>
      <w:spacing w:after="0" w:line="240" w:lineRule="auto"/>
    </w:pPr>
  </w:style>
  <w:style w:type="character" w:styleId="Kommentarzeichen">
    <w:name w:val="annotation reference"/>
    <w:basedOn w:val="Absatz-Standardschriftart"/>
    <w:uiPriority w:val="99"/>
    <w:semiHidden/>
    <w:unhideWhenUsed/>
    <w:rsid w:val="00484482"/>
    <w:rPr>
      <w:sz w:val="16"/>
      <w:szCs w:val="16"/>
    </w:rPr>
  </w:style>
  <w:style w:type="paragraph" w:styleId="Kommentartext">
    <w:name w:val="annotation text"/>
    <w:basedOn w:val="Standard"/>
    <w:link w:val="KommentartextZchn"/>
    <w:uiPriority w:val="99"/>
    <w:unhideWhenUsed/>
    <w:rsid w:val="00484482"/>
    <w:pPr>
      <w:spacing w:line="240" w:lineRule="auto"/>
    </w:pPr>
    <w:rPr>
      <w:sz w:val="20"/>
      <w:szCs w:val="20"/>
    </w:rPr>
  </w:style>
  <w:style w:type="character" w:customStyle="1" w:styleId="KommentartextZchn">
    <w:name w:val="Kommentartext Zchn"/>
    <w:basedOn w:val="Absatz-Standardschriftart"/>
    <w:link w:val="Kommentartext"/>
    <w:uiPriority w:val="99"/>
    <w:rsid w:val="00484482"/>
    <w:rPr>
      <w:sz w:val="20"/>
      <w:szCs w:val="20"/>
    </w:rPr>
  </w:style>
  <w:style w:type="paragraph" w:styleId="Kommentarthema">
    <w:name w:val="annotation subject"/>
    <w:basedOn w:val="Kommentartext"/>
    <w:next w:val="Kommentartext"/>
    <w:link w:val="KommentarthemaZchn"/>
    <w:uiPriority w:val="99"/>
    <w:semiHidden/>
    <w:unhideWhenUsed/>
    <w:rsid w:val="00484482"/>
    <w:rPr>
      <w:b/>
      <w:bCs/>
    </w:rPr>
  </w:style>
  <w:style w:type="character" w:customStyle="1" w:styleId="KommentarthemaZchn">
    <w:name w:val="Kommentarthema Zchn"/>
    <w:basedOn w:val="KommentartextZchn"/>
    <w:link w:val="Kommentarthema"/>
    <w:uiPriority w:val="99"/>
    <w:semiHidden/>
    <w:rsid w:val="00484482"/>
    <w:rPr>
      <w:b/>
      <w:bCs/>
      <w:sz w:val="20"/>
      <w:szCs w:val="20"/>
    </w:rPr>
  </w:style>
  <w:style w:type="character" w:styleId="Hyperlink">
    <w:name w:val="Hyperlink"/>
    <w:basedOn w:val="Absatz-Standardschriftart"/>
    <w:uiPriority w:val="99"/>
    <w:rsid w:val="001B5BFE"/>
    <w:rPr>
      <w:rFonts w:cs="Times New Roman"/>
      <w:color w:val="0000FF" w:themeColor="hyperlink"/>
      <w:u w:val="single"/>
    </w:rPr>
  </w:style>
  <w:style w:type="character" w:styleId="Fett">
    <w:name w:val="Strong"/>
    <w:basedOn w:val="Absatz-Standardschriftart"/>
    <w:uiPriority w:val="22"/>
    <w:qFormat/>
    <w:rsid w:val="001B5BFE"/>
    <w:rPr>
      <w:b/>
      <w:bCs/>
    </w:rPr>
  </w:style>
  <w:style w:type="character" w:styleId="BesuchterHyperlink">
    <w:name w:val="FollowedHyperlink"/>
    <w:basedOn w:val="Absatz-Standardschriftart"/>
    <w:uiPriority w:val="99"/>
    <w:semiHidden/>
    <w:unhideWhenUsed/>
    <w:rsid w:val="00EA17D6"/>
    <w:rPr>
      <w:color w:val="800080" w:themeColor="followedHyperlink"/>
      <w:u w:val="single"/>
    </w:rPr>
  </w:style>
  <w:style w:type="character" w:customStyle="1" w:styleId="NichtaufgelsteErwhnung1">
    <w:name w:val="Nicht aufgelöste Erwähnung1"/>
    <w:basedOn w:val="Absatz-Standardschriftart"/>
    <w:uiPriority w:val="99"/>
    <w:semiHidden/>
    <w:unhideWhenUsed/>
    <w:rsid w:val="00EA17D6"/>
    <w:rPr>
      <w:color w:val="605E5C"/>
      <w:shd w:val="clear" w:color="auto" w:fill="E1DFDD"/>
    </w:rPr>
  </w:style>
  <w:style w:type="paragraph" w:styleId="StandardWeb">
    <w:name w:val="Normal (Web)"/>
    <w:basedOn w:val="Standard"/>
    <w:uiPriority w:val="99"/>
    <w:rsid w:val="00FA1566"/>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316216"/>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16216"/>
    <w:rPr>
      <w:rFonts w:ascii="Tahoma" w:hAnsi="Tahoma" w:cs="Tahoma"/>
      <w:sz w:val="16"/>
      <w:szCs w:val="16"/>
    </w:rPr>
  </w:style>
  <w:style w:type="character" w:customStyle="1" w:styleId="whyltd">
    <w:name w:val="whyltd"/>
    <w:basedOn w:val="Absatz-Standardschriftart"/>
    <w:rsid w:val="0014763E"/>
  </w:style>
  <w:style w:type="character" w:customStyle="1" w:styleId="nobr">
    <w:name w:val="nobr"/>
    <w:basedOn w:val="Absatz-Standardschriftart"/>
    <w:rsid w:val="00175B54"/>
  </w:style>
  <w:style w:type="character" w:customStyle="1" w:styleId="fm-vol-iss-date">
    <w:name w:val="fm-vol-iss-date"/>
    <w:basedOn w:val="Absatz-Standardschriftart"/>
    <w:rsid w:val="00C24A8D"/>
  </w:style>
  <w:style w:type="character" w:customStyle="1" w:styleId="doi">
    <w:name w:val="doi"/>
    <w:basedOn w:val="Absatz-Standardschriftart"/>
    <w:rsid w:val="00C24A8D"/>
  </w:style>
  <w:style w:type="character" w:customStyle="1" w:styleId="berschrift1Zchn">
    <w:name w:val="Überschrift 1 Zchn"/>
    <w:basedOn w:val="Absatz-Standardschriftart"/>
    <w:link w:val="berschrift1"/>
    <w:uiPriority w:val="9"/>
    <w:rsid w:val="009A2265"/>
    <w:rPr>
      <w:rFonts w:ascii="Times New Roman" w:eastAsia="Times New Roman" w:hAnsi="Times New Roman" w:cs="Times New Roman"/>
      <w:b/>
      <w:bCs/>
      <w:kern w:val="36"/>
      <w:sz w:val="48"/>
      <w:szCs w:val="48"/>
      <w:lang w:val="en-GB" w:eastAsia="en-GB"/>
    </w:rPr>
  </w:style>
  <w:style w:type="character" w:styleId="Hervorhebung">
    <w:name w:val="Emphasis"/>
    <w:basedOn w:val="Absatz-Standardschriftart"/>
    <w:uiPriority w:val="20"/>
    <w:qFormat/>
    <w:rsid w:val="009A2265"/>
    <w:rPr>
      <w:i/>
      <w:iCs/>
    </w:rPr>
  </w:style>
  <w:style w:type="character" w:customStyle="1" w:styleId="berschrift6Zchn">
    <w:name w:val="Überschrift 6 Zchn"/>
    <w:basedOn w:val="Absatz-Standardschriftart"/>
    <w:link w:val="berschrift6"/>
    <w:uiPriority w:val="9"/>
    <w:rsid w:val="00EB588F"/>
    <w:rPr>
      <w:rFonts w:asciiTheme="majorHAnsi" w:eastAsiaTheme="majorEastAsia" w:hAnsiTheme="majorHAnsi" w:cstheme="majorBidi"/>
      <w:i/>
      <w:iCs/>
      <w:color w:val="243F60" w:themeColor="accent1" w:themeShade="7F"/>
    </w:rPr>
  </w:style>
  <w:style w:type="character" w:customStyle="1" w:styleId="s4">
    <w:name w:val="s4"/>
    <w:basedOn w:val="Absatz-Standardschriftart"/>
    <w:rsid w:val="00EB588F"/>
  </w:style>
  <w:style w:type="character" w:customStyle="1" w:styleId="s6">
    <w:name w:val="s6"/>
    <w:basedOn w:val="Absatz-Standardschriftart"/>
    <w:rsid w:val="00EB588F"/>
  </w:style>
  <w:style w:type="character" w:customStyle="1" w:styleId="UnresolvedMention">
    <w:name w:val="Unresolved Mention"/>
    <w:basedOn w:val="Absatz-Standardschriftart"/>
    <w:uiPriority w:val="99"/>
    <w:semiHidden/>
    <w:unhideWhenUsed/>
    <w:rsid w:val="00D56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21892">
      <w:bodyDiv w:val="1"/>
      <w:marLeft w:val="0"/>
      <w:marRight w:val="0"/>
      <w:marTop w:val="0"/>
      <w:marBottom w:val="0"/>
      <w:divBdr>
        <w:top w:val="none" w:sz="0" w:space="0" w:color="auto"/>
        <w:left w:val="none" w:sz="0" w:space="0" w:color="auto"/>
        <w:bottom w:val="none" w:sz="0" w:space="0" w:color="auto"/>
        <w:right w:val="none" w:sz="0" w:space="0" w:color="auto"/>
      </w:divBdr>
    </w:div>
    <w:div w:id="402221348">
      <w:bodyDiv w:val="1"/>
      <w:marLeft w:val="0"/>
      <w:marRight w:val="0"/>
      <w:marTop w:val="0"/>
      <w:marBottom w:val="0"/>
      <w:divBdr>
        <w:top w:val="none" w:sz="0" w:space="0" w:color="auto"/>
        <w:left w:val="none" w:sz="0" w:space="0" w:color="auto"/>
        <w:bottom w:val="none" w:sz="0" w:space="0" w:color="auto"/>
        <w:right w:val="none" w:sz="0" w:space="0" w:color="auto"/>
      </w:divBdr>
      <w:divsChild>
        <w:div w:id="1569653851">
          <w:marLeft w:val="0"/>
          <w:marRight w:val="0"/>
          <w:marTop w:val="0"/>
          <w:marBottom w:val="0"/>
          <w:divBdr>
            <w:top w:val="none" w:sz="0" w:space="0" w:color="auto"/>
            <w:left w:val="none" w:sz="0" w:space="0" w:color="auto"/>
            <w:bottom w:val="none" w:sz="0" w:space="0" w:color="auto"/>
            <w:right w:val="none" w:sz="0" w:space="0" w:color="auto"/>
          </w:divBdr>
          <w:divsChild>
            <w:div w:id="666828959">
              <w:marLeft w:val="0"/>
              <w:marRight w:val="0"/>
              <w:marTop w:val="0"/>
              <w:marBottom w:val="0"/>
              <w:divBdr>
                <w:top w:val="none" w:sz="0" w:space="0" w:color="auto"/>
                <w:left w:val="none" w:sz="0" w:space="0" w:color="auto"/>
                <w:bottom w:val="none" w:sz="0" w:space="0" w:color="auto"/>
                <w:right w:val="none" w:sz="0" w:space="0" w:color="auto"/>
              </w:divBdr>
              <w:divsChild>
                <w:div w:id="607588933">
                  <w:marLeft w:val="0"/>
                  <w:marRight w:val="0"/>
                  <w:marTop w:val="0"/>
                  <w:marBottom w:val="0"/>
                  <w:divBdr>
                    <w:top w:val="none" w:sz="0" w:space="0" w:color="auto"/>
                    <w:left w:val="none" w:sz="0" w:space="0" w:color="auto"/>
                    <w:bottom w:val="none" w:sz="0" w:space="0" w:color="auto"/>
                    <w:right w:val="none" w:sz="0" w:space="0" w:color="auto"/>
                  </w:divBdr>
                </w:div>
                <w:div w:id="1910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09147">
      <w:bodyDiv w:val="1"/>
      <w:marLeft w:val="0"/>
      <w:marRight w:val="0"/>
      <w:marTop w:val="0"/>
      <w:marBottom w:val="0"/>
      <w:divBdr>
        <w:top w:val="none" w:sz="0" w:space="0" w:color="auto"/>
        <w:left w:val="none" w:sz="0" w:space="0" w:color="auto"/>
        <w:bottom w:val="none" w:sz="0" w:space="0" w:color="auto"/>
        <w:right w:val="none" w:sz="0" w:space="0" w:color="auto"/>
      </w:divBdr>
      <w:divsChild>
        <w:div w:id="871453263">
          <w:marLeft w:val="0"/>
          <w:marRight w:val="0"/>
          <w:marTop w:val="0"/>
          <w:marBottom w:val="0"/>
          <w:divBdr>
            <w:top w:val="none" w:sz="0" w:space="0" w:color="auto"/>
            <w:left w:val="none" w:sz="0" w:space="0" w:color="auto"/>
            <w:bottom w:val="none" w:sz="0" w:space="0" w:color="auto"/>
            <w:right w:val="none" w:sz="0" w:space="0" w:color="auto"/>
          </w:divBdr>
          <w:divsChild>
            <w:div w:id="522473499">
              <w:marLeft w:val="0"/>
              <w:marRight w:val="0"/>
              <w:marTop w:val="0"/>
              <w:marBottom w:val="0"/>
              <w:divBdr>
                <w:top w:val="none" w:sz="0" w:space="0" w:color="auto"/>
                <w:left w:val="none" w:sz="0" w:space="0" w:color="auto"/>
                <w:bottom w:val="none" w:sz="0" w:space="0" w:color="auto"/>
                <w:right w:val="none" w:sz="0" w:space="0" w:color="auto"/>
              </w:divBdr>
              <w:divsChild>
                <w:div w:id="597761063">
                  <w:marLeft w:val="0"/>
                  <w:marRight w:val="0"/>
                  <w:marTop w:val="0"/>
                  <w:marBottom w:val="0"/>
                  <w:divBdr>
                    <w:top w:val="none" w:sz="0" w:space="0" w:color="auto"/>
                    <w:left w:val="none" w:sz="0" w:space="0" w:color="auto"/>
                    <w:bottom w:val="none" w:sz="0" w:space="0" w:color="auto"/>
                    <w:right w:val="none" w:sz="0" w:space="0" w:color="auto"/>
                  </w:divBdr>
                  <w:divsChild>
                    <w:div w:id="12116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537397">
      <w:bodyDiv w:val="1"/>
      <w:marLeft w:val="0"/>
      <w:marRight w:val="0"/>
      <w:marTop w:val="0"/>
      <w:marBottom w:val="0"/>
      <w:divBdr>
        <w:top w:val="none" w:sz="0" w:space="0" w:color="auto"/>
        <w:left w:val="none" w:sz="0" w:space="0" w:color="auto"/>
        <w:bottom w:val="none" w:sz="0" w:space="0" w:color="auto"/>
        <w:right w:val="none" w:sz="0" w:space="0" w:color="auto"/>
      </w:divBdr>
      <w:divsChild>
        <w:div w:id="1779787325">
          <w:marLeft w:val="0"/>
          <w:marRight w:val="0"/>
          <w:marTop w:val="0"/>
          <w:marBottom w:val="0"/>
          <w:divBdr>
            <w:top w:val="none" w:sz="0" w:space="0" w:color="auto"/>
            <w:left w:val="none" w:sz="0" w:space="0" w:color="auto"/>
            <w:bottom w:val="none" w:sz="0" w:space="0" w:color="auto"/>
            <w:right w:val="none" w:sz="0" w:space="0" w:color="auto"/>
          </w:divBdr>
        </w:div>
      </w:divsChild>
    </w:div>
    <w:div w:id="1884978440">
      <w:bodyDiv w:val="1"/>
      <w:marLeft w:val="0"/>
      <w:marRight w:val="0"/>
      <w:marTop w:val="0"/>
      <w:marBottom w:val="0"/>
      <w:divBdr>
        <w:top w:val="none" w:sz="0" w:space="0" w:color="auto"/>
        <w:left w:val="none" w:sz="0" w:space="0" w:color="auto"/>
        <w:bottom w:val="none" w:sz="0" w:space="0" w:color="auto"/>
        <w:right w:val="none" w:sz="0" w:space="0" w:color="auto"/>
      </w:divBdr>
    </w:div>
    <w:div w:id="1914267894">
      <w:bodyDiv w:val="1"/>
      <w:marLeft w:val="0"/>
      <w:marRight w:val="0"/>
      <w:marTop w:val="0"/>
      <w:marBottom w:val="0"/>
      <w:divBdr>
        <w:top w:val="none" w:sz="0" w:space="0" w:color="auto"/>
        <w:left w:val="none" w:sz="0" w:space="0" w:color="auto"/>
        <w:bottom w:val="none" w:sz="0" w:space="0" w:color="auto"/>
        <w:right w:val="none" w:sz="0" w:space="0" w:color="auto"/>
      </w:divBdr>
      <w:divsChild>
        <w:div w:id="1865555242">
          <w:marLeft w:val="0"/>
          <w:marRight w:val="0"/>
          <w:marTop w:val="0"/>
          <w:marBottom w:val="0"/>
          <w:divBdr>
            <w:top w:val="none" w:sz="0" w:space="0" w:color="auto"/>
            <w:left w:val="none" w:sz="0" w:space="0" w:color="auto"/>
            <w:bottom w:val="none" w:sz="0" w:space="0" w:color="auto"/>
            <w:right w:val="none" w:sz="0" w:space="0" w:color="auto"/>
          </w:divBdr>
        </w:div>
      </w:divsChild>
    </w:div>
    <w:div w:id="2088766324">
      <w:bodyDiv w:val="1"/>
      <w:marLeft w:val="0"/>
      <w:marRight w:val="0"/>
      <w:marTop w:val="0"/>
      <w:marBottom w:val="0"/>
      <w:divBdr>
        <w:top w:val="none" w:sz="0" w:space="0" w:color="auto"/>
        <w:left w:val="none" w:sz="0" w:space="0" w:color="auto"/>
        <w:bottom w:val="none" w:sz="0" w:space="0" w:color="auto"/>
        <w:right w:val="none" w:sz="0" w:space="0" w:color="auto"/>
      </w:divBdr>
      <w:divsChild>
        <w:div w:id="628778674">
          <w:marLeft w:val="0"/>
          <w:marRight w:val="0"/>
          <w:marTop w:val="0"/>
          <w:marBottom w:val="0"/>
          <w:divBdr>
            <w:top w:val="none" w:sz="0" w:space="0" w:color="auto"/>
            <w:left w:val="none" w:sz="0" w:space="0" w:color="auto"/>
            <w:bottom w:val="none" w:sz="0" w:space="0" w:color="auto"/>
            <w:right w:val="none" w:sz="0" w:space="0" w:color="auto"/>
          </w:divBdr>
        </w:div>
        <w:div w:id="1433358952">
          <w:marLeft w:val="0"/>
          <w:marRight w:val="0"/>
          <w:marTop w:val="0"/>
          <w:marBottom w:val="0"/>
          <w:divBdr>
            <w:top w:val="none" w:sz="0" w:space="0" w:color="auto"/>
            <w:left w:val="none" w:sz="0" w:space="0" w:color="auto"/>
            <w:bottom w:val="none" w:sz="0" w:space="0" w:color="auto"/>
            <w:right w:val="none" w:sz="0" w:space="0" w:color="auto"/>
          </w:divBdr>
        </w:div>
      </w:divsChild>
    </w:div>
    <w:div w:id="2111730933">
      <w:bodyDiv w:val="1"/>
      <w:marLeft w:val="0"/>
      <w:marRight w:val="0"/>
      <w:marTop w:val="0"/>
      <w:marBottom w:val="0"/>
      <w:divBdr>
        <w:top w:val="none" w:sz="0" w:space="0" w:color="auto"/>
        <w:left w:val="none" w:sz="0" w:space="0" w:color="auto"/>
        <w:bottom w:val="none" w:sz="0" w:space="0" w:color="auto"/>
        <w:right w:val="none" w:sz="0" w:space="0" w:color="auto"/>
      </w:divBdr>
      <w:divsChild>
        <w:div w:id="133716605">
          <w:marLeft w:val="0"/>
          <w:marRight w:val="0"/>
          <w:marTop w:val="0"/>
          <w:marBottom w:val="0"/>
          <w:divBdr>
            <w:top w:val="none" w:sz="0" w:space="0" w:color="auto"/>
            <w:left w:val="none" w:sz="0" w:space="0" w:color="auto"/>
            <w:bottom w:val="none" w:sz="0" w:space="0" w:color="auto"/>
            <w:right w:val="none" w:sz="0" w:space="0" w:color="auto"/>
          </w:divBdr>
          <w:divsChild>
            <w:div w:id="132479802">
              <w:marLeft w:val="0"/>
              <w:marRight w:val="0"/>
              <w:marTop w:val="0"/>
              <w:marBottom w:val="0"/>
              <w:divBdr>
                <w:top w:val="none" w:sz="0" w:space="0" w:color="auto"/>
                <w:left w:val="none" w:sz="0" w:space="0" w:color="auto"/>
                <w:bottom w:val="none" w:sz="0" w:space="0" w:color="auto"/>
                <w:right w:val="none" w:sz="0" w:space="0" w:color="auto"/>
              </w:divBdr>
              <w:divsChild>
                <w:div w:id="193545780">
                  <w:marLeft w:val="0"/>
                  <w:marRight w:val="0"/>
                  <w:marTop w:val="0"/>
                  <w:marBottom w:val="0"/>
                  <w:divBdr>
                    <w:top w:val="none" w:sz="0" w:space="0" w:color="auto"/>
                    <w:left w:val="none" w:sz="0" w:space="0" w:color="auto"/>
                    <w:bottom w:val="none" w:sz="0" w:space="0" w:color="auto"/>
                    <w:right w:val="none" w:sz="0" w:space="0" w:color="auto"/>
                  </w:divBdr>
                </w:div>
                <w:div w:id="17369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eur-lex.europa.eu/legal-con-tent/DE/TXT/PDF/?uri=CELEX:51997DC0176&amp;from=EN"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microsoft.com/office/2011/relationships/people" Target="people.xml"/></Relationships>
</file>

<file path=word/_rels/footnotes.xml.rels><?xml version="1.0" encoding="UTF-8" standalone="yes"?>
<Relationships xmlns="http://schemas.openxmlformats.org/package/2006/relationships"><Relationship Id="rId8" Type="http://schemas.openxmlformats.org/officeDocument/2006/relationships/hyperlink" Target="https://curia.europa.eu/juris/liste.jsf?language=en&amp;num=C-150/00" TargetMode="External"/><Relationship Id="rId13" Type="http://schemas.openxmlformats.org/officeDocument/2006/relationships/hyperlink" Target="https://doi.org/10.2903/j.efsa.2018.5243" TargetMode="External"/><Relationship Id="rId18" Type="http://schemas.openxmlformats.org/officeDocument/2006/relationships/hyperlink" Target="https://eur-lex.europa.eu/legal-content/EN/TXT/PDF/?uri=OJ:L:2001:311:FULL&amp;from=EN" TargetMode="External"/><Relationship Id="rId26" Type="http://schemas.openxmlformats.org/officeDocument/2006/relationships/hyperlink" Target="https://curia.europa.eu/juris/liste.jsf?language=en&amp;num=C-140/07" TargetMode="External"/><Relationship Id="rId39" Type="http://schemas.openxmlformats.org/officeDocument/2006/relationships/hyperlink" Target="https://www.researchgate.net/publication/364389776_The_safety_and_efficacy_of_low_oral_doses_of_cannabidiol_An_evaluation_of_the_evidence" TargetMode="External"/><Relationship Id="rId3" Type="http://schemas.openxmlformats.org/officeDocument/2006/relationships/hyperlink" Target="https://openjur.de/u/854818.html" TargetMode="External"/><Relationship Id="rId21" Type="http://schemas.openxmlformats.org/officeDocument/2006/relationships/hyperlink" Target="https://curia.europa.eu/juris/liste.jsf?language=de&amp;td=ALL&amp;num=C-319/05" TargetMode="External"/><Relationship Id="rId34" Type="http://schemas.openxmlformats.org/officeDocument/2006/relationships/hyperlink" Target="https://www.ncbi.nlm.nih.gov/pmc/articles/PMC9784314/" TargetMode="External"/><Relationship Id="rId42" Type="http://schemas.openxmlformats.org/officeDocument/2006/relationships/hyperlink" Target="https://doi.org/10.1016/j.jpba.2017.11.044" TargetMode="External"/><Relationship Id="rId47" Type="http://schemas.openxmlformats.org/officeDocument/2006/relationships/hyperlink" Target="http://ec.europa.eu/food/safety/novel_food/catalogue/search/public/index.cfm#" TargetMode="External"/><Relationship Id="rId7" Type="http://schemas.openxmlformats.org/officeDocument/2006/relationships/hyperlink" Target="https://openjur.de/u/854818.html" TargetMode="External"/><Relationship Id="rId12" Type="http://schemas.openxmlformats.org/officeDocument/2006/relationships/hyperlink" Target="https://www.bfr.bund.de/en/a-z_index/poppy_seeds-130043.html" TargetMode="External"/><Relationship Id="rId17" Type="http://schemas.openxmlformats.org/officeDocument/2006/relationships/hyperlink" Target="https://curia.europa.eu/juris/liste.jsf?language=de&amp;td=ALL&amp;num=C-319/05" TargetMode="External"/><Relationship Id="rId25" Type="http://schemas.openxmlformats.org/officeDocument/2006/relationships/hyperlink" Target="https://www.jstor.org/stable/24325222" TargetMode="External"/><Relationship Id="rId33" Type="http://schemas.openxmlformats.org/officeDocument/2006/relationships/hyperlink" Target="https://doi.org/10.1002%2Fprp2.761" TargetMode="External"/><Relationship Id="rId38" Type="http://schemas.openxmlformats.org/officeDocument/2006/relationships/hyperlink" Target="https://www.tga.gov.au/sites/default/files/review-safety-low-dose-cannabidiol.pdf" TargetMode="External"/><Relationship Id="rId46" Type="http://schemas.openxmlformats.org/officeDocument/2006/relationships/hyperlink" Target="http://ec.europa.eu/food/safety/novel_food/catalogue/search/public/index.cfm#" TargetMode="External"/><Relationship Id="rId2" Type="http://schemas.openxmlformats.org/officeDocument/2006/relationships/hyperlink" Target="https://www.bverwg.de/250707U3C21.06.0" TargetMode="External"/><Relationship Id="rId16" Type="http://schemas.openxmlformats.org/officeDocument/2006/relationships/hyperlink" Target="https://curia.europa.eu/juris/liste.jsf?language=de&amp;td=ALL&amp;num=C-319/05" TargetMode="External"/><Relationship Id="rId20" Type="http://schemas.openxmlformats.org/officeDocument/2006/relationships/hyperlink" Target="https://www.msdmanuals.com/de-de/profi/klinische-pharmakologie/pharmakodynamik/dosis-wirkungs-beziehungen" TargetMode="External"/><Relationship Id="rId29" Type="http://schemas.openxmlformats.org/officeDocument/2006/relationships/hyperlink" Target="http://www.huettebraeuker-law.de/publikationen.html" TargetMode="External"/><Relationship Id="rId41" Type="http://schemas.openxmlformats.org/officeDocument/2006/relationships/hyperlink" Target="https://www.researchgate.net/publication/309772591" TargetMode="External"/><Relationship Id="rId1" Type="http://schemas.openxmlformats.org/officeDocument/2006/relationships/hyperlink" Target="https://openjur.de/u/2393752.html" TargetMode="External"/><Relationship Id="rId6" Type="http://schemas.openxmlformats.org/officeDocument/2006/relationships/hyperlink" Target="https://curia.europa.eu/juris/liste.jsf?language=en&amp;num=C-150/00" TargetMode="External"/><Relationship Id="rId11" Type="http://schemas.openxmlformats.org/officeDocument/2006/relationships/hyperlink" Target="https://www.uni-marburg.de/de/fb20/forschung/corefacilities/metabolomics-massenspektrometrie/service/coffein" TargetMode="External"/><Relationship Id="rId24" Type="http://schemas.openxmlformats.org/officeDocument/2006/relationships/hyperlink" Target="http://www.beck-shop.de/-5-20-uwg/product/20282869" TargetMode="External"/><Relationship Id="rId32" Type="http://schemas.openxmlformats.org/officeDocument/2006/relationships/hyperlink" Target="https://www.ncbi.nlm.nih.gov/pmc/articles/PMC8023331/" TargetMode="External"/><Relationship Id="rId37" Type="http://schemas.openxmlformats.org/officeDocument/2006/relationships/hyperlink" Target="https://eur-lex.europa.eu/legal-content/DE/TXT/HTML/?uri=CELEX:61997CJ0303&amp;from=DE" TargetMode="External"/><Relationship Id="rId40" Type="http://schemas.openxmlformats.org/officeDocument/2006/relationships/hyperlink" Target="https://doi.org/10.1016/j.indcrop.2019.112082" TargetMode="External"/><Relationship Id="rId45" Type="http://schemas.openxmlformats.org/officeDocument/2006/relationships/hyperlink" Target="http://ec.europa.eu/food/safety/novel_food/catalogue/search/public/index.cfm#" TargetMode="External"/><Relationship Id="rId5" Type="http://schemas.openxmlformats.org/officeDocument/2006/relationships/hyperlink" Target="https://eur-lex.europa.eu/legal-content/GA/TXT/?uri=CELEX:61982CJ0227" TargetMode="External"/><Relationship Id="rId15" Type="http://schemas.openxmlformats.org/officeDocument/2006/relationships/hyperlink" Target="https://curia.europa.eu/juris/document/document.jsf?text=&amp;docid=77510&amp;doclang=EN" TargetMode="External"/><Relationship Id="rId23" Type="http://schemas.openxmlformats.org/officeDocument/2006/relationships/hyperlink" Target="http://www.beck-shop.de/-5-20-uwg/product/20282869" TargetMode="External"/><Relationship Id="rId28" Type="http://schemas.openxmlformats.org/officeDocument/2006/relationships/hyperlink" Target="https://curia.europa.eu/juris/liste.jsf?language=de&amp;td=ALL&amp;num=C-319/05" TargetMode="External"/><Relationship Id="rId36" Type="http://schemas.openxmlformats.org/officeDocument/2006/relationships/hyperlink" Target="https://dejure.org/dienste/vernetzung/rechtsprechung?Gericht=VG%20Hamburg&amp;Datum=16.03.2022&amp;Aktenzeichen=9%20E%20353%2F22" TargetMode="External"/><Relationship Id="rId10" Type="http://schemas.openxmlformats.org/officeDocument/2006/relationships/hyperlink" Target="https://curia.europa.eu/juris/liste.jsf?language=de&amp;td=ALL&amp;num=C-319/05" TargetMode="External"/><Relationship Id="rId19" Type="http://schemas.openxmlformats.org/officeDocument/2006/relationships/image" Target="media/image2.png"/><Relationship Id="rId31" Type="http://schemas.openxmlformats.org/officeDocument/2006/relationships/hyperlink" Target="https://www.researchgate.net/publication/342407221_Cannabinoids_infused_mouthwash_products_are_as_effective_as_chlorhexidine_on_inhibition_of_total-culturable_bacterial_content_in_dental_plaque_samples" TargetMode="External"/><Relationship Id="rId44" Type="http://schemas.openxmlformats.org/officeDocument/2006/relationships/hyperlink" Target="https://www.researchgate.net/journal/Journal-of-Industrial-Hemp-1537-789X?_tp=eyJjb250ZXh0Ijp7ImZpcnN0UGFnZSI6Il9kaXJlY3QiLCJwYWdlIjoiX2RpcmVjdCIsInBvc2l0aW9uIjoicGFnZUhlYWRlciJ9fQ" TargetMode="External"/><Relationship Id="rId4" Type="http://schemas.openxmlformats.org/officeDocument/2006/relationships/hyperlink" Target="https://openjur.de/u/2393752.html" TargetMode="External"/><Relationship Id="rId9" Type="http://schemas.openxmlformats.org/officeDocument/2006/relationships/hyperlink" Target="https://www.bverwg.de/160507U3C34.06.0" TargetMode="External"/><Relationship Id="rId14" Type="http://schemas.openxmlformats.org/officeDocument/2006/relationships/hyperlink" Target="https://curia.europa.eu/juris/liste.jsf?language=en&amp;num=C-140/07" TargetMode="External"/><Relationship Id="rId22" Type="http://schemas.openxmlformats.org/officeDocument/2006/relationships/hyperlink" Target="https://eur-lex.europa.eu/legal-content/EN/TXT/?uri=CELEX%3A02002R0178-20220701" TargetMode="External"/><Relationship Id="rId27" Type="http://schemas.openxmlformats.org/officeDocument/2006/relationships/hyperlink" Target="http://www.huettebraeuker-law.de/publikationen.html" TargetMode="External"/><Relationship Id="rId30" Type="http://schemas.openxmlformats.org/officeDocument/2006/relationships/hyperlink" Target="https://openjur.de/u/965786.html" TargetMode="External"/><Relationship Id="rId35" Type="http://schemas.openxmlformats.org/officeDocument/2006/relationships/hyperlink" Target="https://doi.org/10.3390%2Fmicroorganisms10122360" TargetMode="External"/><Relationship Id="rId43" Type="http://schemas.openxmlformats.org/officeDocument/2006/relationships/hyperlink" Target="http://www.cannabia.de/english/page1.html"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FEDCC-7EE8-40F7-BE9D-29399EAB4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8160</Words>
  <Characters>46513</Characters>
  <Application>Microsoft Office Word</Application>
  <DocSecurity>0</DocSecurity>
  <Lines>387</Lines>
  <Paragraphs>109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Kai-Friedrich Niermann</dc:creator>
  <cp:keywords>, docId:AAEDF7E4B2D50B1BBF3504CCB4A95CF8</cp:keywords>
  <cp:lastModifiedBy>User</cp:lastModifiedBy>
  <cp:revision>32</cp:revision>
  <cp:lastPrinted>2023-10-09T03:54:00Z</cp:lastPrinted>
  <dcterms:created xsi:type="dcterms:W3CDTF">2023-10-22T16:19:00Z</dcterms:created>
  <dcterms:modified xsi:type="dcterms:W3CDTF">2023-11-09T12:18:00Z</dcterms:modified>
</cp:coreProperties>
</file>