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MEGA PAPER — Umbral 1,0% THC para cáñamo industrial en la nueva PAC (2028–2034) y la OCM (Reg. 1308/2013)</w:t>
      </w:r>
    </w:p>
    <w:p>
      <w:pPr>
        <w:pStyle w:val="Date"/>
      </w:pPr>
      <w:r>
        <w:t xml:space="preserve">2026-01-24</w:t>
      </w:r>
    </w:p>
    <w:bookmarkStart w:id="15" w:name="Xfa0883208534a7be5895974238eab34c707fc5c"/>
    <w:p>
      <w:pPr>
        <w:pStyle w:val="Heading3"/>
      </w:pPr>
      <w:r>
        <w:t xml:space="preserve">0) Nota de uso (cómo está diseñado este documento)</w:t>
      </w:r>
    </w:p>
    <w:p>
      <w:pPr>
        <w:pStyle w:val="FirstParagraph"/>
      </w:pPr>
      <w:r>
        <w:t xml:space="preserve">Este documento está diseñado para</w:t>
      </w:r>
      <w:r>
        <w:t xml:space="preserve"> </w:t>
      </w:r>
      <w:r>
        <w:rPr>
          <w:b/>
          <w:bCs/>
        </w:rPr>
        <w:t xml:space="preserve">decisión pública</w:t>
      </w:r>
      <w:r>
        <w:t xml:space="preserve">: que una persona con responsabilidad institucional pueda entender la propuesta, su lógica y sus salvaguardas</w:t>
      </w:r>
      <w:r>
        <w:t xml:space="preserve"> </w:t>
      </w:r>
      <w:r>
        <w:rPr>
          <w:b/>
          <w:bCs/>
        </w:rPr>
        <w:t xml:space="preserve">sin perderse en el detalle</w:t>
      </w:r>
      <w:r>
        <w:t xml:space="preserve">, pero con</w:t>
      </w:r>
      <w:r>
        <w:t xml:space="preserve"> </w:t>
      </w:r>
      <w:r>
        <w:rPr>
          <w:b/>
          <w:bCs/>
        </w:rPr>
        <w:t xml:space="preserve">trazabilidad completa</w:t>
      </w:r>
      <w:r>
        <w:t xml:space="preserve"> </w:t>
      </w:r>
      <w:r>
        <w:t xml:space="preserve">cuando haga falta.</w:t>
      </w:r>
    </w:p>
    <w:bookmarkStart w:id="9" w:name="X3d63c7222a44830a8824cc07aded250acbe7adb"/>
    <w:p>
      <w:pPr>
        <w:pStyle w:val="Heading4"/>
      </w:pPr>
      <w:r>
        <w:t xml:space="preserve">0.1 Dos capas: cuerpo principal + anexos (toda la evidencia)</w:t>
      </w:r>
    </w:p>
    <w:p>
      <w:pPr>
        <w:pStyle w:val="Compact"/>
        <w:numPr>
          <w:ilvl w:val="0"/>
          <w:numId w:val="1001"/>
        </w:numPr>
      </w:pPr>
      <w:r>
        <w:rPr>
          <w:b/>
          <w:bCs/>
        </w:rPr>
        <w:t xml:space="preserve">Cuerpo principal (10–20 páginas)</w:t>
      </w:r>
      <w:r>
        <w:t xml:space="preserve">:</w:t>
      </w:r>
    </w:p>
    <w:p>
      <w:pPr>
        <w:pStyle w:val="Compact"/>
        <w:numPr>
          <w:ilvl w:val="1"/>
          <w:numId w:val="1002"/>
        </w:numPr>
      </w:pPr>
      <w:r>
        <w:t xml:space="preserve">Mensaje político‑técnico,</w:t>
      </w:r>
      <w:r>
        <w:t xml:space="preserve"> </w:t>
      </w:r>
      <w:r>
        <w:rPr>
          <w:b/>
          <w:bCs/>
        </w:rPr>
        <w:t xml:space="preserve">autoexplicativo</w:t>
      </w:r>
      <w:r>
        <w:t xml:space="preserve"> </w:t>
      </w:r>
      <w:r>
        <w:t xml:space="preserve">y “cerrado” (qué pedimos, por qué, cómo se implementa).</w:t>
      </w:r>
    </w:p>
    <w:p>
      <w:pPr>
        <w:pStyle w:val="Compact"/>
        <w:numPr>
          <w:ilvl w:val="1"/>
          <w:numId w:val="1002"/>
        </w:numPr>
      </w:pPr>
      <w:r>
        <w:t xml:space="preserve">Solo incluye lo estrictamente necesario para sostener la decisión: problema → evidencia clave → base jurídica → diseño regulatorio.</w:t>
      </w:r>
    </w:p>
    <w:p>
      <w:pPr>
        <w:pStyle w:val="Compact"/>
        <w:numPr>
          <w:ilvl w:val="0"/>
          <w:numId w:val="1001"/>
        </w:numPr>
      </w:pPr>
      <w:r>
        <w:rPr>
          <w:b/>
          <w:bCs/>
        </w:rPr>
        <w:t xml:space="preserve">Anexos (trazabilidad y soporte)</w:t>
      </w:r>
      <w:r>
        <w:t xml:space="preserve">:</w:t>
      </w:r>
    </w:p>
    <w:p>
      <w:pPr>
        <w:pStyle w:val="Compact"/>
        <w:numPr>
          <w:ilvl w:val="1"/>
          <w:numId w:val="1003"/>
        </w:numPr>
      </w:pPr>
      <w:r>
        <w:t xml:space="preserve">Reúnen el</w:t>
      </w:r>
      <w:r>
        <w:t xml:space="preserve"> </w:t>
      </w:r>
      <w:r>
        <w:rPr>
          <w:b/>
          <w:bCs/>
        </w:rPr>
        <w:t xml:space="preserve">histórico</w:t>
      </w:r>
      <w:r>
        <w:t xml:space="preserve">, la</w:t>
      </w:r>
      <w:r>
        <w:t xml:space="preserve"> </w:t>
      </w:r>
      <w:r>
        <w:rPr>
          <w:b/>
          <w:bCs/>
        </w:rPr>
        <w:t xml:space="preserve">ciencia</w:t>
      </w:r>
      <w:r>
        <w:t xml:space="preserve">, el</w:t>
      </w:r>
      <w:r>
        <w:t xml:space="preserve"> </w:t>
      </w:r>
      <w:r>
        <w:rPr>
          <w:b/>
          <w:bCs/>
        </w:rPr>
        <w:t xml:space="preserve">derecho comparado</w:t>
      </w:r>
      <w:r>
        <w:t xml:space="preserve">, la</w:t>
      </w:r>
      <w:r>
        <w:t xml:space="preserve"> </w:t>
      </w:r>
      <w:r>
        <w:rPr>
          <w:b/>
          <w:bCs/>
        </w:rPr>
        <w:t xml:space="preserve">metodología analítica</w:t>
      </w:r>
      <w:r>
        <w:t xml:space="preserve">, tablas y extractos largos.</w:t>
      </w:r>
    </w:p>
    <w:p>
      <w:pPr>
        <w:pStyle w:val="Compact"/>
        <w:numPr>
          <w:ilvl w:val="1"/>
          <w:numId w:val="1003"/>
        </w:numPr>
      </w:pPr>
      <w:r>
        <w:t xml:space="preserve">Permiten auditoría rápida: “¿de dónde sale esto?” → “ver Anexo X”.</w:t>
      </w:r>
    </w:p>
    <w:bookmarkEnd w:id="9"/>
    <w:bookmarkStart w:id="10" w:name="cómo-leerlo-según-el-tiempo-disponible"/>
    <w:p>
      <w:pPr>
        <w:pStyle w:val="Heading4"/>
      </w:pPr>
      <w:r>
        <w:t xml:space="preserve">0.2 Cómo leerlo (según el tiempo disponible)</w:t>
      </w:r>
    </w:p>
    <w:p>
      <w:pPr>
        <w:pStyle w:val="Compact"/>
        <w:numPr>
          <w:ilvl w:val="0"/>
          <w:numId w:val="1004"/>
        </w:numPr>
      </w:pPr>
      <w:r>
        <w:rPr>
          <w:b/>
          <w:bCs/>
        </w:rPr>
        <w:t xml:space="preserve">15 minutos (visión de decisión)</w:t>
      </w:r>
      <w:r>
        <w:t xml:space="preserve">:</w:t>
      </w:r>
    </w:p>
    <w:p>
      <w:pPr>
        <w:pStyle w:val="Compact"/>
        <w:numPr>
          <w:ilvl w:val="1"/>
          <w:numId w:val="1005"/>
        </w:numPr>
      </w:pPr>
      <w:r>
        <w:t xml:space="preserve">Secciones</w:t>
      </w:r>
      <w:r>
        <w:t xml:space="preserve"> </w:t>
      </w:r>
      <w:r>
        <w:rPr>
          <w:b/>
          <w:bCs/>
        </w:rPr>
        <w:t xml:space="preserve">1</w:t>
      </w:r>
      <w:r>
        <w:t xml:space="preserve"> </w:t>
      </w:r>
      <w:r>
        <w:t xml:space="preserve">(resumen ejecutivo),</w:t>
      </w:r>
      <w:r>
        <w:t xml:space="preserve"> </w:t>
      </w:r>
      <w:r>
        <w:rPr>
          <w:b/>
          <w:bCs/>
        </w:rPr>
        <w:t xml:space="preserve">2</w:t>
      </w:r>
      <w:r>
        <w:t xml:space="preserve"> </w:t>
      </w:r>
      <w:r>
        <w:t xml:space="preserve">(ASK),</w:t>
      </w:r>
      <w:r>
        <w:t xml:space="preserve"> </w:t>
      </w:r>
      <w:r>
        <w:rPr>
          <w:b/>
          <w:bCs/>
        </w:rPr>
        <w:t xml:space="preserve">3</w:t>
      </w:r>
      <w:r>
        <w:t xml:space="preserve"> </w:t>
      </w:r>
      <w:r>
        <w:t xml:space="preserve">(definiciones),</w:t>
      </w:r>
      <w:r>
        <w:t xml:space="preserve"> </w:t>
      </w:r>
      <w:r>
        <w:rPr>
          <w:b/>
          <w:bCs/>
        </w:rPr>
        <w:t xml:space="preserve">9</w:t>
      </w:r>
      <w:r>
        <w:t xml:space="preserve"> </w:t>
      </w:r>
      <w:r>
        <w:t xml:space="preserve">(salvaguardas),</w:t>
      </w:r>
      <w:r>
        <w:t xml:space="preserve"> </w:t>
      </w:r>
      <w:r>
        <w:rPr>
          <w:b/>
          <w:bCs/>
        </w:rPr>
        <w:t xml:space="preserve">11</w:t>
      </w:r>
      <w:r>
        <w:t xml:space="preserve"> </w:t>
      </w:r>
      <w:r>
        <w:t xml:space="preserve">(conclusiones).</w:t>
      </w:r>
    </w:p>
    <w:p>
      <w:pPr>
        <w:pStyle w:val="Compact"/>
        <w:numPr>
          <w:ilvl w:val="0"/>
          <w:numId w:val="1004"/>
        </w:numPr>
      </w:pPr>
      <w:r>
        <w:rPr>
          <w:b/>
          <w:bCs/>
        </w:rPr>
        <w:t xml:space="preserve">60 minutos (visión de soporte y riesgo)</w:t>
      </w:r>
      <w:r>
        <w:t xml:space="preserve">:</w:t>
      </w:r>
    </w:p>
    <w:p>
      <w:pPr>
        <w:pStyle w:val="Compact"/>
        <w:numPr>
          <w:ilvl w:val="1"/>
          <w:numId w:val="1006"/>
        </w:numPr>
      </w:pPr>
      <w:r>
        <w:t xml:space="preserve">Lo anterior + Anexos</w:t>
      </w:r>
      <w:r>
        <w:t xml:space="preserve"> </w:t>
      </w:r>
      <w:r>
        <w:rPr>
          <w:b/>
          <w:bCs/>
        </w:rPr>
        <w:t xml:space="preserve">A</w:t>
      </w:r>
      <w:r>
        <w:t xml:space="preserve"> </w:t>
      </w:r>
      <w:r>
        <w:t xml:space="preserve">(origen 0,3/0,5),</w:t>
      </w:r>
      <w:r>
        <w:t xml:space="preserve"> </w:t>
      </w:r>
      <w:r>
        <w:rPr>
          <w:b/>
          <w:bCs/>
        </w:rPr>
        <w:t xml:space="preserve">B</w:t>
      </w:r>
      <w:r>
        <w:t xml:space="preserve"> </w:t>
      </w:r>
      <w:r>
        <w:t xml:space="preserve">(evidencia humana / “detectable ≠ impairment”),</w:t>
      </w:r>
      <w:r>
        <w:t xml:space="preserve"> </w:t>
      </w:r>
      <w:r>
        <w:rPr>
          <w:b/>
          <w:bCs/>
        </w:rPr>
        <w:t xml:space="preserve">G</w:t>
      </w:r>
      <w:r>
        <w:t xml:space="preserve"> </w:t>
      </w:r>
      <w:r>
        <w:t xml:space="preserve">(método analítico),</w:t>
      </w:r>
      <w:r>
        <w:t xml:space="preserve"> </w:t>
      </w:r>
      <w:r>
        <w:rPr>
          <w:b/>
          <w:bCs/>
        </w:rPr>
        <w:t xml:space="preserve">E</w:t>
      </w:r>
      <w:r>
        <w:t xml:space="preserve"> </w:t>
      </w:r>
      <w:r>
        <w:t xml:space="preserve">(tendencia global).</w:t>
      </w:r>
    </w:p>
    <w:p>
      <w:pPr>
        <w:pStyle w:val="Compact"/>
        <w:numPr>
          <w:ilvl w:val="0"/>
          <w:numId w:val="1004"/>
        </w:numPr>
      </w:pPr>
      <w:r>
        <w:rPr>
          <w:b/>
          <w:bCs/>
        </w:rPr>
        <w:t xml:space="preserve">Trabajo legislativo (enmiendas artículo‑por‑artículo)</w:t>
      </w:r>
      <w:r>
        <w:t xml:space="preserve">:</w:t>
      </w:r>
    </w:p>
    <w:p>
      <w:pPr>
        <w:pStyle w:val="Compact"/>
        <w:numPr>
          <w:ilvl w:val="1"/>
          <w:numId w:val="1007"/>
        </w:numPr>
      </w:pPr>
      <w:r>
        <w:t xml:space="preserve">Ir directo a</w:t>
      </w:r>
      <w:r>
        <w:t xml:space="preserve"> </w:t>
      </w:r>
      <w:r>
        <w:rPr>
          <w:b/>
          <w:bCs/>
        </w:rPr>
        <w:t xml:space="preserve">Anexo F</w:t>
      </w:r>
      <w:r>
        <w:t xml:space="preserve"> </w:t>
      </w:r>
      <w:r>
        <w:t xml:space="preserve">(tabla “Commission proposal / Suggested amendment”).</w:t>
      </w:r>
    </w:p>
    <w:bookmarkEnd w:id="10"/>
    <w:bookmarkStart w:id="11" w:name="Xd4298c53b29f808cdb77f21d09c3089ca37da06"/>
    <w:p>
      <w:pPr>
        <w:pStyle w:val="Heading4"/>
      </w:pPr>
      <w:r>
        <w:t xml:space="preserve">0.3 Regla editorial (para mantenerlo defendible)</w:t>
      </w:r>
    </w:p>
    <w:p>
      <w:pPr>
        <w:pStyle w:val="Compact"/>
        <w:numPr>
          <w:ilvl w:val="0"/>
          <w:numId w:val="1008"/>
        </w:numPr>
      </w:pPr>
      <w:r>
        <w:rPr>
          <w:b/>
          <w:bCs/>
        </w:rPr>
        <w:t xml:space="preserve">Una idea por sección, una prueba por anexo</w:t>
      </w:r>
      <w:r>
        <w:t xml:space="preserve">: el cuerpo afirma; el anexo demuestra.</w:t>
      </w:r>
    </w:p>
    <w:p>
      <w:pPr>
        <w:pStyle w:val="Compact"/>
        <w:numPr>
          <w:ilvl w:val="0"/>
          <w:numId w:val="1008"/>
        </w:numPr>
      </w:pPr>
      <w:r>
        <w:rPr>
          <w:b/>
          <w:bCs/>
        </w:rPr>
        <w:t xml:space="preserve">Citas largas fuera del cuerpo</w:t>
      </w:r>
      <w:r>
        <w:t xml:space="preserve">: en el cuerpo solo citas cortas o referencia “ver Anexo X”.</w:t>
      </w:r>
    </w:p>
    <w:p>
      <w:pPr>
        <w:pStyle w:val="Compact"/>
        <w:numPr>
          <w:ilvl w:val="0"/>
          <w:numId w:val="1008"/>
        </w:numPr>
      </w:pPr>
      <w:r>
        <w:rPr>
          <w:b/>
          <w:bCs/>
        </w:rPr>
        <w:t xml:space="preserve">Frases “fuertes” con trazabilidad</w:t>
      </w:r>
      <w:r>
        <w:t xml:space="preserve">: si una frase no tiene fuente verificable, se marca como</w:t>
      </w:r>
      <w:r>
        <w:t xml:space="preserve"> </w:t>
      </w:r>
      <w:r>
        <w:rPr>
          <w:b/>
          <w:bCs/>
        </w:rPr>
        <w:t xml:space="preserve">pendiente</w:t>
      </w:r>
      <w:r>
        <w:t xml:space="preserve"> </w:t>
      </w:r>
      <w:r>
        <w:t xml:space="preserve">o se elimina/mueve a anexos.</w:t>
      </w:r>
    </w:p>
    <w:bookmarkEnd w:id="11"/>
    <w:bookmarkStart w:id="12" w:name="qué-es-y-qué-no-es-esta-propuesta"/>
    <w:p>
      <w:pPr>
        <w:pStyle w:val="Heading4"/>
      </w:pPr>
      <w:r>
        <w:t xml:space="preserve">0.4 Qué es (y qué no es) esta propuesta</w:t>
      </w:r>
    </w:p>
    <w:p>
      <w:pPr>
        <w:pStyle w:val="Compact"/>
        <w:numPr>
          <w:ilvl w:val="0"/>
          <w:numId w:val="1009"/>
        </w:numPr>
      </w:pPr>
      <w:r>
        <w:rPr>
          <w:b/>
          <w:bCs/>
        </w:rPr>
        <w:t xml:space="preserve">Es</w:t>
      </w:r>
      <w:r>
        <w:t xml:space="preserve">: una propuesta para elevar y armonizar el umbral operativo de</w:t>
      </w:r>
      <w:r>
        <w:t xml:space="preserve"> </w:t>
      </w:r>
      <w:r>
        <w:rPr>
          <w:b/>
          <w:bCs/>
        </w:rPr>
        <w:t xml:space="preserve">clasificación</w:t>
      </w:r>
      <w:r>
        <w:t xml:space="preserve"> </w:t>
      </w:r>
      <w:r>
        <w:t xml:space="preserve">del cáñamo industrial en el marco</w:t>
      </w:r>
      <w:r>
        <w:t xml:space="preserve"> </w:t>
      </w:r>
      <w:r>
        <w:rPr>
          <w:b/>
          <w:bCs/>
        </w:rPr>
        <w:t xml:space="preserve">PAC/OCM</w:t>
      </w:r>
      <w:r>
        <w:t xml:space="preserve"> </w:t>
      </w:r>
      <w:r>
        <w:t xml:space="preserve">(mercado interior, proporcionalidad, control oficial).</w:t>
      </w:r>
    </w:p>
    <w:p>
      <w:pPr>
        <w:pStyle w:val="Compact"/>
        <w:numPr>
          <w:ilvl w:val="0"/>
          <w:numId w:val="1009"/>
        </w:numPr>
      </w:pPr>
      <w:r>
        <w:rPr>
          <w:b/>
          <w:bCs/>
        </w:rPr>
        <w:t xml:space="preserve">No es</w:t>
      </w:r>
      <w:r>
        <w:t xml:space="preserve">: una armonización completa del derecho penal o de estupefacientes; tampoco sustituye la gestión específica de riesgos como</w:t>
      </w:r>
      <w:r>
        <w:t xml:space="preserve"> </w:t>
      </w:r>
      <w:r>
        <w:rPr>
          <w:b/>
          <w:bCs/>
        </w:rPr>
        <w:t xml:space="preserve">drug‑driving</w:t>
      </w:r>
      <w:r>
        <w:t xml:space="preserve"> </w:t>
      </w:r>
      <w:r>
        <w:t xml:space="preserve">(tratado separadamente como salvaguarda).</w:t>
      </w:r>
    </w:p>
    <w:bookmarkEnd w:id="12"/>
    <w:bookmarkStart w:id="13" w:name="Xc8f0aa4717b4cac61c459052710f9c63bc9423e"/>
    <w:p>
      <w:pPr>
        <w:pStyle w:val="Heading4"/>
      </w:pPr>
      <w:r>
        <w:t xml:space="preserve">0.5 Convenciones técnicas mínimas (para evitar malentendidos)</w:t>
      </w:r>
    </w:p>
    <w:p>
      <w:pPr>
        <w:pStyle w:val="Compact"/>
        <w:numPr>
          <w:ilvl w:val="0"/>
          <w:numId w:val="1010"/>
        </w:numPr>
      </w:pPr>
      <w:r>
        <w:rPr>
          <w:b/>
          <w:bCs/>
        </w:rPr>
        <w:t xml:space="preserve">“THC”</w:t>
      </w:r>
      <w:r>
        <w:t xml:space="preserve">: se usa como término paraguas; el documento</w:t>
      </w:r>
      <w:r>
        <w:t xml:space="preserve"> </w:t>
      </w:r>
      <w:r>
        <w:rPr>
          <w:b/>
          <w:bCs/>
        </w:rPr>
        <w:t xml:space="preserve">distingue explícitamente</w:t>
      </w:r>
      <w:r>
        <w:t xml:space="preserve"> </w:t>
      </w:r>
      <w:r>
        <w:t xml:space="preserve">entre</w:t>
      </w:r>
      <w:r>
        <w:t xml:space="preserve"> </w:t>
      </w:r>
      <w:r>
        <w:rPr>
          <w:b/>
          <w:bCs/>
        </w:rPr>
        <w:t xml:space="preserve">Δ9‑THC</w:t>
      </w:r>
      <w:r>
        <w:t xml:space="preserve"> </w:t>
      </w:r>
      <w:r>
        <w:t xml:space="preserve">y</w:t>
      </w:r>
      <w:r>
        <w:t xml:space="preserve"> </w:t>
      </w:r>
      <w:r>
        <w:rPr>
          <w:b/>
          <w:bCs/>
        </w:rPr>
        <w:t xml:space="preserve">THC total (THC+THCA)</w:t>
      </w:r>
      <w:r>
        <w:t xml:space="preserve"> </w:t>
      </w:r>
      <w:r>
        <w:t xml:space="preserve">cuando proceda (definición operativa en</w:t>
      </w:r>
      <w:r>
        <w:t xml:space="preserve"> </w:t>
      </w:r>
      <w:r>
        <w:rPr>
          <w:b/>
          <w:bCs/>
        </w:rPr>
        <w:t xml:space="preserve">Sección 3</w:t>
      </w:r>
      <w:r>
        <w:t xml:space="preserve">; detalle en</w:t>
      </w:r>
      <w:r>
        <w:t xml:space="preserve"> </w:t>
      </w:r>
      <w:r>
        <w:rPr>
          <w:b/>
          <w:bCs/>
        </w:rPr>
        <w:t xml:space="preserve">Anexo G</w:t>
      </w:r>
      <w:r>
        <w:t xml:space="preserve">).</w:t>
      </w:r>
    </w:p>
    <w:p>
      <w:pPr>
        <w:pStyle w:val="Compact"/>
        <w:numPr>
          <w:ilvl w:val="0"/>
          <w:numId w:val="1010"/>
        </w:numPr>
      </w:pPr>
      <w:r>
        <w:rPr>
          <w:b/>
          <w:bCs/>
        </w:rPr>
        <w:t xml:space="preserve">Base de cálculo</w:t>
      </w:r>
      <w:r>
        <w:t xml:space="preserve">:</w:t>
      </w:r>
      <w:r>
        <w:t xml:space="preserve"> </w:t>
      </w:r>
      <w:r>
        <w:rPr>
          <w:b/>
          <w:bCs/>
        </w:rPr>
        <w:t xml:space="preserve">materia seca / peso constante</w:t>
      </w:r>
      <w:r>
        <w:t xml:space="preserve"> </w:t>
      </w:r>
      <w:r>
        <w:t xml:space="preserve">salvo que se indique lo contrario.</w:t>
      </w:r>
    </w:p>
    <w:p>
      <w:pPr>
        <w:pStyle w:val="Compact"/>
        <w:numPr>
          <w:ilvl w:val="0"/>
          <w:numId w:val="1010"/>
        </w:numPr>
      </w:pPr>
      <w:r>
        <w:rPr>
          <w:b/>
          <w:bCs/>
        </w:rPr>
        <w:t xml:space="preserve">Unidad de riesgo</w:t>
      </w:r>
      <w:r>
        <w:t xml:space="preserve">: se separa</w:t>
      </w:r>
      <w:r>
        <w:t xml:space="preserve"> </w:t>
      </w:r>
      <w:r>
        <w:rPr>
          <w:b/>
          <w:bCs/>
        </w:rPr>
        <w:t xml:space="preserve">% en planta</w:t>
      </w:r>
      <w:r>
        <w:t xml:space="preserve"> </w:t>
      </w:r>
      <w:r>
        <w:t xml:space="preserve">de</w:t>
      </w:r>
      <w:r>
        <w:t xml:space="preserve"> </w:t>
      </w:r>
      <w:r>
        <w:rPr>
          <w:b/>
          <w:bCs/>
        </w:rPr>
        <w:t xml:space="preserve">dosis/impairment</w:t>
      </w:r>
      <w:r>
        <w:t xml:space="preserve"> </w:t>
      </w:r>
      <w:r>
        <w:t xml:space="preserve">(cadena causal en Sección 6; evidencia humana en Anexo B).</w:t>
      </w:r>
    </w:p>
    <w:bookmarkEnd w:id="13"/>
    <w:bookmarkStart w:id="14" w:name="estado-del-texto-y-control-de-cambios"/>
    <w:p>
      <w:pPr>
        <w:pStyle w:val="Heading4"/>
      </w:pPr>
      <w:r>
        <w:t xml:space="preserve">0.6 Estado del texto y control de cambios</w:t>
      </w:r>
    </w:p>
    <w:p>
      <w:pPr>
        <w:pStyle w:val="Compact"/>
        <w:numPr>
          <w:ilvl w:val="0"/>
          <w:numId w:val="1011"/>
        </w:numPr>
      </w:pPr>
      <w:r>
        <w:t xml:space="preserve">Este archivo es el</w:t>
      </w:r>
      <w:r>
        <w:t xml:space="preserve"> </w:t>
      </w:r>
      <w:r>
        <w:rPr>
          <w:b/>
          <w:bCs/>
        </w:rPr>
        <w:t xml:space="preserve">cuerpo maestro</w:t>
      </w:r>
      <w:r>
        <w:t xml:space="preserve">; los anexos son documentos separados listados en la Sección 13.</w:t>
      </w:r>
    </w:p>
    <w:p>
      <w:pPr>
        <w:pStyle w:val="Compact"/>
        <w:numPr>
          <w:ilvl w:val="0"/>
          <w:numId w:val="1011"/>
        </w:numPr>
      </w:pPr>
      <w:r>
        <w:t xml:space="preserve">Cualquier punto no cerrado debe quedar marcado como</w:t>
      </w:r>
      <w:r>
        <w:t xml:space="preserve"> </w:t>
      </w:r>
      <w:r>
        <w:rPr>
          <w:b/>
          <w:bCs/>
        </w:rPr>
        <w:t xml:space="preserve">[PENDIENTE DE VERIFICACIÓN]</w:t>
      </w:r>
      <w:r>
        <w:t xml:space="preserve"> </w:t>
      </w:r>
      <w:r>
        <w:t xml:space="preserve">o</w:t>
      </w:r>
      <w:r>
        <w:t xml:space="preserve"> </w:t>
      </w:r>
      <w:r>
        <w:rPr>
          <w:b/>
          <w:bCs/>
        </w:rPr>
        <w:t xml:space="preserve">[POR DEFINIR: X]</w:t>
      </w:r>
      <w:r>
        <w:t xml:space="preserve"> </w:t>
      </w:r>
      <w:r>
        <w:t xml:space="preserve">para evitar que el borrador se convierta en “afirmación sin fuente”.</w:t>
      </w:r>
    </w:p>
    <w:p>
      <w:r>
        <w:pict>
          <v:rect style="width:0;height:1.5pt" o:hralign="center" o:hrstd="t" o:hr="t"/>
        </w:pict>
      </w:r>
    </w:p>
    <w:bookmarkEnd w:id="14"/>
    <w:bookmarkEnd w:id="15"/>
    <w:bookmarkStart w:id="21" w:name="resumen-ejecutivo-1-página"/>
    <w:p>
      <w:pPr>
        <w:pStyle w:val="Heading3"/>
      </w:pPr>
      <w:r>
        <w:t xml:space="preserve">1) Resumen ejecutivo (1 página)</w:t>
      </w:r>
    </w:p>
    <w:p>
      <w:pPr>
        <w:pStyle w:val="FirstParagraph"/>
      </w:pPr>
      <w:r>
        <w:rPr>
          <w:b/>
          <w:bCs/>
        </w:rPr>
        <w:t xml:space="preserve">Mensaje central</w:t>
      </w:r>
      <w:r>
        <w:t xml:space="preserve">: elevar y armonizar a nivel UE un umbral de</w:t>
      </w:r>
      <w:r>
        <w:t xml:space="preserve"> </w:t>
      </w:r>
      <w:r>
        <w:rPr>
          <w:b/>
          <w:bCs/>
        </w:rPr>
        <w:t xml:space="preserve">1,0% THC</w:t>
      </w:r>
      <w:r>
        <w:t xml:space="preserve"> </w:t>
      </w:r>
      <w:r>
        <w:t xml:space="preserve">para la</w:t>
      </w:r>
      <w:r>
        <w:t xml:space="preserve"> </w:t>
      </w:r>
      <w:r>
        <w:rPr>
          <w:b/>
          <w:bCs/>
        </w:rPr>
        <w:t xml:space="preserve">clasificación jurídica del cáñamo industrial</w:t>
      </w:r>
      <w:r>
        <w:t xml:space="preserve"> </w:t>
      </w:r>
      <w:r>
        <w:t xml:space="preserve">en la reforma</w:t>
      </w:r>
      <w:r>
        <w:t xml:space="preserve"> </w:t>
      </w:r>
      <w:r>
        <w:rPr>
          <w:b/>
          <w:bCs/>
        </w:rPr>
        <w:t xml:space="preserve">PAC (2028–2034)</w:t>
      </w:r>
      <w:r>
        <w:t xml:space="preserve"> </w:t>
      </w:r>
      <w:r>
        <w:t xml:space="preserve">y en la</w:t>
      </w:r>
      <w:r>
        <w:t xml:space="preserve"> </w:t>
      </w:r>
      <w:r>
        <w:rPr>
          <w:b/>
          <w:bCs/>
        </w:rPr>
        <w:t xml:space="preserve">OCM</w:t>
      </w:r>
      <w:r>
        <w:t xml:space="preserve"> </w:t>
      </w:r>
      <w:r>
        <w:t xml:space="preserve">(Reg. (UE) 1308/2013 y sus modificaciones), con una</w:t>
      </w:r>
      <w:r>
        <w:t xml:space="preserve"> </w:t>
      </w:r>
      <w:r>
        <w:rPr>
          <w:b/>
          <w:bCs/>
        </w:rPr>
        <w:t xml:space="preserve">definición técnica mínima</w:t>
      </w:r>
      <w:r>
        <w:t xml:space="preserve"> </w:t>
      </w:r>
      <w:r>
        <w:t xml:space="preserve">(qué THC, base de cálculo y muestreo) para evitar ambigüedades.</w:t>
      </w:r>
    </w:p>
    <w:bookmarkStart w:id="16" w:name="qué-se-pide-la-ask"/>
    <w:p>
      <w:pPr>
        <w:pStyle w:val="Heading4"/>
      </w:pPr>
      <w:r>
        <w:t xml:space="preserve">1.1 Qué se pide (la “ASK”)</w:t>
      </w:r>
    </w:p>
    <w:p>
      <w:pPr>
        <w:pStyle w:val="Compact"/>
        <w:numPr>
          <w:ilvl w:val="0"/>
          <w:numId w:val="1012"/>
        </w:numPr>
      </w:pPr>
      <w:r>
        <w:rPr>
          <w:b/>
          <w:bCs/>
        </w:rPr>
        <w:t xml:space="preserve">Sustituir “0,3%” por “1,0%”</w:t>
      </w:r>
      <w:r>
        <w:t xml:space="preserve"> </w:t>
      </w:r>
      <w:r>
        <w:t xml:space="preserve">en las disposiciones relevantes de</w:t>
      </w:r>
      <w:r>
        <w:t xml:space="preserve"> </w:t>
      </w:r>
      <w:r>
        <w:rPr>
          <w:b/>
          <w:bCs/>
        </w:rPr>
        <w:t xml:space="preserve">COM(2025) 560 (PAC)</w:t>
      </w:r>
      <w:r>
        <w:t xml:space="preserve"> </w:t>
      </w:r>
      <w:r>
        <w:t xml:space="preserve">y</w:t>
      </w:r>
      <w:r>
        <w:t xml:space="preserve"> </w:t>
      </w:r>
      <w:r>
        <w:rPr>
          <w:b/>
          <w:bCs/>
        </w:rPr>
        <w:t xml:space="preserve">COM(2025) 553 (OCM)</w:t>
      </w:r>
      <w:r>
        <w:t xml:space="preserve"> </w:t>
      </w:r>
      <w:r>
        <w:t xml:space="preserve">cuando operen como criterio de “cáñamo industrial” (ver Sección 2 y Anexo F).</w:t>
      </w:r>
    </w:p>
    <w:p>
      <w:pPr>
        <w:pStyle w:val="Compact"/>
        <w:numPr>
          <w:ilvl w:val="0"/>
          <w:numId w:val="1012"/>
        </w:numPr>
      </w:pPr>
      <w:r>
        <w:rPr>
          <w:b/>
          <w:bCs/>
        </w:rPr>
        <w:t xml:space="preserve">Añadir/clarificar una cláusula técnica mínima</w:t>
      </w:r>
      <w:r>
        <w:t xml:space="preserve"> </w:t>
      </w:r>
      <w:r>
        <w:t xml:space="preserve">que fije:</w:t>
      </w:r>
    </w:p>
    <w:p>
      <w:pPr>
        <w:pStyle w:val="Compact"/>
        <w:numPr>
          <w:ilvl w:val="1"/>
          <w:numId w:val="1013"/>
        </w:numPr>
      </w:pPr>
      <w:r>
        <w:rPr>
          <w:b/>
          <w:bCs/>
        </w:rPr>
        <w:t xml:space="preserve">qué THC</w:t>
      </w:r>
      <w:r>
        <w:t xml:space="preserve"> </w:t>
      </w:r>
      <w:r>
        <w:t xml:space="preserve">(Δ9‑THC vs</w:t>
      </w:r>
      <w:r>
        <w:t xml:space="preserve"> </w:t>
      </w:r>
      <w:r>
        <w:rPr>
          <w:b/>
          <w:bCs/>
        </w:rPr>
        <w:t xml:space="preserve">THC total = THC + THCA</w:t>
      </w:r>
      <w:r>
        <w:t xml:space="preserve">),</w:t>
      </w:r>
    </w:p>
    <w:p>
      <w:pPr>
        <w:pStyle w:val="Compact"/>
        <w:numPr>
          <w:ilvl w:val="1"/>
          <w:numId w:val="1013"/>
        </w:numPr>
      </w:pPr>
      <w:r>
        <w:rPr>
          <w:b/>
          <w:bCs/>
        </w:rPr>
        <w:t xml:space="preserve">materia seca / “peso constante”</w:t>
      </w:r>
      <w:r>
        <w:t xml:space="preserve">,</w:t>
      </w:r>
    </w:p>
    <w:p>
      <w:pPr>
        <w:pStyle w:val="Compact"/>
        <w:numPr>
          <w:ilvl w:val="1"/>
          <w:numId w:val="1013"/>
        </w:numPr>
      </w:pPr>
      <w:r>
        <w:rPr>
          <w:b/>
          <w:bCs/>
        </w:rPr>
        <w:t xml:space="preserve">matriz/muestreo</w:t>
      </w:r>
      <w:r>
        <w:t xml:space="preserve"> </w:t>
      </w:r>
      <w:r>
        <w:t xml:space="preserve">(parte de planta, momento, preparación),</w:t>
      </w:r>
    </w:p>
    <w:p>
      <w:pPr>
        <w:pStyle w:val="Compact"/>
        <w:numPr>
          <w:ilvl w:val="1"/>
          <w:numId w:val="1013"/>
        </w:numPr>
      </w:pPr>
      <w:r>
        <w:t xml:space="preserve">y remisión al</w:t>
      </w:r>
      <w:r>
        <w:t xml:space="preserve"> </w:t>
      </w:r>
      <w:r>
        <w:rPr>
          <w:b/>
          <w:bCs/>
        </w:rPr>
        <w:t xml:space="preserve">método oficial UE</w:t>
      </w:r>
      <w:r>
        <w:t xml:space="preserve"> </w:t>
      </w:r>
      <w:r>
        <w:t xml:space="preserve">(ver Sección 3 y Anexo G).</w:t>
      </w:r>
    </w:p>
    <w:bookmarkEnd w:id="16"/>
    <w:bookmarkStart w:id="17" w:name="X914ed4725b1fa4d977b9d03351a6d642aafa99f"/>
    <w:p>
      <w:pPr>
        <w:pStyle w:val="Heading4"/>
      </w:pPr>
      <w:r>
        <w:t xml:space="preserve">1.2 Qué problema resuelve (por qué hace falta el cambio)</w:t>
      </w:r>
    </w:p>
    <w:p>
      <w:pPr>
        <w:pStyle w:val="Compact"/>
        <w:numPr>
          <w:ilvl w:val="0"/>
          <w:numId w:val="1014"/>
        </w:numPr>
      </w:pPr>
      <w:r>
        <w:rPr>
          <w:b/>
          <w:bCs/>
        </w:rPr>
        <w:t xml:space="preserve">Fragmentación e inseguridad jurídica</w:t>
      </w:r>
      <w:r>
        <w:t xml:space="preserve"> </w:t>
      </w:r>
      <w:r>
        <w:t xml:space="preserve">en el mercado interior: umbrales, interpretación y aplicación desigual entre Estados miembros, con costes de cumplimiento y litigiosidad (Anexo D).</w:t>
      </w:r>
    </w:p>
    <w:p>
      <w:pPr>
        <w:pStyle w:val="Compact"/>
        <w:numPr>
          <w:ilvl w:val="0"/>
          <w:numId w:val="1014"/>
        </w:numPr>
      </w:pPr>
      <w:r>
        <w:rPr>
          <w:b/>
          <w:bCs/>
        </w:rPr>
        <w:t xml:space="preserve">“Hot crops”</w:t>
      </w:r>
      <w:r>
        <w:t xml:space="preserve">: variación ambiental/genética puede elevar THC sin mala fe; el umbral actual opera como frontera rígida con consecuencias desproporcionadas (Anexo D).</w:t>
      </w:r>
    </w:p>
    <w:p>
      <w:pPr>
        <w:pStyle w:val="Compact"/>
        <w:numPr>
          <w:ilvl w:val="0"/>
          <w:numId w:val="1014"/>
        </w:numPr>
      </w:pPr>
      <w:r>
        <w:rPr>
          <w:b/>
          <w:bCs/>
        </w:rPr>
        <w:t xml:space="preserve">Competitividad e innovación</w:t>
      </w:r>
      <w:r>
        <w:t xml:space="preserve">: el límite estrecho reduce pool genético, I+D, y competitividad frente a terceros países que operan con umbrales más pragmáticos (Anexo D + Anexo E).</w:t>
      </w:r>
    </w:p>
    <w:bookmarkEnd w:id="17"/>
    <w:bookmarkStart w:id="18" w:name="X9db91dded03db5427e7c135061bdfbf4e4de403"/>
    <w:p>
      <w:pPr>
        <w:pStyle w:val="Heading4"/>
      </w:pPr>
      <w:r>
        <w:t xml:space="preserve">1.3 Por qué</w:t>
      </w:r>
      <w:r>
        <w:t xml:space="preserve"> </w:t>
      </w:r>
      <w:r>
        <w:rPr>
          <w:b/>
          <w:bCs/>
        </w:rPr>
        <w:t xml:space="preserve">1%</w:t>
      </w:r>
      <w:r>
        <w:t xml:space="preserve"> </w:t>
      </w:r>
      <w:r>
        <w:t xml:space="preserve">es el cierre más coherente (titulares defendibles)</w:t>
      </w:r>
    </w:p>
    <w:p>
      <w:pPr>
        <w:pStyle w:val="Compact"/>
        <w:numPr>
          <w:ilvl w:val="0"/>
          <w:numId w:val="1015"/>
        </w:numPr>
      </w:pPr>
      <w:r>
        <w:rPr>
          <w:b/>
          <w:bCs/>
        </w:rPr>
        <w:t xml:space="preserve">Historia real del 0,3/0,5</w:t>
      </w:r>
      <w:r>
        <w:t xml:space="preserve">: el</w:t>
      </w:r>
      <w:r>
        <w:t xml:space="preserve"> </w:t>
      </w:r>
      <w:r>
        <w:rPr>
          <w:b/>
          <w:bCs/>
        </w:rPr>
        <w:t xml:space="preserve">0,3%</w:t>
      </w:r>
      <w:r>
        <w:t xml:space="preserve"> </w:t>
      </w:r>
      <w:r>
        <w:t xml:space="preserve">nace como criterio taxonómico</w:t>
      </w:r>
      <w:r>
        <w:t xml:space="preserve"> </w:t>
      </w:r>
      <w:r>
        <w:rPr>
          <w:b/>
          <w:bCs/>
        </w:rPr>
        <w:t xml:space="preserve">“arbitrario”</w:t>
      </w:r>
      <w:r>
        <w:t xml:space="preserve"> </w:t>
      </w:r>
      <w:r>
        <w:t xml:space="preserve">en</w:t>
      </w:r>
      <w:r>
        <w:t xml:space="preserve"> </w:t>
      </w:r>
      <w:r>
        <w:rPr>
          <w:b/>
          <w:bCs/>
        </w:rPr>
        <w:t xml:space="preserve">hojas jóvenes</w:t>
      </w:r>
      <w:r>
        <w:t xml:space="preserve">; el</w:t>
      </w:r>
      <w:r>
        <w:t xml:space="preserve"> </w:t>
      </w:r>
      <w:r>
        <w:rPr>
          <w:b/>
          <w:bCs/>
        </w:rPr>
        <w:t xml:space="preserve">0,5%</w:t>
      </w:r>
      <w:r>
        <w:t xml:space="preserve"> </w:t>
      </w:r>
      <w:r>
        <w:t xml:space="preserve">aparece en la UE (1984) como</w:t>
      </w:r>
      <w:r>
        <w:t xml:space="preserve"> </w:t>
      </w:r>
      <w:r>
        <w:rPr>
          <w:b/>
          <w:bCs/>
        </w:rPr>
        <w:t xml:space="preserve">umbral transitorio</w:t>
      </w:r>
      <w:r>
        <w:t xml:space="preserve"> </w:t>
      </w:r>
      <w:r>
        <w:t xml:space="preserve">ya acompañado de reducción a 0,3% y con muestreo específico (Anexo A). → No son, por origen, umbrales modernos de riesgo.</w:t>
      </w:r>
    </w:p>
    <w:p>
      <w:pPr>
        <w:pStyle w:val="Compact"/>
        <w:numPr>
          <w:ilvl w:val="0"/>
          <w:numId w:val="1015"/>
        </w:numPr>
      </w:pPr>
      <w:r>
        <w:rPr>
          <w:b/>
          <w:bCs/>
        </w:rPr>
        <w:t xml:space="preserve">Base primaria explícita hacia 1%</w:t>
      </w:r>
      <w:r>
        <w:t xml:space="preserve">: Ernest Small (originador del 0,3%) afirma que el “abuse potential”</w:t>
      </w:r>
      <w:r>
        <w:t xml:space="preserve"> </w:t>
      </w:r>
      <w:r>
        <w:rPr>
          <w:b/>
          <w:bCs/>
        </w:rPr>
        <w:t xml:space="preserve">en términos prácticos</w:t>
      </w:r>
      <w:r>
        <w:t xml:space="preserve"> </w:t>
      </w:r>
      <w:r>
        <w:t xml:space="preserve">requiere ~</w:t>
      </w:r>
      <w:r>
        <w:rPr>
          <w:b/>
          <w:bCs/>
        </w:rPr>
        <w:t xml:space="preserve">1% THC total (THC+THCA)</w:t>
      </w:r>
      <w:r>
        <w:t xml:space="preserve"> </w:t>
      </w:r>
      <w:r>
        <w:t xml:space="preserve">y considera 1% un criterio más adecuado (Anexo A).</w:t>
      </w:r>
    </w:p>
    <w:p>
      <w:pPr>
        <w:pStyle w:val="Compact"/>
        <w:numPr>
          <w:ilvl w:val="0"/>
          <w:numId w:val="1015"/>
        </w:numPr>
      </w:pPr>
      <w:r>
        <w:rPr>
          <w:b/>
          <w:bCs/>
        </w:rPr>
        <w:t xml:space="preserve">Separar % en planta de intoxicación/impairment</w:t>
      </w:r>
      <w:r>
        <w:t xml:space="preserve">: la evidencia humana en inhalación con productos</w:t>
      </w:r>
      <w:r>
        <w:t xml:space="preserve"> </w:t>
      </w:r>
      <w:r>
        <w:rPr>
          <w:b/>
          <w:bCs/>
        </w:rPr>
        <w:t xml:space="preserve">low‑THC/CBD‑rich</w:t>
      </w:r>
      <w:r>
        <w:t xml:space="preserve"> </w:t>
      </w:r>
      <w:r>
        <w:t xml:space="preserve">muestra que puede haber</w:t>
      </w:r>
      <w:r>
        <w:t xml:space="preserve"> </w:t>
      </w:r>
      <w:r>
        <w:rPr>
          <w:b/>
          <w:bCs/>
        </w:rPr>
        <w:t xml:space="preserve">THC detectable</w:t>
      </w:r>
      <w:r>
        <w:t xml:space="preserve"> </w:t>
      </w:r>
      <w:r>
        <w:t xml:space="preserve">sin señal consistente de</w:t>
      </w:r>
      <w:r>
        <w:t xml:space="preserve"> </w:t>
      </w:r>
      <w:r>
        <w:rPr>
          <w:b/>
          <w:bCs/>
        </w:rPr>
        <w:t xml:space="preserve">deterioro funcional</w:t>
      </w:r>
      <w:r>
        <w:t xml:space="preserve"> </w:t>
      </w:r>
      <w:r>
        <w:t xml:space="preserve">en pruebas validadas (p. ej., conducción), y apoya un enfoque de</w:t>
      </w:r>
      <w:r>
        <w:t xml:space="preserve"> </w:t>
      </w:r>
      <w:r>
        <w:rPr>
          <w:b/>
          <w:bCs/>
        </w:rPr>
        <w:t xml:space="preserve">factibilidad práctica</w:t>
      </w:r>
      <w:r>
        <w:t xml:space="preserve"> </w:t>
      </w:r>
      <w:r>
        <w:t xml:space="preserve">bajo uso razonablemente esperado (Anexo B).</w:t>
      </w:r>
    </w:p>
    <w:p>
      <w:pPr>
        <w:pStyle w:val="Compact"/>
        <w:numPr>
          <w:ilvl w:val="0"/>
          <w:numId w:val="1015"/>
        </w:numPr>
      </w:pPr>
      <w:r>
        <w:rPr>
          <w:b/>
          <w:bCs/>
        </w:rPr>
        <w:t xml:space="preserve">Cuantificación sencilla (“porro 1%”)</w:t>
      </w:r>
      <w:r>
        <w:t xml:space="preserve">: 1% equivale a</w:t>
      </w:r>
      <w:r>
        <w:t xml:space="preserve"> </w:t>
      </w:r>
      <w:r>
        <w:rPr>
          <w:b/>
          <w:bCs/>
        </w:rPr>
        <w:t xml:space="preserve">10 mg THC por gramo</w:t>
      </w:r>
      <w:r>
        <w:t xml:space="preserve"> </w:t>
      </w:r>
      <w:r>
        <w:t xml:space="preserve">de material; un porro típico (0,3–0,5 g) contiene 3–5 mg nominales, y la</w:t>
      </w:r>
      <w:r>
        <w:t xml:space="preserve"> </w:t>
      </w:r>
      <w:r>
        <w:rPr>
          <w:b/>
          <w:bCs/>
        </w:rPr>
        <w:t xml:space="preserve">dosis sistémica</w:t>
      </w:r>
      <w:r>
        <w:t xml:space="preserve"> </w:t>
      </w:r>
      <w:r>
        <w:t xml:space="preserve">es una fracción por pérdidas/variabilidad, situándose típicamente en el rango</w:t>
      </w:r>
      <w:r>
        <w:t xml:space="preserve"> </w:t>
      </w:r>
      <w:r>
        <w:rPr>
          <w:b/>
          <w:bCs/>
        </w:rPr>
        <w:t xml:space="preserve">sub‑mg a ~1 mg</w:t>
      </w:r>
      <w:r>
        <w:t xml:space="preserve"> </w:t>
      </w:r>
      <w:r>
        <w:t xml:space="preserve">bajo supuestos realistas (Anexo C). Esto refuerza que 1% no debe tratarse como sinónimo de intoxicación “prácticamente alcanzable”.</w:t>
      </w:r>
    </w:p>
    <w:p>
      <w:pPr>
        <w:pStyle w:val="Compact"/>
        <w:numPr>
          <w:ilvl w:val="0"/>
          <w:numId w:val="1015"/>
        </w:numPr>
      </w:pPr>
      <w:r>
        <w:rPr>
          <w:b/>
          <w:bCs/>
        </w:rPr>
        <w:t xml:space="preserve">Coherencia con estándares técnicos y práctica comparada</w:t>
      </w:r>
      <w:r>
        <w:t xml:space="preserve">: existen referencias técnicas (p. ej., definiciones por</w:t>
      </w:r>
      <w:r>
        <w:t xml:space="preserve"> </w:t>
      </w:r>
      <w:r>
        <w:rPr>
          <w:b/>
          <w:bCs/>
        </w:rPr>
        <w:t xml:space="preserve">THC total</w:t>
      </w:r>
      <w:r>
        <w:t xml:space="preserve">) y un bloque internacional que opera con 1% (Anexo E + Anexo H).</w:t>
      </w:r>
    </w:p>
    <w:bookmarkEnd w:id="18"/>
    <w:bookmarkStart w:id="19" w:name="X836f33388ec3166b03f382fca8df3616e331016"/>
    <w:p>
      <w:pPr>
        <w:pStyle w:val="Heading4"/>
      </w:pPr>
      <w:r>
        <w:t xml:space="preserve">1.4 Salvaguardas (cómo implementar 1% sin perder control)</w:t>
      </w:r>
    </w:p>
    <w:p>
      <w:pPr>
        <w:pStyle w:val="Compact"/>
        <w:numPr>
          <w:ilvl w:val="0"/>
          <w:numId w:val="1016"/>
        </w:numPr>
      </w:pPr>
      <w:r>
        <w:rPr>
          <w:b/>
          <w:bCs/>
        </w:rPr>
        <w:t xml:space="preserve">Definiciones y método</w:t>
      </w:r>
      <w:r>
        <w:t xml:space="preserve">: fijar “qué THC” y remitir al método y muestreo UE, con tolerancias/procedimientos claros para control oficial (Sección 3 + Sección 9 + Anexo G).</w:t>
      </w:r>
    </w:p>
    <w:p>
      <w:pPr>
        <w:pStyle w:val="Compact"/>
        <w:numPr>
          <w:ilvl w:val="0"/>
          <w:numId w:val="1016"/>
        </w:numPr>
      </w:pPr>
      <w:r>
        <w:rPr>
          <w:b/>
          <w:bCs/>
        </w:rPr>
        <w:t xml:space="preserve">Proporcionalidad y escalado</w:t>
      </w:r>
      <w:r>
        <w:t xml:space="preserve">: controles y consecuencias graduadas para excedencias marginales (p. ej., por clima), manteniendo capacidad de actuación frente a material orientado a uso intoxicante (Sección 9 + Anexo D).</w:t>
      </w:r>
    </w:p>
    <w:p>
      <w:pPr>
        <w:pStyle w:val="Compact"/>
        <w:numPr>
          <w:ilvl w:val="0"/>
          <w:numId w:val="1016"/>
        </w:numPr>
      </w:pPr>
      <w:r>
        <w:rPr>
          <w:b/>
          <w:bCs/>
        </w:rPr>
        <w:t xml:space="preserve">Gestión del riesgo de “drug‑driving”</w:t>
      </w:r>
      <w:r>
        <w:t xml:space="preserve">: reconocer que “detectable ≠ impairment” pero que la detectabilidad puede generar consecuencias legales; gestionar con información/advertencias y arquitectura regulatoria coherente (Anexo B).</w:t>
      </w:r>
    </w:p>
    <w:bookmarkEnd w:id="19"/>
    <w:bookmarkStart w:id="20" w:name="impacto-esperado-1-frase-por-eje"/>
    <w:p>
      <w:pPr>
        <w:pStyle w:val="Heading4"/>
      </w:pPr>
      <w:r>
        <w:t xml:space="preserve">1.5 Impacto esperado (1 frase por eje)</w:t>
      </w:r>
    </w:p>
    <w:p>
      <w:pPr>
        <w:pStyle w:val="Compact"/>
        <w:numPr>
          <w:ilvl w:val="0"/>
          <w:numId w:val="1017"/>
        </w:numPr>
      </w:pPr>
      <w:r>
        <w:rPr>
          <w:b/>
          <w:bCs/>
        </w:rPr>
        <w:t xml:space="preserve">Agricultura</w:t>
      </w:r>
      <w:r>
        <w:t xml:space="preserve">: menos pérdidas y sanciones por “hot crops”, mayor estabilidad para agricultores.</w:t>
      </w:r>
    </w:p>
    <w:p>
      <w:pPr>
        <w:pStyle w:val="Compact"/>
        <w:numPr>
          <w:ilvl w:val="0"/>
          <w:numId w:val="1017"/>
        </w:numPr>
      </w:pPr>
      <w:r>
        <w:rPr>
          <w:b/>
          <w:bCs/>
        </w:rPr>
        <w:t xml:space="preserve">Industria e innovación</w:t>
      </w:r>
      <w:r>
        <w:t xml:space="preserve">: ampliación del pool genético y de la capacidad de I+D, y fortalecimiento de la cadena de valor (bioeconomía).</w:t>
      </w:r>
    </w:p>
    <w:p>
      <w:pPr>
        <w:pStyle w:val="Compact"/>
        <w:numPr>
          <w:ilvl w:val="0"/>
          <w:numId w:val="1017"/>
        </w:numPr>
      </w:pPr>
      <w:r>
        <w:rPr>
          <w:b/>
          <w:bCs/>
        </w:rPr>
        <w:t xml:space="preserve">Mercado interior</w:t>
      </w:r>
      <w:r>
        <w:t xml:space="preserve">: reducción de fragmentación, barreras técnicas y litigios; más seguridad jurídica y control más eficiente.</w:t>
      </w:r>
    </w:p>
    <w:p>
      <w:r>
        <w:pict>
          <v:rect style="width:0;height:1.5pt" o:hralign="center" o:hrstd="t" o:hr="t"/>
        </w:pict>
      </w:r>
    </w:p>
    <w:bookmarkEnd w:id="20"/>
    <w:bookmarkEnd w:id="21"/>
    <w:bookmarkStart w:id="27" w:name="Xda3c8fe4e0786897bb02fdc068d7d2f6a085032"/>
    <w:p>
      <w:pPr>
        <w:pStyle w:val="Heading3"/>
      </w:pPr>
      <w:r>
        <w:t xml:space="preserve">2) Petición normativa (la “ASK”) — texto de enmienda propuesto</w:t>
      </w:r>
    </w:p>
    <w:bookmarkStart w:id="22" w:name="objeto-del-cambio"/>
    <w:p>
      <w:pPr>
        <w:pStyle w:val="Heading4"/>
      </w:pPr>
      <w:r>
        <w:t xml:space="preserve">2.1 Objeto del cambio</w:t>
      </w:r>
    </w:p>
    <w:p>
      <w:pPr>
        <w:pStyle w:val="Compact"/>
        <w:numPr>
          <w:ilvl w:val="0"/>
          <w:numId w:val="1018"/>
        </w:numPr>
      </w:pPr>
      <w:r>
        <w:rPr>
          <w:b/>
          <w:bCs/>
        </w:rPr>
        <w:t xml:space="preserve">PAC (2028–2034)</w:t>
      </w:r>
      <w:r>
        <w:t xml:space="preserve">: elevar el umbral aplicable a la elegibilidad/definición de cáñamo industrial.</w:t>
      </w:r>
    </w:p>
    <w:p>
      <w:pPr>
        <w:pStyle w:val="Compact"/>
        <w:numPr>
          <w:ilvl w:val="0"/>
          <w:numId w:val="1018"/>
        </w:numPr>
      </w:pPr>
      <w:r>
        <w:rPr>
          <w:b/>
          <w:bCs/>
        </w:rPr>
        <w:t xml:space="preserve">OCM (Reg. (UE) 1308/2013 y sus modificaciones)</w:t>
      </w:r>
      <w:r>
        <w:t xml:space="preserve">: elevar el umbral en los artículos/condiciones sobre producción, comercialización e importación de productos de cáñamo cuando proceda.</w:t>
      </w:r>
    </w:p>
    <w:bookmarkEnd w:id="22"/>
    <w:bookmarkStart w:id="25" w:name="X148b91611793cf014166ddeb91ff027dcbf971d"/>
    <w:p>
      <w:pPr>
        <w:pStyle w:val="Heading4"/>
      </w:pPr>
      <w:r>
        <w:t xml:space="preserve">2.2 Enmiendas nucleares (artículo por artículo) —</w:t>
      </w:r>
      <w:r>
        <w:t xml:space="preserve"> </w:t>
      </w:r>
      <w:r>
        <w:rPr>
          <w:b/>
          <w:bCs/>
        </w:rPr>
        <w:t xml:space="preserve">0,3 % → 1,0 %</w:t>
      </w:r>
    </w:p>
    <w:p>
      <w:pPr>
        <w:pStyle w:val="BlockText"/>
      </w:pPr>
      <w:r>
        <w:t xml:space="preserve">Regla editorial:</w:t>
      </w:r>
      <w:r>
        <w:t xml:space="preserve"> </w:t>
      </w:r>
      <w:r>
        <w:rPr>
          <w:b/>
          <w:bCs/>
        </w:rPr>
        <w:t xml:space="preserve">misma redacción, solo cambia el número</w:t>
      </w:r>
      <w:r>
        <w:t xml:space="preserve"> </w:t>
      </w:r>
      <w:r>
        <w:t xml:space="preserve">(y, si se desea máxima seguridad jurídica, se añade la remisión técnica de la Sección 2.3).</w:t>
      </w:r>
    </w:p>
    <w:bookmarkStart w:id="23" w:name="pac-com2025-560-cap-20282034"/>
    <w:p>
      <w:pPr>
        <w:pStyle w:val="Heading5"/>
      </w:pPr>
      <w:r>
        <w:t xml:space="preserve">2.2.1 PAC — COM(2025) 560 (CAP 2028–2034)</w:t>
      </w:r>
    </w:p>
    <w:p>
      <w:pPr>
        <w:pStyle w:val="Compact"/>
        <w:numPr>
          <w:ilvl w:val="0"/>
          <w:numId w:val="1019"/>
        </w:numPr>
      </w:pPr>
      <w:r>
        <w:rPr>
          <w:b/>
          <w:bCs/>
        </w:rPr>
        <w:t xml:space="preserve">Artículo 5 (“Tipos de ayuda”), apartado 3</w:t>
      </w:r>
    </w:p>
    <w:p>
      <w:pPr>
        <w:pStyle w:val="Compact"/>
        <w:numPr>
          <w:ilvl w:val="1"/>
          <w:numId w:val="1020"/>
        </w:numPr>
      </w:pPr>
      <w:r>
        <w:rPr>
          <w:b/>
          <w:bCs/>
        </w:rPr>
        <w:t xml:space="preserve">Texto Comisión</w:t>
      </w:r>
      <w:r>
        <w:t xml:space="preserve">:</w:t>
      </w:r>
    </w:p>
    <w:p>
      <w:pPr>
        <w:pStyle w:val="Compact"/>
        <w:numPr>
          <w:ilvl w:val="2"/>
          <w:numId w:val="1021"/>
        </w:numPr>
      </w:pPr>
      <w:r>
        <w:t xml:space="preserve">«La producción de variedades de cáñamo con un contenido de tetrahidrocannabinol (THC) superior al</w:t>
      </w:r>
      <w:r>
        <w:t xml:space="preserve"> </w:t>
      </w:r>
      <w:r>
        <w:rPr>
          <w:b/>
          <w:bCs/>
        </w:rPr>
        <w:t xml:space="preserve">0,3 %</w:t>
      </w:r>
      <w:r>
        <w:t xml:space="preserve"> </w:t>
      </w:r>
      <w:r>
        <w:t xml:space="preserve">no podrá optar a las ayudas en virtud del presente Reglamento.»</w:t>
      </w:r>
    </w:p>
    <w:p>
      <w:pPr>
        <w:pStyle w:val="Compact"/>
        <w:numPr>
          <w:ilvl w:val="1"/>
          <w:numId w:val="1020"/>
        </w:numPr>
      </w:pPr>
      <w:r>
        <w:rPr>
          <w:b/>
          <w:bCs/>
        </w:rPr>
        <w:t xml:space="preserve">Texto propuesto (enmienda)</w:t>
      </w:r>
      <w:r>
        <w:t xml:space="preserve">:</w:t>
      </w:r>
    </w:p>
    <w:p>
      <w:pPr>
        <w:pStyle w:val="Compact"/>
        <w:numPr>
          <w:ilvl w:val="2"/>
          <w:numId w:val="1022"/>
        </w:numPr>
      </w:pPr>
      <w:r>
        <w:t xml:space="preserve">«La producción de variedades de cáñamo con un contenido de tetrahidrocannabinol (THC) superior al</w:t>
      </w:r>
      <w:r>
        <w:t xml:space="preserve"> </w:t>
      </w:r>
      <w:r>
        <w:rPr>
          <w:b/>
          <w:bCs/>
        </w:rPr>
        <w:t xml:space="preserve">1,0 %</w:t>
      </w:r>
      <w:r>
        <w:t xml:space="preserve"> </w:t>
      </w:r>
      <w:r>
        <w:t xml:space="preserve">no podrá optar a las ayudas en virtud del presente Reglamento.»</w:t>
      </w:r>
    </w:p>
    <w:bookmarkEnd w:id="23"/>
    <w:bookmarkStart w:id="24" w:name="Xe73602b9938f8dea3fc36c27f35de4844c2fa57"/>
    <w:p>
      <w:pPr>
        <w:pStyle w:val="Heading5"/>
      </w:pPr>
      <w:r>
        <w:t xml:space="preserve">2.2.2 OCM — COM(2025) 553 (modifica el Reg. (UE) 1308/2013)</w:t>
      </w:r>
    </w:p>
    <w:p>
      <w:pPr>
        <w:pStyle w:val="Compact"/>
        <w:numPr>
          <w:ilvl w:val="0"/>
          <w:numId w:val="1023"/>
        </w:numPr>
      </w:pPr>
      <w:r>
        <w:rPr>
          <w:b/>
          <w:bCs/>
        </w:rPr>
        <w:t xml:space="preserve">Nueva Sección 2 bis “Cáñamo”</w:t>
      </w:r>
    </w:p>
    <w:p>
      <w:pPr>
        <w:pStyle w:val="Compact"/>
        <w:numPr>
          <w:ilvl w:val="1"/>
          <w:numId w:val="1024"/>
        </w:numPr>
      </w:pPr>
      <w:r>
        <w:rPr>
          <w:b/>
          <w:bCs/>
        </w:rPr>
        <w:t xml:space="preserve">Artículo 147 ter (“Producción de cáñamo”), apartado 1</w:t>
      </w:r>
    </w:p>
    <w:p>
      <w:pPr>
        <w:pStyle w:val="Compact"/>
        <w:numPr>
          <w:ilvl w:val="2"/>
          <w:numId w:val="1025"/>
        </w:numPr>
      </w:pPr>
      <w:r>
        <w:rPr>
          <w:b/>
          <w:bCs/>
        </w:rPr>
        <w:t xml:space="preserve">Texto Comisión</w:t>
      </w:r>
      <w:r>
        <w:t xml:space="preserve">: sustituir «… cuyo contenido máximo de Δ9‑tetrahidrocannabinol no supere el</w:t>
      </w:r>
      <w:r>
        <w:t xml:space="preserve"> </w:t>
      </w:r>
      <w:r>
        <w:rPr>
          <w:b/>
          <w:bCs/>
        </w:rPr>
        <w:t xml:space="preserve">0,3 %</w:t>
      </w:r>
      <w:r>
        <w:t xml:space="preserve"> </w:t>
      </w:r>
      <w:r>
        <w:t xml:space="preserve">…» por «… no supere el</w:t>
      </w:r>
      <w:r>
        <w:t xml:space="preserve"> </w:t>
      </w:r>
      <w:r>
        <w:rPr>
          <w:b/>
          <w:bCs/>
        </w:rPr>
        <w:t xml:space="preserve">1,0 %</w:t>
      </w:r>
      <w:r>
        <w:t xml:space="preserve"> </w:t>
      </w:r>
      <w:r>
        <w:t xml:space="preserve">…».</w:t>
      </w:r>
    </w:p>
    <w:p>
      <w:pPr>
        <w:pStyle w:val="Compact"/>
        <w:numPr>
          <w:ilvl w:val="1"/>
          <w:numId w:val="1024"/>
        </w:numPr>
      </w:pPr>
      <w:r>
        <w:rPr>
          <w:b/>
          <w:bCs/>
        </w:rPr>
        <w:t xml:space="preserve">Artículo 147 quater (“Comercialización de cáñamo”), apartado 1</w:t>
      </w:r>
    </w:p>
    <w:p>
      <w:pPr>
        <w:pStyle w:val="Compact"/>
        <w:numPr>
          <w:ilvl w:val="2"/>
          <w:numId w:val="1026"/>
        </w:numPr>
      </w:pPr>
      <w:r>
        <w:rPr>
          <w:b/>
          <w:bCs/>
        </w:rPr>
        <w:t xml:space="preserve">Letra a)</w:t>
      </w:r>
      <w:r>
        <w:t xml:space="preserve">: sustituir «… no supere el</w:t>
      </w:r>
      <w:r>
        <w:t xml:space="preserve"> </w:t>
      </w:r>
      <w:r>
        <w:rPr>
          <w:b/>
          <w:bCs/>
        </w:rPr>
        <w:t xml:space="preserve">0,3 %</w:t>
      </w:r>
      <w:r>
        <w:t xml:space="preserve"> </w:t>
      </w:r>
      <w:r>
        <w:t xml:space="preserve">…» por «… no supere el</w:t>
      </w:r>
      <w:r>
        <w:t xml:space="preserve"> </w:t>
      </w:r>
      <w:r>
        <w:rPr>
          <w:b/>
          <w:bCs/>
        </w:rPr>
        <w:t xml:space="preserve">1,0 %</w:t>
      </w:r>
      <w:r>
        <w:t xml:space="preserve"> </w:t>
      </w:r>
      <w:r>
        <w:t xml:space="preserve">…».</w:t>
      </w:r>
    </w:p>
    <w:p>
      <w:pPr>
        <w:pStyle w:val="Compact"/>
        <w:numPr>
          <w:ilvl w:val="2"/>
          <w:numId w:val="1026"/>
        </w:numPr>
      </w:pPr>
      <w:r>
        <w:rPr>
          <w:b/>
          <w:bCs/>
        </w:rPr>
        <w:t xml:space="preserve">Letra b)</w:t>
      </w:r>
      <w:r>
        <w:t xml:space="preserve">: sustituir «… no supere el</w:t>
      </w:r>
      <w:r>
        <w:t xml:space="preserve"> </w:t>
      </w:r>
      <w:r>
        <w:rPr>
          <w:b/>
          <w:bCs/>
        </w:rPr>
        <w:t xml:space="preserve">0,3 %</w:t>
      </w:r>
      <w:r>
        <w:t xml:space="preserve"> </w:t>
      </w:r>
      <w:r>
        <w:t xml:space="preserve">…» por «… no supere el</w:t>
      </w:r>
      <w:r>
        <w:t xml:space="preserve"> </w:t>
      </w:r>
      <w:r>
        <w:rPr>
          <w:b/>
          <w:bCs/>
        </w:rPr>
        <w:t xml:space="preserve">1,0 %</w:t>
      </w:r>
      <w:r>
        <w:t xml:space="preserve"> </w:t>
      </w:r>
      <w:r>
        <w:t xml:space="preserve">…».</w:t>
      </w:r>
    </w:p>
    <w:p>
      <w:pPr>
        <w:pStyle w:val="Compact"/>
        <w:numPr>
          <w:ilvl w:val="2"/>
          <w:numId w:val="1026"/>
        </w:numPr>
      </w:pPr>
      <w:r>
        <w:rPr>
          <w:b/>
          <w:bCs/>
        </w:rPr>
        <w:t xml:space="preserve">Letra c)</w:t>
      </w:r>
      <w:r>
        <w:t xml:space="preserve">: sustituir «… no supere el</w:t>
      </w:r>
      <w:r>
        <w:t xml:space="preserve"> </w:t>
      </w:r>
      <w:r>
        <w:rPr>
          <w:b/>
          <w:bCs/>
        </w:rPr>
        <w:t xml:space="preserve">0,3 %</w:t>
      </w:r>
      <w:r>
        <w:t xml:space="preserve"> </w:t>
      </w:r>
      <w:r>
        <w:t xml:space="preserve">…» por «… no supere el</w:t>
      </w:r>
      <w:r>
        <w:t xml:space="preserve"> </w:t>
      </w:r>
      <w:r>
        <w:rPr>
          <w:b/>
          <w:bCs/>
        </w:rPr>
        <w:t xml:space="preserve">1,0 %</w:t>
      </w:r>
      <w:r>
        <w:t xml:space="preserve"> </w:t>
      </w:r>
      <w:r>
        <w:t xml:space="preserve">…».</w:t>
      </w:r>
    </w:p>
    <w:p>
      <w:pPr>
        <w:pStyle w:val="Compact"/>
        <w:numPr>
          <w:ilvl w:val="0"/>
          <w:numId w:val="1023"/>
        </w:numPr>
      </w:pPr>
      <w:r>
        <w:rPr>
          <w:b/>
          <w:bCs/>
        </w:rPr>
        <w:t xml:space="preserve">Artículo 189 (“Importaciones de cáñamo”) — sustituido íntegramente por COM(2025) 553</w:t>
      </w:r>
    </w:p>
    <w:p>
      <w:pPr>
        <w:pStyle w:val="Compact"/>
        <w:numPr>
          <w:ilvl w:val="1"/>
          <w:numId w:val="1027"/>
        </w:numPr>
      </w:pPr>
      <w:r>
        <w:rPr>
          <w:b/>
          <w:bCs/>
        </w:rPr>
        <w:t xml:space="preserve">Apartado 1, letra a)</w:t>
      </w:r>
      <w:r>
        <w:t xml:space="preserve">:</w:t>
      </w:r>
    </w:p>
    <w:p>
      <w:pPr>
        <w:pStyle w:val="Compact"/>
        <w:numPr>
          <w:ilvl w:val="2"/>
          <w:numId w:val="1028"/>
        </w:numPr>
      </w:pPr>
      <w:r>
        <w:t xml:space="preserve">sustituir «… no supere el</w:t>
      </w:r>
      <w:r>
        <w:t xml:space="preserve"> </w:t>
      </w:r>
      <w:r>
        <w:rPr>
          <w:b/>
          <w:bCs/>
        </w:rPr>
        <w:t xml:space="preserve">0,3 %</w:t>
      </w:r>
      <w:r>
        <w:t xml:space="preserve"> </w:t>
      </w:r>
      <w:r>
        <w:t xml:space="preserve">…» y «… no supera el</w:t>
      </w:r>
      <w:r>
        <w:t xml:space="preserve"> </w:t>
      </w:r>
      <w:r>
        <w:rPr>
          <w:b/>
          <w:bCs/>
        </w:rPr>
        <w:t xml:space="preserve">0,3 %</w:t>
      </w:r>
      <w:r>
        <w:t xml:space="preserve">» por «…</w:t>
      </w:r>
      <w:r>
        <w:t xml:space="preserve"> </w:t>
      </w:r>
      <w:r>
        <w:rPr>
          <w:b/>
          <w:bCs/>
        </w:rPr>
        <w:t xml:space="preserve">1,0 %</w:t>
      </w:r>
      <w:r>
        <w:t xml:space="preserve"> </w:t>
      </w:r>
      <w:r>
        <w:t xml:space="preserve">…».</w:t>
      </w:r>
    </w:p>
    <w:p>
      <w:pPr>
        <w:pStyle w:val="Compact"/>
        <w:numPr>
          <w:ilvl w:val="1"/>
          <w:numId w:val="1027"/>
        </w:numPr>
      </w:pPr>
      <w:r>
        <w:rPr>
          <w:b/>
          <w:bCs/>
        </w:rPr>
        <w:t xml:space="preserve">Apartado 1, letra b)</w:t>
      </w:r>
      <w:r>
        <w:t xml:space="preserve">:</w:t>
      </w:r>
    </w:p>
    <w:p>
      <w:pPr>
        <w:pStyle w:val="Compact"/>
        <w:numPr>
          <w:ilvl w:val="2"/>
          <w:numId w:val="1029"/>
        </w:numPr>
      </w:pPr>
      <w:r>
        <w:t xml:space="preserve">sustituir «… no supere el</w:t>
      </w:r>
      <w:r>
        <w:t xml:space="preserve"> </w:t>
      </w:r>
      <w:r>
        <w:rPr>
          <w:b/>
          <w:bCs/>
        </w:rPr>
        <w:t xml:space="preserve">0,3 %</w:t>
      </w:r>
      <w:r>
        <w:t xml:space="preserve"> </w:t>
      </w:r>
      <w:r>
        <w:t xml:space="preserve">…» y «… no supera el</w:t>
      </w:r>
      <w:r>
        <w:t xml:space="preserve"> </w:t>
      </w:r>
      <w:r>
        <w:rPr>
          <w:b/>
          <w:bCs/>
        </w:rPr>
        <w:t xml:space="preserve">0,3 %</w:t>
      </w:r>
      <w:r>
        <w:t xml:space="preserve">» por «…</w:t>
      </w:r>
      <w:r>
        <w:t xml:space="preserve"> </w:t>
      </w:r>
      <w:r>
        <w:rPr>
          <w:b/>
          <w:bCs/>
        </w:rPr>
        <w:t xml:space="preserve">1,0 %</w:t>
      </w:r>
      <w:r>
        <w:t xml:space="preserve"> </w:t>
      </w:r>
      <w:r>
        <w:t xml:space="preserve">…».</w:t>
      </w:r>
    </w:p>
    <w:p>
      <w:pPr>
        <w:pStyle w:val="Compact"/>
        <w:numPr>
          <w:ilvl w:val="1"/>
          <w:numId w:val="1027"/>
        </w:numPr>
      </w:pPr>
      <w:r>
        <w:rPr>
          <w:b/>
          <w:bCs/>
        </w:rPr>
        <w:t xml:space="preserve">Apartado 1, letra d)</w:t>
      </w:r>
      <w:r>
        <w:t xml:space="preserve">:</w:t>
      </w:r>
    </w:p>
    <w:p>
      <w:pPr>
        <w:pStyle w:val="Compact"/>
        <w:numPr>
          <w:ilvl w:val="2"/>
          <w:numId w:val="1030"/>
        </w:numPr>
      </w:pPr>
      <w:r>
        <w:t xml:space="preserve">sustituir «… no supere el</w:t>
      </w:r>
      <w:r>
        <w:t xml:space="preserve"> </w:t>
      </w:r>
      <w:r>
        <w:rPr>
          <w:b/>
          <w:bCs/>
        </w:rPr>
        <w:t xml:space="preserve">0,3 %</w:t>
      </w:r>
      <w:r>
        <w:t xml:space="preserve"> </w:t>
      </w:r>
      <w:r>
        <w:t xml:space="preserve">…» y «… no supera el</w:t>
      </w:r>
      <w:r>
        <w:t xml:space="preserve"> </w:t>
      </w:r>
      <w:r>
        <w:rPr>
          <w:b/>
          <w:bCs/>
        </w:rPr>
        <w:t xml:space="preserve">0,3 %</w:t>
      </w:r>
      <w:r>
        <w:t xml:space="preserve">» por «…</w:t>
      </w:r>
      <w:r>
        <w:t xml:space="preserve"> </w:t>
      </w:r>
      <w:r>
        <w:rPr>
          <w:b/>
          <w:bCs/>
        </w:rPr>
        <w:t xml:space="preserve">1,0 %</w:t>
      </w:r>
      <w:r>
        <w:t xml:space="preserve"> </w:t>
      </w:r>
      <w:r>
        <w:t xml:space="preserve">…».</w:t>
      </w:r>
    </w:p>
    <w:p>
      <w:pPr>
        <w:pStyle w:val="BlockText"/>
      </w:pPr>
      <w:r>
        <w:t xml:space="preserve">Nota práctica: el cuadro “Commission proposal / Suggested amendment” (con el texto completo de cada artículo afectado) se adjunta como</w:t>
      </w:r>
      <w:r>
        <w:t xml:space="preserve"> </w:t>
      </w:r>
      <w:r>
        <w:rPr>
          <w:b/>
          <w:bCs/>
        </w:rPr>
        <w:t xml:space="preserve">Anexo F</w:t>
      </w:r>
      <w:r>
        <w:t xml:space="preserve"> </w:t>
      </w:r>
      <w:r>
        <w:t xml:space="preserve">para trabajo legislativo y trazabilidad.</w:t>
      </w:r>
    </w:p>
    <w:bookmarkEnd w:id="24"/>
    <w:bookmarkEnd w:id="25"/>
    <w:bookmarkStart w:id="26" w:name="X441268ff99bf989b97223c8464dba0ad7e20a11"/>
    <w:p>
      <w:pPr>
        <w:pStyle w:val="Heading4"/>
      </w:pPr>
      <w:r>
        <w:t xml:space="preserve">2.3 Cláusula técnica mínima recomendada (para cerrar ambigüedades sin cambiar el sistema)</w:t>
      </w:r>
    </w:p>
    <w:p>
      <w:pPr>
        <w:pStyle w:val="FirstParagraph"/>
      </w:pPr>
      <w:r>
        <w:t xml:space="preserve">Para evitar litigios por interpretaciones divergentes (“qué THC” y “cómo se mide”), se recomienda añadir una remisión técnica</w:t>
      </w:r>
      <w:r>
        <w:t xml:space="preserve"> </w:t>
      </w:r>
      <w:r>
        <w:rPr>
          <w:b/>
          <w:bCs/>
        </w:rPr>
        <w:t xml:space="preserve">sin alterar el método existente</w:t>
      </w:r>
      <w:r>
        <w:t xml:space="preserve">:</w:t>
      </w:r>
    </w:p>
    <w:p>
      <w:pPr>
        <w:pStyle w:val="Compact"/>
        <w:numPr>
          <w:ilvl w:val="0"/>
          <w:numId w:val="1031"/>
        </w:numPr>
      </w:pPr>
      <w:r>
        <w:rPr>
          <w:b/>
          <w:bCs/>
        </w:rPr>
        <w:t xml:space="preserve">Texto sugerido (insertable en PAC y OCM)</w:t>
      </w:r>
      <w:r>
        <w:t xml:space="preserve">:</w:t>
      </w:r>
    </w:p>
    <w:p>
      <w:pPr>
        <w:pStyle w:val="Compact"/>
        <w:numPr>
          <w:ilvl w:val="1"/>
          <w:numId w:val="1032"/>
        </w:numPr>
      </w:pPr>
      <w:r>
        <w:t xml:space="preserve">«A efectos del presente Reglamento, el contenido de tetrahidrocannabinol (THC) / Δ9‑tetrahidrocannabinol se determinará</w:t>
      </w:r>
      <w:r>
        <w:t xml:space="preserve"> </w:t>
      </w:r>
      <w:r>
        <w:rPr>
          <w:b/>
          <w:bCs/>
        </w:rPr>
        <w:t xml:space="preserve">en base a materia seca (peso constante)</w:t>
      </w:r>
      <w:r>
        <w:t xml:space="preserve"> </w:t>
      </w:r>
      <w:r>
        <w:t xml:space="preserve">y de conformidad con el</w:t>
      </w:r>
      <w:r>
        <w:t xml:space="preserve"> </w:t>
      </w:r>
      <w:r>
        <w:rPr>
          <w:b/>
          <w:bCs/>
        </w:rPr>
        <w:t xml:space="preserve">método de la Unión</w:t>
      </w:r>
      <w:r>
        <w:t xml:space="preserve"> </w:t>
      </w:r>
      <w:r>
        <w:t xml:space="preserve">establecido en el</w:t>
      </w:r>
      <w:r>
        <w:t xml:space="preserve"> </w:t>
      </w:r>
      <w:r>
        <w:rPr>
          <w:b/>
          <w:bCs/>
        </w:rPr>
        <w:t xml:space="preserve">anexo III del Reglamento Delegado (UE) 2017/1155</w:t>
      </w:r>
      <w:r>
        <w:t xml:space="preserve">, o en el acto que lo sustituya.»</w:t>
      </w:r>
    </w:p>
    <w:p>
      <w:pPr>
        <w:pStyle w:val="BlockText"/>
      </w:pPr>
      <w:r>
        <w:t xml:space="preserve">Detalle operativo (muestreo, procedimientos A/B, tolerancias):</w:t>
      </w:r>
      <w:r>
        <w:t xml:space="preserve"> </w:t>
      </w:r>
      <w:r>
        <w:rPr>
          <w:b/>
          <w:bCs/>
        </w:rPr>
        <w:t xml:space="preserve">Anexo G</w:t>
      </w:r>
      <w:r>
        <w:t xml:space="preserve">.</w:t>
      </w:r>
    </w:p>
    <w:p>
      <w:r>
        <w:pict>
          <v:rect style="width:0;height:1.5pt" o:hralign="center" o:hrstd="t" o:hr="t"/>
        </w:pict>
      </w:r>
    </w:p>
    <w:bookmarkEnd w:id="26"/>
    <w:bookmarkEnd w:id="27"/>
    <w:bookmarkStart w:id="30" w:name="X177c215c79f2d5b29918716cd08595f66eb0aa4"/>
    <w:p>
      <w:pPr>
        <w:pStyle w:val="Heading3"/>
      </w:pPr>
      <w:r>
        <w:t xml:space="preserve">3) Definiciones y alcance (evitar ambigüedades)</w:t>
      </w:r>
    </w:p>
    <w:bookmarkStart w:id="28" w:name="qué-se-regula-y-qué-no"/>
    <w:p>
      <w:pPr>
        <w:pStyle w:val="Heading4"/>
      </w:pPr>
      <w:r>
        <w:t xml:space="preserve">3.1 Qué se regula (y qué no)</w:t>
      </w:r>
    </w:p>
    <w:p>
      <w:pPr>
        <w:pStyle w:val="Compact"/>
        <w:numPr>
          <w:ilvl w:val="0"/>
          <w:numId w:val="1033"/>
        </w:numPr>
      </w:pPr>
      <w:r>
        <w:rPr>
          <w:b/>
          <w:bCs/>
        </w:rPr>
        <w:t xml:space="preserve">Qué se regula (núcleo)</w:t>
      </w:r>
      <w:r>
        <w:t xml:space="preserve">: un</w:t>
      </w:r>
      <w:r>
        <w:t xml:space="preserve"> </w:t>
      </w:r>
      <w:r>
        <w:rPr>
          <w:b/>
          <w:bCs/>
        </w:rPr>
        <w:t xml:space="preserve">criterio operativo único</w:t>
      </w:r>
      <w:r>
        <w:t xml:space="preserve"> </w:t>
      </w:r>
      <w:r>
        <w:t xml:space="preserve">en PAC/OCM para</w:t>
      </w:r>
      <w:r>
        <w:t xml:space="preserve"> </w:t>
      </w:r>
      <w:r>
        <w:rPr>
          <w:b/>
          <w:bCs/>
        </w:rPr>
        <w:t xml:space="preserve">clasificar “cáñamo industrial”</w:t>
      </w:r>
      <w:r>
        <w:t xml:space="preserve"> </w:t>
      </w:r>
      <w:r>
        <w:t xml:space="preserve">y habilitar un marco estable de</w:t>
      </w:r>
      <w:r>
        <w:t xml:space="preserve"> </w:t>
      </w:r>
      <w:r>
        <w:rPr>
          <w:b/>
          <w:bCs/>
        </w:rPr>
        <w:t xml:space="preserve">cultivo, comercialización e importación</w:t>
      </w:r>
      <w:r>
        <w:t xml:space="preserve"> </w:t>
      </w:r>
      <w:r>
        <w:t xml:space="preserve">cuando proceda en el mercado interior.</w:t>
      </w:r>
    </w:p>
    <w:p>
      <w:pPr>
        <w:pStyle w:val="Compact"/>
        <w:numPr>
          <w:ilvl w:val="0"/>
          <w:numId w:val="1033"/>
        </w:numPr>
      </w:pPr>
      <w:r>
        <w:rPr>
          <w:b/>
          <w:bCs/>
        </w:rPr>
        <w:t xml:space="preserve">Qué NO se regula</w:t>
      </w:r>
      <w:r>
        <w:t xml:space="preserve">:</w:t>
      </w:r>
    </w:p>
    <w:p>
      <w:pPr>
        <w:pStyle w:val="Compact"/>
        <w:numPr>
          <w:ilvl w:val="1"/>
          <w:numId w:val="1034"/>
        </w:numPr>
      </w:pPr>
      <w:r>
        <w:rPr>
          <w:b/>
          <w:bCs/>
        </w:rPr>
        <w:t xml:space="preserve">Derecho penal/estupefacientes</w:t>
      </w:r>
      <w:r>
        <w:t xml:space="preserve">: esta propuesta no pretende armonizarlo. La lógica es de</w:t>
      </w:r>
      <w:r>
        <w:t xml:space="preserve"> </w:t>
      </w:r>
      <w:r>
        <w:rPr>
          <w:b/>
          <w:bCs/>
        </w:rPr>
        <w:t xml:space="preserve">mercado interior + proporcionalidad</w:t>
      </w:r>
      <w:r>
        <w:t xml:space="preserve"> </w:t>
      </w:r>
      <w:r>
        <w:t xml:space="preserve">dentro de competencias UE (ver Sección 7).</w:t>
      </w:r>
    </w:p>
    <w:p>
      <w:pPr>
        <w:pStyle w:val="Compact"/>
        <w:numPr>
          <w:ilvl w:val="1"/>
          <w:numId w:val="1034"/>
        </w:numPr>
      </w:pPr>
      <w:r>
        <w:rPr>
          <w:b/>
          <w:bCs/>
        </w:rPr>
        <w:t xml:space="preserve">Regímenes de producto final</w:t>
      </w:r>
      <w:r>
        <w:t xml:space="preserve">: no sustituye requisitos sectoriales aplicables (p. ej., medicinal, alimentación/“novel food”, cosmética, tabaco/TPD cuando corresponda). Esos marcos se aplican</w:t>
      </w:r>
      <w:r>
        <w:t xml:space="preserve"> </w:t>
      </w:r>
      <w:r>
        <w:rPr>
          <w:b/>
          <w:bCs/>
        </w:rPr>
        <w:t xml:space="preserve">además</w:t>
      </w:r>
      <w:r>
        <w:t xml:space="preserve"> </w:t>
      </w:r>
      <w:r>
        <w:t xml:space="preserve">del criterio PAC/OCM.</w:t>
      </w:r>
    </w:p>
    <w:p>
      <w:pPr>
        <w:pStyle w:val="Compact"/>
        <w:numPr>
          <w:ilvl w:val="1"/>
          <w:numId w:val="1034"/>
        </w:numPr>
      </w:pPr>
      <w:r>
        <w:rPr>
          <w:b/>
          <w:bCs/>
        </w:rPr>
        <w:t xml:space="preserve">“Psicoactividad” como etiqueta jurídica automática</w:t>
      </w:r>
      <w:r>
        <w:t xml:space="preserve">: el umbral es una</w:t>
      </w:r>
      <w:r>
        <w:t xml:space="preserve"> </w:t>
      </w:r>
      <w:r>
        <w:rPr>
          <w:b/>
          <w:bCs/>
        </w:rPr>
        <w:t xml:space="preserve">definición agronómico‑jurídica</w:t>
      </w:r>
      <w:r>
        <w:t xml:space="preserve">, no una afirmación de “seguridad de consumo”. La discusión “% en planta ≠ impairment” se trata en Sección 6 y Anexos B–C.</w:t>
      </w:r>
    </w:p>
    <w:p>
      <w:pPr>
        <w:pStyle w:val="BlockText"/>
      </w:pPr>
      <w:r>
        <w:t xml:space="preserve">Clave de interpretación: la reforma busca que el umbral PAC/OCM deje de operar como “frontera rígida sin base sanitaria” y pase a ser un</w:t>
      </w:r>
      <w:r>
        <w:t xml:space="preserve"> </w:t>
      </w:r>
      <w:r>
        <w:rPr>
          <w:b/>
          <w:bCs/>
        </w:rPr>
        <w:t xml:space="preserve">estándar técnico‑jurídico coherente</w:t>
      </w:r>
      <w:r>
        <w:t xml:space="preserve">, medible y defendible (Anexo A + Anexo G).</w:t>
      </w:r>
    </w:p>
    <w:bookmarkEnd w:id="28"/>
    <w:bookmarkStart w:id="29" w:name="X7df8ce51b0be8e32ee919472e4abb71fe343636"/>
    <w:p>
      <w:pPr>
        <w:pStyle w:val="Heading4"/>
      </w:pPr>
      <w:r>
        <w:t xml:space="preserve">3.2 Definición técnica mínima que debe fijarse en norma</w:t>
      </w:r>
    </w:p>
    <w:p>
      <w:pPr>
        <w:pStyle w:val="Compact"/>
        <w:numPr>
          <w:ilvl w:val="0"/>
          <w:numId w:val="1035"/>
        </w:numPr>
      </w:pPr>
      <w:r>
        <w:rPr>
          <w:b/>
          <w:bCs/>
        </w:rPr>
        <w:t xml:space="preserve">Qué “THC” (sustancia/expresión)</w:t>
      </w:r>
      <w:r>
        <w:t xml:space="preserve">:</w:t>
      </w:r>
    </w:p>
    <w:p>
      <w:pPr>
        <w:pStyle w:val="Compact"/>
        <w:numPr>
          <w:ilvl w:val="1"/>
          <w:numId w:val="1036"/>
        </w:numPr>
      </w:pPr>
      <w:r>
        <w:rPr>
          <w:b/>
          <w:bCs/>
        </w:rPr>
        <w:t xml:space="preserve">Opción de continuidad (recomendada para implementación inmediata)</w:t>
      </w:r>
      <w:r>
        <w:t xml:space="preserve">: definir el umbral como</w:t>
      </w:r>
      <w:r>
        <w:t xml:space="preserve"> </w:t>
      </w:r>
      <w:r>
        <w:rPr>
          <w:b/>
          <w:bCs/>
        </w:rPr>
        <w:t xml:space="preserve">contenido de Δ9‑THC (en adelante “THC”)</w:t>
      </w:r>
      <w:r>
        <w:t xml:space="preserve"> </w:t>
      </w:r>
      <w:r>
        <w:t xml:space="preserve">determinado conforme al</w:t>
      </w:r>
      <w:r>
        <w:t xml:space="preserve"> </w:t>
      </w:r>
      <w:r>
        <w:rPr>
          <w:b/>
          <w:bCs/>
        </w:rPr>
        <w:t xml:space="preserve">Método de la Unión</w:t>
      </w:r>
      <w:r>
        <w:t xml:space="preserve"> </w:t>
      </w:r>
      <w:r>
        <w:t xml:space="preserve">(Anexo III del Reg. Delegado (UE) 2017/1155) sobre</w:t>
      </w:r>
      <w:r>
        <w:t xml:space="preserve"> </w:t>
      </w:r>
      <w:r>
        <w:rPr>
          <w:b/>
          <w:bCs/>
        </w:rPr>
        <w:t xml:space="preserve">muestra seca a peso constante</w:t>
      </w:r>
      <w:r>
        <w:t xml:space="preserve">.</w:t>
      </w:r>
    </w:p>
    <w:p>
      <w:pPr>
        <w:pStyle w:val="Compact"/>
        <w:numPr>
          <w:ilvl w:val="1"/>
          <w:numId w:val="1036"/>
        </w:numPr>
      </w:pPr>
      <w:r>
        <w:rPr>
          <w:b/>
          <w:bCs/>
        </w:rPr>
        <w:t xml:space="preserve">Si se opta por “THC total”</w:t>
      </w:r>
      <w:r>
        <w:t xml:space="preserve"> </w:t>
      </w:r>
      <w:r>
        <w:t xml:space="preserve">(THC + precursor ácido): la norma debe</w:t>
      </w:r>
      <w:r>
        <w:t xml:space="preserve"> </w:t>
      </w:r>
      <w:r>
        <w:rPr>
          <w:b/>
          <w:bCs/>
        </w:rPr>
        <w:t xml:space="preserve">definirlo explícitamente</w:t>
      </w:r>
      <w:r>
        <w:t xml:space="preserve"> </w:t>
      </w:r>
      <w:r>
        <w:t xml:space="preserve">(p. ej. (THC_{total} =</w:t>
      </w:r>
      <w:r>
        <w:t xml:space="preserve"> </w:t>
      </w:r>
      <w:r>
        <w:t xml:space="preserve">THC + 0{,}877</w:t>
      </w:r>
      <w:r>
        <w:t xml:space="preserve"> </w:t>
      </w:r>
      <w:r>
        <w:t xml:space="preserve">THCA), en base seca) y fijar el método (Anexo G).</w:t>
      </w:r>
    </w:p>
    <w:p>
      <w:pPr>
        <w:pStyle w:val="Compact"/>
        <w:numPr>
          <w:ilvl w:val="0"/>
          <w:numId w:val="1035"/>
        </w:numPr>
      </w:pPr>
      <w:r>
        <w:rPr>
          <w:b/>
          <w:bCs/>
        </w:rPr>
        <w:t xml:space="preserve">Base de cálculo (obligatoria)</w:t>
      </w:r>
      <w:r>
        <w:t xml:space="preserve">:</w:t>
      </w:r>
    </w:p>
    <w:p>
      <w:pPr>
        <w:pStyle w:val="Compact"/>
        <w:numPr>
          <w:ilvl w:val="1"/>
          <w:numId w:val="1037"/>
        </w:numPr>
      </w:pPr>
      <w:r>
        <w:rPr>
          <w:b/>
          <w:bCs/>
        </w:rPr>
        <w:t xml:space="preserve">Materia seca / “peso constante”</w:t>
      </w:r>
      <w:r>
        <w:t xml:space="preserve"> </w:t>
      </w:r>
      <w:r>
        <w:t xml:space="preserve">(evita sesgos por humedad).</w:t>
      </w:r>
    </w:p>
    <w:p>
      <w:pPr>
        <w:pStyle w:val="Compact"/>
        <w:numPr>
          <w:ilvl w:val="1"/>
          <w:numId w:val="1037"/>
        </w:numPr>
      </w:pPr>
      <w:r>
        <w:t xml:space="preserve">Expresión homogénea:</w:t>
      </w:r>
      <w:r>
        <w:t xml:space="preserve"> </w:t>
      </w:r>
      <w:r>
        <w:rPr>
          <w:b/>
          <w:bCs/>
        </w:rPr>
        <w:t xml:space="preserve">g de THC por 100 g</w:t>
      </w:r>
      <w:r>
        <w:t xml:space="preserve"> </w:t>
      </w:r>
      <w:r>
        <w:t xml:space="preserve">de muestra analítica seca, con</w:t>
      </w:r>
      <w:r>
        <w:t xml:space="preserve"> </w:t>
      </w:r>
      <w:r>
        <w:rPr>
          <w:b/>
          <w:bCs/>
        </w:rPr>
        <w:t xml:space="preserve">dos decimales</w:t>
      </w:r>
      <w:r>
        <w:t xml:space="preserve"> </w:t>
      </w:r>
      <w:r>
        <w:t xml:space="preserve">(equivalente a % m/m).</w:t>
      </w:r>
    </w:p>
    <w:p>
      <w:pPr>
        <w:pStyle w:val="Compact"/>
        <w:numPr>
          <w:ilvl w:val="0"/>
          <w:numId w:val="1035"/>
        </w:numPr>
      </w:pPr>
      <w:r>
        <w:rPr>
          <w:b/>
          <w:bCs/>
        </w:rPr>
        <w:t xml:space="preserve">Matriz y muestreo (control del cultivo; mínimo a referenciar)</w:t>
      </w:r>
      <w:r>
        <w:t xml:space="preserve">:</w:t>
      </w:r>
    </w:p>
    <w:p>
      <w:pPr>
        <w:pStyle w:val="Compact"/>
        <w:numPr>
          <w:ilvl w:val="1"/>
          <w:numId w:val="1038"/>
        </w:numPr>
      </w:pPr>
      <w:r>
        <w:t xml:space="preserve">Referencia normativa al</w:t>
      </w:r>
      <w:r>
        <w:t xml:space="preserve"> </w:t>
      </w:r>
      <w:r>
        <w:rPr>
          <w:b/>
          <w:bCs/>
        </w:rPr>
        <w:t xml:space="preserve">Anexo III (Reg. (UE) 2017/1155)</w:t>
      </w:r>
      <w:r>
        <w:t xml:space="preserve"> </w:t>
      </w:r>
      <w:r>
        <w:t xml:space="preserve">con sus</w:t>
      </w:r>
      <w:r>
        <w:t xml:space="preserve"> </w:t>
      </w:r>
      <w:r>
        <w:rPr>
          <w:b/>
          <w:bCs/>
        </w:rPr>
        <w:t xml:space="preserve">procedimientos A/B</w:t>
      </w:r>
      <w:r>
        <w:t xml:space="preserve">.</w:t>
      </w:r>
    </w:p>
    <w:p>
      <w:pPr>
        <w:pStyle w:val="Compact"/>
        <w:numPr>
          <w:ilvl w:val="1"/>
          <w:numId w:val="1038"/>
        </w:numPr>
      </w:pPr>
      <w:r>
        <w:t xml:space="preserve">Elementos críticos que deben quedar “cerrados” (sin reescribir todo el método):</w:t>
      </w:r>
    </w:p>
    <w:p>
      <w:pPr>
        <w:pStyle w:val="Compact"/>
        <w:numPr>
          <w:ilvl w:val="2"/>
          <w:numId w:val="1039"/>
        </w:numPr>
      </w:pPr>
      <w:r>
        <w:rPr>
          <w:b/>
          <w:bCs/>
        </w:rPr>
        <w:t xml:space="preserve">Representatividad</w:t>
      </w:r>
      <w:r>
        <w:t xml:space="preserve">: patrón sistemático, excluyendo orillas.</w:t>
      </w:r>
    </w:p>
    <w:p>
      <w:pPr>
        <w:pStyle w:val="Compact"/>
        <w:numPr>
          <w:ilvl w:val="2"/>
          <w:numId w:val="1039"/>
        </w:numPr>
      </w:pPr>
      <w:r>
        <w:rPr>
          <w:b/>
          <w:bCs/>
        </w:rPr>
        <w:t xml:space="preserve">Parte de planta y ventana temporal</w:t>
      </w:r>
      <w:r>
        <w:t xml:space="preserve">: Procedimiento A (50 plantas):</w:t>
      </w:r>
      <w:r>
        <w:t xml:space="preserve"> </w:t>
      </w:r>
      <w:r>
        <w:rPr>
          <w:b/>
          <w:bCs/>
        </w:rPr>
        <w:t xml:space="preserve">segmento de 30 cm</w:t>
      </w:r>
      <w:r>
        <w:t xml:space="preserve"> </w:t>
      </w:r>
      <w:r>
        <w:t xml:space="preserve">con ≥1 inflorescencia femenina, muestreado entre</w:t>
      </w:r>
      <w:r>
        <w:t xml:space="preserve"> </w:t>
      </w:r>
      <w:r>
        <w:rPr>
          <w:b/>
          <w:bCs/>
        </w:rPr>
        <w:t xml:space="preserve">20 días tras inicio de floración</w:t>
      </w:r>
      <w:r>
        <w:t xml:space="preserve"> </w:t>
      </w:r>
      <w:r>
        <w:t xml:space="preserve">y</w:t>
      </w:r>
      <w:r>
        <w:t xml:space="preserve"> </w:t>
      </w:r>
      <w:r>
        <w:rPr>
          <w:b/>
          <w:bCs/>
        </w:rPr>
        <w:t xml:space="preserve">10 días tras final de floración</w:t>
      </w:r>
      <w:r>
        <w:t xml:space="preserve"> </w:t>
      </w:r>
      <w:r>
        <w:t xml:space="preserve">(con regla específica para cultivo intermedio sin inflorescencias). Procedimiento B (200 plantas):</w:t>
      </w:r>
      <w:r>
        <w:t xml:space="preserve"> </w:t>
      </w:r>
      <w:r>
        <w:rPr>
          <w:b/>
          <w:bCs/>
        </w:rPr>
        <w:t xml:space="preserve">tercio superior</w:t>
      </w:r>
      <w:r>
        <w:t xml:space="preserve">, dentro de</w:t>
      </w:r>
      <w:r>
        <w:t xml:space="preserve"> </w:t>
      </w:r>
      <w:r>
        <w:rPr>
          <w:b/>
          <w:bCs/>
        </w:rPr>
        <w:t xml:space="preserve">10 días</w:t>
      </w:r>
      <w:r>
        <w:t xml:space="preserve"> </w:t>
      </w:r>
      <w:r>
        <w:t xml:space="preserve">desde el final de floración (en dioicas: solo plantas femeninas).</w:t>
      </w:r>
    </w:p>
    <w:p>
      <w:pPr>
        <w:pStyle w:val="Compact"/>
        <w:numPr>
          <w:ilvl w:val="2"/>
          <w:numId w:val="1039"/>
        </w:numPr>
      </w:pPr>
      <w:r>
        <w:rPr>
          <w:b/>
          <w:bCs/>
        </w:rPr>
        <w:t xml:space="preserve">Secado y preparación</w:t>
      </w:r>
      <w:r>
        <w:t xml:space="preserve">: secado &lt;70 °C hasta peso constante; parámetros de conservación/preparación de muestra (Anexo G).</w:t>
      </w:r>
    </w:p>
    <w:p>
      <w:pPr>
        <w:pStyle w:val="Compact"/>
        <w:numPr>
          <w:ilvl w:val="0"/>
          <w:numId w:val="1035"/>
        </w:numPr>
      </w:pPr>
      <w:r>
        <w:rPr>
          <w:b/>
          <w:bCs/>
        </w:rPr>
        <w:t xml:space="preserve">Tolerancias y decisión administrativa</w:t>
      </w:r>
      <w:r>
        <w:t xml:space="preserve">:</w:t>
      </w:r>
    </w:p>
    <w:p>
      <w:pPr>
        <w:pStyle w:val="Compact"/>
        <w:numPr>
          <w:ilvl w:val="1"/>
          <w:numId w:val="1040"/>
        </w:numPr>
      </w:pPr>
      <w:r>
        <w:t xml:space="preserve">Integrar en la práctica de control la</w:t>
      </w:r>
      <w:r>
        <w:t xml:space="preserve"> </w:t>
      </w:r>
      <w:r>
        <w:rPr>
          <w:b/>
          <w:bCs/>
        </w:rPr>
        <w:t xml:space="preserve">tolerancia analítica</w:t>
      </w:r>
      <w:r>
        <w:t xml:space="preserve"> </w:t>
      </w:r>
      <w:r>
        <w:t xml:space="preserve">del método UE (</w:t>
      </w:r>
      <w:r>
        <w:rPr>
          <w:b/>
          <w:bCs/>
        </w:rPr>
        <w:t xml:space="preserve">0,03 g/100 g</w:t>
      </w:r>
      <w:r>
        <w:t xml:space="preserve">) y reglas claras de repetición/confirmación para evitar sanciones por ruido analítico (detalle en Anexo G).</w:t>
      </w:r>
    </w:p>
    <w:p>
      <w:pPr>
        <w:pStyle w:val="Compact"/>
        <w:numPr>
          <w:ilvl w:val="0"/>
          <w:numId w:val="1035"/>
        </w:numPr>
      </w:pPr>
      <w:r>
        <w:rPr>
          <w:b/>
          <w:bCs/>
        </w:rPr>
        <w:t xml:space="preserve">Regla de consistencia</w:t>
      </w:r>
      <w:r>
        <w:t xml:space="preserve">:</w:t>
      </w:r>
    </w:p>
    <w:p>
      <w:pPr>
        <w:pStyle w:val="Compact"/>
        <w:numPr>
          <w:ilvl w:val="1"/>
          <w:numId w:val="1041"/>
        </w:numPr>
      </w:pPr>
      <w:r>
        <w:t xml:space="preserve">Un solo convenio (“Δ9” o “total”)</w:t>
      </w:r>
      <w:r>
        <w:t xml:space="preserve"> </w:t>
      </w:r>
      <w:r>
        <w:rPr>
          <w:b/>
          <w:bCs/>
        </w:rPr>
        <w:t xml:space="preserve">para todo el documento y para toda la arquitectura PAC/OCM</w:t>
      </w:r>
      <w:r>
        <w:t xml:space="preserve">, evitando mezclar definiciones por Estado miembro o por cadena (Sección 14).</w:t>
      </w:r>
    </w:p>
    <w:p>
      <w:pPr>
        <w:pStyle w:val="BlockText"/>
      </w:pPr>
      <w:r>
        <w:t xml:space="preserve">Detalle metodológico: Anexo G.</w:t>
      </w:r>
    </w:p>
    <w:p>
      <w:r>
        <w:pict>
          <v:rect style="width:0;height:1.5pt" o:hralign="center" o:hrstd="t" o:hr="t"/>
        </w:pict>
      </w:r>
    </w:p>
    <w:bookmarkEnd w:id="29"/>
    <w:bookmarkEnd w:id="30"/>
    <w:bookmarkStart w:id="37" w:name="X743d93e707f077e46b9afa82c17ce4f2c1c518c"/>
    <w:p>
      <w:pPr>
        <w:pStyle w:val="Heading3"/>
      </w:pPr>
      <w:r>
        <w:t xml:space="preserve">4) Problema regulatorio actual (por qué hace falta el cambio)</w:t>
      </w:r>
    </w:p>
    <w:p>
      <w:pPr>
        <w:pStyle w:val="FirstParagraph"/>
      </w:pPr>
      <w:r>
        <w:t xml:space="preserve">El umbral de</w:t>
      </w:r>
      <w:r>
        <w:t xml:space="preserve"> </w:t>
      </w:r>
      <w:r>
        <w:rPr>
          <w:b/>
          <w:bCs/>
        </w:rPr>
        <w:t xml:space="preserve">0,3% THC</w:t>
      </w:r>
      <w:r>
        <w:t xml:space="preserve"> </w:t>
      </w:r>
      <w:r>
        <w:t xml:space="preserve">se ha convertido, en la práctica, en una</w:t>
      </w:r>
      <w:r>
        <w:t xml:space="preserve"> </w:t>
      </w:r>
      <w:r>
        <w:rPr>
          <w:b/>
          <w:bCs/>
        </w:rPr>
        <w:t xml:space="preserve">frontera jurídica multifunción</w:t>
      </w:r>
      <w:r>
        <w:t xml:space="preserve">: define elegibilidad en la PAC, condiciona producción/comercialización/importación en la OCM y, de facto, opera como “proxy” de legalidad en múltiples interpretaciones nacionales. Ese diseño genera problemas estructurales que ya están documentados por el debate institucional y por la experiencia de mercado.</w:t>
      </w:r>
    </w:p>
    <w:bookmarkStart w:id="31" w:name="Xa6af71877e57cec2a0e20910cfdd2ad0e0ce506"/>
    <w:p>
      <w:pPr>
        <w:pStyle w:val="Heading4"/>
      </w:pPr>
      <w:r>
        <w:t xml:space="preserve">4.1 Un solo número, demasiadas funciones (PAC + OCM + controles nacionales)</w:t>
      </w:r>
    </w:p>
    <w:p>
      <w:pPr>
        <w:pStyle w:val="Compact"/>
        <w:numPr>
          <w:ilvl w:val="0"/>
          <w:numId w:val="1042"/>
        </w:numPr>
      </w:pPr>
      <w:r>
        <w:rPr>
          <w:b/>
          <w:bCs/>
        </w:rPr>
        <w:t xml:space="preserve">PAC (COM(2025) 560)</w:t>
      </w:r>
      <w:r>
        <w:t xml:space="preserve">: la producción de variedades de cáñamo con THC &gt;0,3%</w:t>
      </w:r>
      <w:r>
        <w:t xml:space="preserve"> </w:t>
      </w:r>
      <w:r>
        <w:rPr>
          <w:b/>
          <w:bCs/>
        </w:rPr>
        <w:t xml:space="preserve">no puede optar a ayudas</w:t>
      </w:r>
      <w:r>
        <w:t xml:space="preserve"> </w:t>
      </w:r>
      <w:r>
        <w:t xml:space="preserve">(Anexo F).</w:t>
      </w:r>
    </w:p>
    <w:p>
      <w:pPr>
        <w:pStyle w:val="Compact"/>
        <w:numPr>
          <w:ilvl w:val="0"/>
          <w:numId w:val="1042"/>
        </w:numPr>
      </w:pPr>
      <w:r>
        <w:rPr>
          <w:b/>
          <w:bCs/>
        </w:rPr>
        <w:t xml:space="preserve">OCM (COM(2025) 553)</w:t>
      </w:r>
      <w:r>
        <w:t xml:space="preserve">: se ancla el acceso al mercado interior (producción y comercialización) a variedades del Catálogo común con</w:t>
      </w:r>
      <w:r>
        <w:t xml:space="preserve"> </w:t>
      </w:r>
      <w:r>
        <w:rPr>
          <w:b/>
          <w:bCs/>
        </w:rPr>
        <w:t xml:space="preserve">≤0,3% Δ9‑THC</w:t>
      </w:r>
      <w:r>
        <w:t xml:space="preserve">, y se extiende el régimen a “otras partes de la planta” (p. ej., NC 1211 90 86), alineando además las importaciones (Anexo F).</w:t>
      </w:r>
    </w:p>
    <w:p>
      <w:pPr>
        <w:pStyle w:val="Compact"/>
        <w:numPr>
          <w:ilvl w:val="0"/>
          <w:numId w:val="1042"/>
        </w:numPr>
      </w:pPr>
      <w:r>
        <w:rPr>
          <w:b/>
          <w:bCs/>
        </w:rPr>
        <w:t xml:space="preserve">Aplicación nacional</w:t>
      </w:r>
      <w:r>
        <w:t xml:space="preserve">: sobre esta base, los Estados miembros han desarrollado enfoques divergentes para</w:t>
      </w:r>
      <w:r>
        <w:t xml:space="preserve"> </w:t>
      </w:r>
      <w:r>
        <w:rPr>
          <w:b/>
          <w:bCs/>
        </w:rPr>
        <w:t xml:space="preserve">sumidades floridas / biomasa / extractos</w:t>
      </w:r>
      <w:r>
        <w:t xml:space="preserve">, creando un mosaico de interpretaciones y umbrales operativos (Anexo D).</w:t>
      </w:r>
    </w:p>
    <w:p>
      <w:pPr>
        <w:pStyle w:val="FirstParagraph"/>
      </w:pPr>
      <w:r>
        <w:rPr>
          <w:b/>
          <w:bCs/>
        </w:rPr>
        <w:t xml:space="preserve">Efecto</w:t>
      </w:r>
      <w:r>
        <w:t xml:space="preserve">: la cifra deja de ser un criterio agronómico-administrativo acotado y pasa a actuar como frontera rígida “permitido/prohibido”, con costes y riesgos de cumplimiento desproporcionados.</w:t>
      </w:r>
    </w:p>
    <w:bookmarkEnd w:id="31"/>
    <w:bookmarkStart w:id="32" w:name="X07d07e333e4d02bf05c9c1861b2a8858329a3f8"/>
    <w:p>
      <w:pPr>
        <w:pStyle w:val="Heading4"/>
      </w:pPr>
      <w:r>
        <w:t xml:space="preserve">4.2 Fragmentación e inseguridad jurídica en el mercado interior</w:t>
      </w:r>
    </w:p>
    <w:p>
      <w:pPr>
        <w:pStyle w:val="Compact"/>
        <w:numPr>
          <w:ilvl w:val="0"/>
          <w:numId w:val="1043"/>
        </w:numPr>
      </w:pPr>
      <w:r>
        <w:rPr>
          <w:b/>
          <w:bCs/>
        </w:rPr>
        <w:t xml:space="preserve">Reglas divergentes y aplicación desigual</w:t>
      </w:r>
      <w:r>
        <w:t xml:space="preserve">: agricultores, transformadores y autoridades operan con incertidumbre sobre qué puede producirse y circular entre Estados miembros, especialmente en lo relativo a</w:t>
      </w:r>
      <w:r>
        <w:t xml:space="preserve"> </w:t>
      </w:r>
      <w:r>
        <w:rPr>
          <w:b/>
          <w:bCs/>
        </w:rPr>
        <w:t xml:space="preserve">sumidades floridas</w:t>
      </w:r>
      <w:r>
        <w:t xml:space="preserve"> </w:t>
      </w:r>
      <w:r>
        <w:t xml:space="preserve">(Anexo D).</w:t>
      </w:r>
    </w:p>
    <w:p>
      <w:pPr>
        <w:pStyle w:val="Compact"/>
        <w:numPr>
          <w:ilvl w:val="0"/>
          <w:numId w:val="1043"/>
        </w:numPr>
      </w:pPr>
      <w:r>
        <w:rPr>
          <w:b/>
          <w:bCs/>
        </w:rPr>
        <w:t xml:space="preserve">Reconocimiento explícito del problema</w:t>
      </w:r>
      <w:r>
        <w:t xml:space="preserve">: la propia propuesta COM(2025) 553 reconoce que las incoherencias entre normativas nacionales</w:t>
      </w:r>
      <w:r>
        <w:t xml:space="preserve"> </w:t>
      </w:r>
      <w:r>
        <w:rPr>
          <w:b/>
          <w:bCs/>
        </w:rPr>
        <w:t xml:space="preserve">limitan el potencial económico</w:t>
      </w:r>
      <w:r>
        <w:t xml:space="preserve"> </w:t>
      </w:r>
      <w:r>
        <w:t xml:space="preserve">y pueden impedir el acceso a ayudas PAC o la comercialización en todos los Estados miembros (Anexo F).</w:t>
      </w:r>
    </w:p>
    <w:bookmarkEnd w:id="32"/>
    <w:bookmarkStart w:id="33" w:name="X57f8bf63523cb95be6af8206ce6ac1b31affab1"/>
    <w:p>
      <w:pPr>
        <w:pStyle w:val="Heading4"/>
      </w:pPr>
      <w:r>
        <w:t xml:space="preserve">4.3 Agronomía/clima (“hot crops”): variación real y penalización sin mala fe</w:t>
      </w:r>
    </w:p>
    <w:p>
      <w:pPr>
        <w:pStyle w:val="Compact"/>
        <w:numPr>
          <w:ilvl w:val="0"/>
          <w:numId w:val="1044"/>
        </w:numPr>
      </w:pPr>
      <w:r>
        <w:rPr>
          <w:b/>
          <w:bCs/>
        </w:rPr>
        <w:t xml:space="preserve">THC es sensible al entorno</w:t>
      </w:r>
      <w:r>
        <w:t xml:space="preserve"> </w:t>
      </w:r>
      <w:r>
        <w:t xml:space="preserve">(temperatura, insolación, suelo, estrés hídrico, prácticas agronómicas y momento de muestreo): variedades registradas pueden</w:t>
      </w:r>
      <w:r>
        <w:t xml:space="preserve"> </w:t>
      </w:r>
      <w:r>
        <w:rPr>
          <w:b/>
          <w:bCs/>
        </w:rPr>
        <w:t xml:space="preserve">sobrepasar marginalmente</w:t>
      </w:r>
      <w:r>
        <w:t xml:space="preserve"> </w:t>
      </w:r>
      <w:r>
        <w:t xml:space="preserve">el 0,3% sin intención ilícita, con pérdida de cosecha y/o exclusión de ayudas (Anexo D).</w:t>
      </w:r>
    </w:p>
    <w:p>
      <w:pPr>
        <w:pStyle w:val="Compact"/>
        <w:numPr>
          <w:ilvl w:val="0"/>
          <w:numId w:val="1044"/>
        </w:numPr>
      </w:pPr>
      <w:r>
        <w:rPr>
          <w:b/>
          <w:bCs/>
        </w:rPr>
        <w:t xml:space="preserve">Cambio climático</w:t>
      </w:r>
      <w:r>
        <w:t xml:space="preserve">: aumenta la probabilidad de desviaciones y reduce la estabilidad del cumplimiento “en campo”, elevando el riesgo sistémico para agricultores y programas de mejora varietal (Anexo D).</w:t>
      </w:r>
    </w:p>
    <w:bookmarkEnd w:id="33"/>
    <w:bookmarkStart w:id="34" w:name="Xaab1048778f5452d53f0fdab64fa44946bd6de4"/>
    <w:p>
      <w:pPr>
        <w:pStyle w:val="Heading4"/>
      </w:pPr>
      <w:r>
        <w:t xml:space="preserve">4.4 Desalineación entre umbral y operativa de control (muestreo, tolerancias y carga administrativa)</w:t>
      </w:r>
    </w:p>
    <w:p>
      <w:pPr>
        <w:pStyle w:val="Compact"/>
        <w:numPr>
          <w:ilvl w:val="0"/>
          <w:numId w:val="1045"/>
        </w:numPr>
      </w:pPr>
      <w:r>
        <w:rPr>
          <w:b/>
          <w:bCs/>
        </w:rPr>
        <w:t xml:space="preserve">Método UE vigente</w:t>
      </w:r>
      <w:r>
        <w:t xml:space="preserve">: el control oficial se apoya en un método armonizado con ventanas de muestreo y procedimientos escalonados (A/B), además de una tolerancia analítica definida (Reglamento Delegado (UE) 2017/1155, Anexo III) (Anexo G).</w:t>
      </w:r>
    </w:p>
    <w:p>
      <w:pPr>
        <w:pStyle w:val="Compact"/>
        <w:numPr>
          <w:ilvl w:val="0"/>
          <w:numId w:val="1045"/>
        </w:numPr>
      </w:pPr>
      <w:r>
        <w:rPr>
          <w:b/>
          <w:bCs/>
        </w:rPr>
        <w:t xml:space="preserve">Problema de frontera</w:t>
      </w:r>
      <w:r>
        <w:t xml:space="preserve">: con un umbral tan bajo, pequeñas variaciones agronómicas + incertidumbre analítica crean un “borde” regulatorio frágil: se dispara la carga administrativa (re‑muestreos, procedimiento B, seguimiento de variedades) y se traslada el riesgo al productor aunque el objetivo (evitar cultivo ilícito) no se vea materialmente afectado (Anexo G + Anexo D).</w:t>
      </w:r>
    </w:p>
    <w:bookmarkEnd w:id="34"/>
    <w:bookmarkStart w:id="35" w:name="Xfc496ee63dce82fd6e4bd469fa636d43298b6b2"/>
    <w:p>
      <w:pPr>
        <w:pStyle w:val="Heading4"/>
      </w:pPr>
      <w:r>
        <w:t xml:space="preserve">4.5 Coste de oportunidad: genética, I+D y competitividad (incluidas importaciones)</w:t>
      </w:r>
    </w:p>
    <w:p>
      <w:pPr>
        <w:pStyle w:val="Compact"/>
        <w:numPr>
          <w:ilvl w:val="0"/>
          <w:numId w:val="1046"/>
        </w:numPr>
      </w:pPr>
      <w:r>
        <w:rPr>
          <w:b/>
          <w:bCs/>
        </w:rPr>
        <w:t xml:space="preserve">Cuello de botella genético</w:t>
      </w:r>
      <w:r>
        <w:t xml:space="preserve">: el 0,3% estrecha el pool de mejora y desincentiva inversión en variedades más resilientes y multipropósito (Anexo D).</w:t>
      </w:r>
    </w:p>
    <w:p>
      <w:pPr>
        <w:pStyle w:val="Compact"/>
        <w:numPr>
          <w:ilvl w:val="0"/>
          <w:numId w:val="1046"/>
        </w:numPr>
      </w:pPr>
      <w:r>
        <w:rPr>
          <w:b/>
          <w:bCs/>
        </w:rPr>
        <w:t xml:space="preserve">Asimetría internacional</w:t>
      </w:r>
      <w:r>
        <w:t xml:space="preserve">: un número creciente de jurisdicciones operan con umbrales ≥0,5% y un bloque amplio en</w:t>
      </w:r>
      <w:r>
        <w:t xml:space="preserve"> </w:t>
      </w:r>
      <w:r>
        <w:rPr>
          <w:b/>
          <w:bCs/>
        </w:rPr>
        <w:t xml:space="preserve">1%</w:t>
      </w:r>
      <w:r>
        <w:t xml:space="preserve">, lo que tensiona la competitividad y la coherencia en cadenas globales (Anexo E).</w:t>
      </w:r>
    </w:p>
    <w:bookmarkEnd w:id="35"/>
    <w:bookmarkStart w:id="36" w:name="conclusión-operativa-del-problema"/>
    <w:p>
      <w:pPr>
        <w:pStyle w:val="Heading4"/>
      </w:pPr>
      <w:r>
        <w:t xml:space="preserve">4.6 Conclusión operativa del “problema”</w:t>
      </w:r>
    </w:p>
    <w:p>
      <w:pPr>
        <w:pStyle w:val="FirstParagraph"/>
      </w:pPr>
      <w:r>
        <w:t xml:space="preserve">El marco actual</w:t>
      </w:r>
      <w:r>
        <w:t xml:space="preserve"> </w:t>
      </w:r>
      <w:r>
        <w:rPr>
          <w:b/>
          <w:bCs/>
        </w:rPr>
        <w:t xml:space="preserve">fragmenta el mercado interior</w:t>
      </w:r>
      <w:r>
        <w:t xml:space="preserve"> </w:t>
      </w:r>
      <w:r>
        <w:t xml:space="preserve">y</w:t>
      </w:r>
      <w:r>
        <w:t xml:space="preserve"> </w:t>
      </w:r>
      <w:r>
        <w:rPr>
          <w:b/>
          <w:bCs/>
        </w:rPr>
        <w:t xml:space="preserve">castiga la buena fe</w:t>
      </w:r>
      <w:r>
        <w:t xml:space="preserve"> </w:t>
      </w:r>
      <w:r>
        <w:t xml:space="preserve">(por variación agronómica y borde analítico), sin que el salto de protección real frente a abuso/intoxicación sea proporcional. Por eso este paper propone mover la discusión desde “un número heredado” hacia un criterio</w:t>
      </w:r>
      <w:r>
        <w:t xml:space="preserve"> </w:t>
      </w:r>
      <w:r>
        <w:rPr>
          <w:b/>
          <w:bCs/>
        </w:rPr>
        <w:t xml:space="preserve">armonizado, operable y proporcional</w:t>
      </w:r>
      <w:r>
        <w:t xml:space="preserve"> </w:t>
      </w:r>
      <w:r>
        <w:t xml:space="preserve">(Sección 9), separando con claridad</w:t>
      </w:r>
      <w:r>
        <w:t xml:space="preserve"> </w:t>
      </w:r>
      <w:r>
        <w:rPr>
          <w:b/>
          <w:bCs/>
        </w:rPr>
        <w:t xml:space="preserve">% en planta</w:t>
      </w:r>
      <w:r>
        <w:t xml:space="preserve"> </w:t>
      </w:r>
      <w:r>
        <w:t xml:space="preserve">de</w:t>
      </w:r>
      <w:r>
        <w:t xml:space="preserve"> </w:t>
      </w:r>
      <w:r>
        <w:rPr>
          <w:b/>
          <w:bCs/>
        </w:rPr>
        <w:t xml:space="preserve">dosis/impairment</w:t>
      </w:r>
      <w:r>
        <w:t xml:space="preserve"> </w:t>
      </w:r>
      <w:r>
        <w:t xml:space="preserve">(Anexo B + Anexo C).</w:t>
      </w:r>
    </w:p>
    <w:p>
      <w:r>
        <w:pict>
          <v:rect style="width:0;height:1.5pt" o:hralign="center" o:hrstd="t" o:hr="t"/>
        </w:pict>
      </w:r>
    </w:p>
    <w:bookmarkEnd w:id="36"/>
    <w:bookmarkEnd w:id="37"/>
    <w:bookmarkStart w:id="47" w:name="X2f623255be3dbbe139b4651d780d52ad17e8f8f"/>
    <w:p>
      <w:pPr>
        <w:pStyle w:val="Heading3"/>
      </w:pPr>
      <w:r>
        <w:t xml:space="preserve">5) Bloque histórico-documental: origen real de 0,3% y 0,5% (por qué no cierran el debate hoy)</w:t>
      </w:r>
    </w:p>
    <w:bookmarkStart w:id="41" w:name="origen-del-03"/>
    <w:p>
      <w:pPr>
        <w:pStyle w:val="Heading4"/>
      </w:pPr>
      <w:r>
        <w:t xml:space="preserve">5.1 Origen del 0,3%</w:t>
      </w:r>
    </w:p>
    <w:p>
      <w:pPr>
        <w:pStyle w:val="FirstParagraph"/>
      </w:pPr>
      <w:r>
        <w:t xml:space="preserve">Este bloque no pretende “ganar” el debate por vía toxicológica; pretende cerrar un malentendido de base: los números</w:t>
      </w:r>
      <w:r>
        <w:t xml:space="preserve"> </w:t>
      </w:r>
      <w:r>
        <w:rPr>
          <w:b/>
          <w:bCs/>
        </w:rPr>
        <w:t xml:space="preserve">0,3%</w:t>
      </w:r>
      <w:r>
        <w:t xml:space="preserve"> </w:t>
      </w:r>
      <w:r>
        <w:t xml:space="preserve">y</w:t>
      </w:r>
      <w:r>
        <w:t xml:space="preserve"> </w:t>
      </w:r>
      <w:r>
        <w:rPr>
          <w:b/>
          <w:bCs/>
        </w:rPr>
        <w:t xml:space="preserve">0,5%</w:t>
      </w:r>
      <w:r>
        <w:t xml:space="preserve"> </w:t>
      </w:r>
      <w:r>
        <w:t xml:space="preserve">entran en el sistema por razones</w:t>
      </w:r>
      <w:r>
        <w:t xml:space="preserve"> </w:t>
      </w:r>
      <w:r>
        <w:rPr>
          <w:b/>
          <w:bCs/>
        </w:rPr>
        <w:t xml:space="preserve">históricas</w:t>
      </w:r>
      <w:r>
        <w:t xml:space="preserve"> </w:t>
      </w:r>
      <w:r>
        <w:t xml:space="preserve">(taxonomía y administración agraria), no como umbrales modernos de “riesgo” o “intoxicación”. La trazabilidad documental completa y citas literales están en</w:t>
      </w:r>
      <w:r>
        <w:t xml:space="preserve"> </w:t>
      </w:r>
      <w:r>
        <w:rPr>
          <w:b/>
          <w:bCs/>
        </w:rPr>
        <w:t xml:space="preserve">Anexo A</w:t>
      </w:r>
      <w:r>
        <w:t xml:space="preserve">.</w:t>
      </w:r>
    </w:p>
    <w:bookmarkStart w:id="38" w:name="fuente-y-finalidad-original-1976"/>
    <w:p>
      <w:pPr>
        <w:pStyle w:val="Heading5"/>
      </w:pPr>
      <w:r>
        <w:t xml:space="preserve">5.1.1 Fuente y finalidad original (1976)</w:t>
      </w:r>
    </w:p>
    <w:p>
      <w:pPr>
        <w:pStyle w:val="Compact"/>
        <w:numPr>
          <w:ilvl w:val="0"/>
          <w:numId w:val="1047"/>
        </w:numPr>
      </w:pPr>
      <w:r>
        <w:rPr>
          <w:b/>
          <w:bCs/>
        </w:rPr>
        <w:t xml:space="preserve">Fuente primaria</w:t>
      </w:r>
      <w:r>
        <w:t xml:space="preserve">: Small &amp; Cronquist,</w:t>
      </w:r>
      <w:r>
        <w:t xml:space="preserve"> </w:t>
      </w:r>
      <w:r>
        <w:rPr>
          <w:i/>
          <w:iCs/>
        </w:rPr>
        <w:t xml:space="preserve">Taxon</w:t>
      </w:r>
      <w:r>
        <w:t xml:space="preserve"> </w:t>
      </w:r>
      <w:r>
        <w:t xml:space="preserve">(1976) (ver Anexo A).</w:t>
      </w:r>
    </w:p>
    <w:p>
      <w:pPr>
        <w:pStyle w:val="Compact"/>
        <w:numPr>
          <w:ilvl w:val="0"/>
          <w:numId w:val="1047"/>
        </w:numPr>
      </w:pPr>
      <w:r>
        <w:rPr>
          <w:b/>
          <w:bCs/>
        </w:rPr>
        <w:t xml:space="preserve">Finalidad declarada</w:t>
      </w:r>
      <w:r>
        <w:t xml:space="preserve">: una</w:t>
      </w:r>
      <w:r>
        <w:t xml:space="preserve"> </w:t>
      </w:r>
      <w:r>
        <w:rPr>
          <w:b/>
          <w:bCs/>
        </w:rPr>
        <w:t xml:space="preserve">guía taxonómica</w:t>
      </w:r>
      <w:r>
        <w:t xml:space="preserve"> </w:t>
      </w:r>
      <w:r>
        <w:t xml:space="preserve">para discriminar clases (“guide to discriminating”), no un estándar sanitario ni un “límite seguro” para consumo o comercio.</w:t>
      </w:r>
    </w:p>
    <w:bookmarkEnd w:id="38"/>
    <w:bookmarkStart w:id="39" w:name="Xb02cd364d9439415be870f910be69dbb4eb9f78"/>
    <w:p>
      <w:pPr>
        <w:pStyle w:val="Heading5"/>
      </w:pPr>
      <w:r>
        <w:t xml:space="preserve">5.1.2 Dos hechos críticos que se pierden al trasladarlo a regulación</w:t>
      </w:r>
    </w:p>
    <w:p>
      <w:pPr>
        <w:pStyle w:val="Compact"/>
        <w:numPr>
          <w:ilvl w:val="0"/>
          <w:numId w:val="1048"/>
        </w:numPr>
      </w:pPr>
      <w:r>
        <w:rPr>
          <w:b/>
          <w:bCs/>
        </w:rPr>
        <w:t xml:space="preserve">Arbitrariedad explícita</w:t>
      </w:r>
      <w:r>
        <w:t xml:space="preserve">: los autores escriben literalmente que</w:t>
      </w:r>
      <w:r>
        <w:t xml:space="preserve"> </w:t>
      </w:r>
      <w:r>
        <w:rPr>
          <w:b/>
          <w:bCs/>
        </w:rPr>
        <w:t xml:space="preserve">“arbitrarily adopt”</w:t>
      </w:r>
      <w:r>
        <w:t xml:space="preserve"> </w:t>
      </w:r>
      <w:r>
        <w:t xml:space="preserve">el 0,3% (ver Anexo A).</w:t>
      </w:r>
    </w:p>
    <w:p>
      <w:pPr>
        <w:pStyle w:val="Compact"/>
        <w:numPr>
          <w:ilvl w:val="0"/>
          <w:numId w:val="1048"/>
        </w:numPr>
      </w:pPr>
      <w:r>
        <w:rPr>
          <w:b/>
          <w:bCs/>
        </w:rPr>
        <w:t xml:space="preserve">Matriz</w:t>
      </w:r>
      <w:r>
        <w:t xml:space="preserve">: el umbral se formula sobre</w:t>
      </w:r>
      <w:r>
        <w:t xml:space="preserve"> </w:t>
      </w:r>
      <w:r>
        <w:rPr>
          <w:b/>
          <w:bCs/>
        </w:rPr>
        <w:t xml:space="preserve">Δ9‑THC (base seca) en hojas jóvenes</w:t>
      </w:r>
      <w:r>
        <w:t xml:space="preserve">, no sobre “flores/sumidades” como mercancía.</w:t>
      </w:r>
    </w:p>
    <w:bookmarkEnd w:id="39"/>
    <w:bookmarkStart w:id="40" w:name="X3ae4293293fa033fcabfdc9d8a79bd4841e5127"/>
    <w:p>
      <w:pPr>
        <w:pStyle w:val="Heading5"/>
      </w:pPr>
      <w:r>
        <w:t xml:space="preserve">5.1.3 Implicación operativa (por qué el 0,3% no “cierra” el debate actual)</w:t>
      </w:r>
    </w:p>
    <w:p>
      <w:pPr>
        <w:pStyle w:val="Compact"/>
        <w:numPr>
          <w:ilvl w:val="0"/>
          <w:numId w:val="1049"/>
        </w:numPr>
      </w:pPr>
      <w:r>
        <w:t xml:space="preserve">Un criterio diseñado como</w:t>
      </w:r>
      <w:r>
        <w:t xml:space="preserve"> </w:t>
      </w:r>
      <w:r>
        <w:rPr>
          <w:b/>
          <w:bCs/>
        </w:rPr>
        <w:t xml:space="preserve">convención</w:t>
      </w:r>
      <w:r>
        <w:t xml:space="preserve"> </w:t>
      </w:r>
      <w:r>
        <w:t xml:space="preserve">dentro de un</w:t>
      </w:r>
      <w:r>
        <w:t xml:space="preserve"> </w:t>
      </w:r>
      <w:r>
        <w:rPr>
          <w:b/>
          <w:bCs/>
        </w:rPr>
        <w:t xml:space="preserve">continuum</w:t>
      </w:r>
      <w:r>
        <w:t xml:space="preserve"> </w:t>
      </w:r>
      <w:r>
        <w:t xml:space="preserve">(con intermedios frecuentes) no es una base sólida para una</w:t>
      </w:r>
      <w:r>
        <w:t xml:space="preserve"> </w:t>
      </w:r>
      <w:r>
        <w:rPr>
          <w:b/>
          <w:bCs/>
        </w:rPr>
        <w:t xml:space="preserve">frontera jurídica rígida</w:t>
      </w:r>
      <w:r>
        <w:t xml:space="preserve"> </w:t>
      </w:r>
      <w:r>
        <w:t xml:space="preserve">con consecuencias administrativas severas (exclusión de ayudas, destrucción de cosecha, litigios, etc.).</w:t>
      </w:r>
    </w:p>
    <w:p>
      <w:pPr>
        <w:pStyle w:val="Compact"/>
        <w:numPr>
          <w:ilvl w:val="0"/>
          <w:numId w:val="1049"/>
        </w:numPr>
      </w:pPr>
      <w:r>
        <w:t xml:space="preserve">Por tanto, el debate moderno no puede tratar el 0,3% como un “umbral científico de riesgo”: es, ante todo, un</w:t>
      </w:r>
      <w:r>
        <w:t xml:space="preserve"> </w:t>
      </w:r>
      <w:r>
        <w:rPr>
          <w:b/>
          <w:bCs/>
        </w:rPr>
        <w:t xml:space="preserve">artefacto histórico</w:t>
      </w:r>
      <w:r>
        <w:t xml:space="preserve"> </w:t>
      </w:r>
      <w:r>
        <w:t xml:space="preserve">trasladado a un contexto distinto.</w:t>
      </w:r>
    </w:p>
    <w:bookmarkEnd w:id="40"/>
    <w:bookmarkEnd w:id="41"/>
    <w:bookmarkStart w:id="45" w:name="origen-del-05-en-la-ue-19841987"/>
    <w:p>
      <w:pPr>
        <w:pStyle w:val="Heading4"/>
      </w:pPr>
      <w:r>
        <w:t xml:space="preserve">5.2 Origen del 0,5% en la UE (1984–1987)</w:t>
      </w:r>
    </w:p>
    <w:bookmarkStart w:id="42" w:name="qué-es-y-qué-no-es-el-05-en-la-cee"/>
    <w:p>
      <w:pPr>
        <w:pStyle w:val="Heading5"/>
      </w:pPr>
      <w:r>
        <w:t xml:space="preserve">5.2.1 Qué es (y qué no es) el 0,5% en la CEE</w:t>
      </w:r>
    </w:p>
    <w:p>
      <w:pPr>
        <w:pStyle w:val="Compact"/>
        <w:numPr>
          <w:ilvl w:val="0"/>
          <w:numId w:val="1050"/>
        </w:numPr>
      </w:pPr>
      <w:r>
        <w:rPr>
          <w:b/>
          <w:bCs/>
        </w:rPr>
        <w:t xml:space="preserve">Fuente primaria</w:t>
      </w:r>
      <w:r>
        <w:t xml:space="preserve">: Reglamento (CEE) n.º</w:t>
      </w:r>
      <w:r>
        <w:t xml:space="preserve"> </w:t>
      </w:r>
      <w:r>
        <w:rPr>
          <w:b/>
          <w:bCs/>
        </w:rPr>
        <w:t xml:space="preserve">2059/84</w:t>
      </w:r>
      <w:r>
        <w:t xml:space="preserve"> </w:t>
      </w:r>
      <w:r>
        <w:t xml:space="preserve">(ver Anexo A).</w:t>
      </w:r>
    </w:p>
    <w:p>
      <w:pPr>
        <w:pStyle w:val="Compact"/>
        <w:numPr>
          <w:ilvl w:val="0"/>
          <w:numId w:val="1050"/>
        </w:numPr>
      </w:pPr>
      <w:r>
        <w:rPr>
          <w:b/>
          <w:bCs/>
        </w:rPr>
        <w:t xml:space="preserve">Hecho textual clave</w:t>
      </w:r>
      <w:r>
        <w:t xml:space="preserve">: el propio reglamento fija</w:t>
      </w:r>
      <w:r>
        <w:t xml:space="preserve"> </w:t>
      </w:r>
      <w:r>
        <w:rPr>
          <w:b/>
          <w:bCs/>
        </w:rPr>
        <w:t xml:space="preserve">0,5%</w:t>
      </w:r>
      <w:r>
        <w:t xml:space="preserve"> </w:t>
      </w:r>
      <w:r>
        <w:t xml:space="preserve">solo para las campañas</w:t>
      </w:r>
      <w:r>
        <w:t xml:space="preserve"> </w:t>
      </w:r>
      <w:r>
        <w:rPr>
          <w:b/>
          <w:bCs/>
        </w:rPr>
        <w:t xml:space="preserve">1984/85–1986/87</w:t>
      </w:r>
      <w:r>
        <w:t xml:space="preserve"> </w:t>
      </w:r>
      <w:r>
        <w:t xml:space="preserve">y fija</w:t>
      </w:r>
      <w:r>
        <w:t xml:space="preserve"> </w:t>
      </w:r>
      <w:r>
        <w:rPr>
          <w:b/>
          <w:bCs/>
        </w:rPr>
        <w:t xml:space="preserve">0,3%</w:t>
      </w:r>
      <w:r>
        <w:t xml:space="preserve"> </w:t>
      </w:r>
      <w:r>
        <w:t xml:space="preserve">para campañas ulteriores. Es decir, el 0,5% nace como</w:t>
      </w:r>
      <w:r>
        <w:t xml:space="preserve"> </w:t>
      </w:r>
      <w:r>
        <w:rPr>
          <w:b/>
          <w:bCs/>
        </w:rPr>
        <w:t xml:space="preserve">umbral transitorio</w:t>
      </w:r>
      <w:r>
        <w:t xml:space="preserve"> </w:t>
      </w:r>
      <w:r>
        <w:t xml:space="preserve">(una rampa hacia 0,3%), no como “valor final”.</w:t>
      </w:r>
    </w:p>
    <w:bookmarkEnd w:id="42"/>
    <w:bookmarkStart w:id="43" w:name="cómo-se-mide-muestra-base-y-momento"/>
    <w:p>
      <w:pPr>
        <w:pStyle w:val="Heading5"/>
      </w:pPr>
      <w:r>
        <w:t xml:space="preserve">5.2.2 Cómo se mide (muestra, base y momento)</w:t>
      </w:r>
    </w:p>
    <w:p>
      <w:pPr>
        <w:pStyle w:val="Compact"/>
        <w:numPr>
          <w:ilvl w:val="0"/>
          <w:numId w:val="1051"/>
        </w:numPr>
      </w:pPr>
      <w:r>
        <w:t xml:space="preserve">El reglamento vincula el control a una muestra a</w:t>
      </w:r>
      <w:r>
        <w:t xml:space="preserve"> </w:t>
      </w:r>
      <w:r>
        <w:rPr>
          <w:b/>
          <w:bCs/>
        </w:rPr>
        <w:t xml:space="preserve">peso constante</w:t>
      </w:r>
      <w:r>
        <w:t xml:space="preserve"> </w:t>
      </w:r>
      <w:r>
        <w:t xml:space="preserve">y define el muestreo como el</w:t>
      </w:r>
      <w:r>
        <w:t xml:space="preserve"> </w:t>
      </w:r>
      <w:r>
        <w:rPr>
          <w:b/>
          <w:bCs/>
        </w:rPr>
        <w:t xml:space="preserve">tercio superior</w:t>
      </w:r>
      <w:r>
        <w:t xml:space="preserve"> </w:t>
      </w:r>
      <w:r>
        <w:t xml:space="preserve">al final de la floración (con tallos y semillas eliminados) (ver Anexo A).</w:t>
      </w:r>
    </w:p>
    <w:p>
      <w:pPr>
        <w:pStyle w:val="Compact"/>
        <w:numPr>
          <w:ilvl w:val="0"/>
          <w:numId w:val="1051"/>
        </w:numPr>
      </w:pPr>
      <w:r>
        <w:t xml:space="preserve">Implicación: la UE de 1984 no estaba “copiando” sin más el 0,3% de 1976 (hojas jóvenes); estaba configurando un</w:t>
      </w:r>
      <w:r>
        <w:t xml:space="preserve"> </w:t>
      </w:r>
      <w:r>
        <w:rPr>
          <w:b/>
          <w:bCs/>
        </w:rPr>
        <w:t xml:space="preserve">régimen administrativo</w:t>
      </w:r>
      <w:r>
        <w:t xml:space="preserve"> </w:t>
      </w:r>
      <w:r>
        <w:t xml:space="preserve">con un objeto de control distinto (muestra apical/floración) y procedimientos propios.</w:t>
      </w:r>
    </w:p>
    <w:bookmarkEnd w:id="43"/>
    <w:bookmarkStart w:id="44" w:name="Xa7cde39be611c1eac0f6c3a3218d507da3d0a2c"/>
    <w:p>
      <w:pPr>
        <w:pStyle w:val="Heading5"/>
      </w:pPr>
      <w:r>
        <w:t xml:space="preserve">5.2.3 Lo que revela el expediente: despliegue administrativo, no “descubrimiento científico”</w:t>
      </w:r>
    </w:p>
    <w:p>
      <w:pPr>
        <w:pStyle w:val="Compact"/>
        <w:numPr>
          <w:ilvl w:val="0"/>
          <w:numId w:val="1052"/>
        </w:numPr>
      </w:pPr>
      <w:r>
        <w:t xml:space="preserve">El texto publicado invoca “límites aceptables” pero</w:t>
      </w:r>
      <w:r>
        <w:t xml:space="preserve"> </w:t>
      </w:r>
      <w:r>
        <w:rPr>
          <w:b/>
          <w:bCs/>
        </w:rPr>
        <w:t xml:space="preserve">no aporta</w:t>
      </w:r>
      <w:r>
        <w:t xml:space="preserve"> </w:t>
      </w:r>
      <w:r>
        <w:t xml:space="preserve">en sí mismo una justificación científica detallada del valor numérico (ver Anexo A).</w:t>
      </w:r>
    </w:p>
    <w:p>
      <w:pPr>
        <w:pStyle w:val="Compact"/>
        <w:numPr>
          <w:ilvl w:val="0"/>
          <w:numId w:val="1052"/>
        </w:numPr>
      </w:pPr>
      <w:r>
        <w:t xml:space="preserve">El 0,5% es históricamente útil como</w:t>
      </w:r>
      <w:r>
        <w:t xml:space="preserve"> </w:t>
      </w:r>
      <w:r>
        <w:rPr>
          <w:b/>
          <w:bCs/>
        </w:rPr>
        <w:t xml:space="preserve">precedente</w:t>
      </w:r>
      <w:r>
        <w:t xml:space="preserve"> </w:t>
      </w:r>
      <w:r>
        <w:t xml:space="preserve">(prueba de que la UE ya operó por encima de 0,3%), pero no es una prueba de que 0,5% sea “el umbral correcto” hoy.</w:t>
      </w:r>
    </w:p>
    <w:bookmarkEnd w:id="44"/>
    <w:bookmarkEnd w:id="45"/>
    <w:bookmarkStart w:id="46" w:name="conclusión-histórica-operativa"/>
    <w:p>
      <w:pPr>
        <w:pStyle w:val="Heading4"/>
      </w:pPr>
      <w:r>
        <w:t xml:space="preserve">5.3 Conclusión histórica operativa</w:t>
      </w:r>
    </w:p>
    <w:p>
      <w:pPr>
        <w:pStyle w:val="Compact"/>
        <w:numPr>
          <w:ilvl w:val="0"/>
          <w:numId w:val="1053"/>
        </w:numPr>
      </w:pPr>
      <w:r>
        <w:rPr>
          <w:b/>
          <w:bCs/>
        </w:rPr>
        <w:t xml:space="preserve">Diagnóstico</w:t>
      </w:r>
      <w:r>
        <w:t xml:space="preserve">: la discusión “0,3 vs 0,5” es un marco incompleto si se presenta como disputa científica; ambos umbrales tienen origen histórico y finalidades distintas (taxonomía vs ayudas/control).</w:t>
      </w:r>
    </w:p>
    <w:p>
      <w:pPr>
        <w:pStyle w:val="Compact"/>
        <w:numPr>
          <w:ilvl w:val="0"/>
          <w:numId w:val="1053"/>
        </w:numPr>
      </w:pPr>
      <w:r>
        <w:rPr>
          <w:b/>
          <w:bCs/>
        </w:rPr>
        <w:t xml:space="preserve">Qué exige un umbral moderno defendible en PAC/OCM</w:t>
      </w:r>
      <w:r>
        <w:t xml:space="preserve">:</w:t>
      </w:r>
    </w:p>
    <w:p>
      <w:pPr>
        <w:pStyle w:val="Compact"/>
        <w:numPr>
          <w:ilvl w:val="1"/>
          <w:numId w:val="1054"/>
        </w:numPr>
      </w:pPr>
      <w:r>
        <w:rPr>
          <w:b/>
          <w:bCs/>
        </w:rPr>
        <w:t xml:space="preserve">Finalidad</w:t>
      </w:r>
      <w:r>
        <w:t xml:space="preserve">: mercado interior + proporcionalidad (y separación explícita de objetivos penales/sanitarios).</w:t>
      </w:r>
    </w:p>
    <w:p>
      <w:pPr>
        <w:pStyle w:val="Compact"/>
        <w:numPr>
          <w:ilvl w:val="1"/>
          <w:numId w:val="1054"/>
        </w:numPr>
      </w:pPr>
      <w:r>
        <w:rPr>
          <w:b/>
          <w:bCs/>
        </w:rPr>
        <w:t xml:space="preserve">Definición técnica mínima</w:t>
      </w:r>
      <w:r>
        <w:t xml:space="preserve">: qué THC (Δ9 vs total), base seca/peso constante y remisión a método/muestreo oficial (Sección 3 + Anexo G).</w:t>
      </w:r>
    </w:p>
    <w:p>
      <w:pPr>
        <w:pStyle w:val="Compact"/>
        <w:numPr>
          <w:ilvl w:val="1"/>
          <w:numId w:val="1054"/>
        </w:numPr>
      </w:pPr>
      <w:r>
        <w:rPr>
          <w:b/>
          <w:bCs/>
        </w:rPr>
        <w:t xml:space="preserve">Coherencia con evidencia empírica</w:t>
      </w:r>
      <w:r>
        <w:t xml:space="preserve"> </w:t>
      </w:r>
      <w:r>
        <w:t xml:space="preserve">sobre dosis/impairment bajo uso razonablemente esperado (Sección 6; Anexos B–C).</w:t>
      </w:r>
    </w:p>
    <w:p>
      <w:pPr>
        <w:pStyle w:val="Compact"/>
        <w:numPr>
          <w:ilvl w:val="0"/>
          <w:numId w:val="1053"/>
        </w:numPr>
      </w:pPr>
      <w:r>
        <w:rPr>
          <w:b/>
          <w:bCs/>
        </w:rPr>
        <w:t xml:space="preserve">Puente al siguiente bloque</w:t>
      </w:r>
      <w:r>
        <w:t xml:space="preserve">: aclarado el origen real de los números, la pregunta correcta pasa a ser: “¿qué umbral es coherente con abuso/impairment realista y con un control oficial operable?” (Sección 6).</w:t>
      </w:r>
    </w:p>
    <w:p>
      <w:r>
        <w:pict>
          <v:rect style="width:0;height:1.5pt" o:hralign="center" o:hrstd="t" o:hr="t"/>
        </w:pict>
      </w:r>
    </w:p>
    <w:bookmarkEnd w:id="46"/>
    <w:bookmarkEnd w:id="47"/>
    <w:bookmarkStart w:id="53" w:name="Xb95f229d0ba393399d419171c377dec1aee9219"/>
    <w:p>
      <w:pPr>
        <w:pStyle w:val="Heading3"/>
      </w:pPr>
      <w:r>
        <w:t xml:space="preserve">6) Bloque científico: por qué “% en planta” no equivale a intoxicación (abuse liability realista)</w:t>
      </w:r>
    </w:p>
    <w:p>
      <w:pPr>
        <w:pStyle w:val="FirstParagraph"/>
      </w:pPr>
      <w:r>
        <w:t xml:space="preserve">Este bloque cierra el malentendido regulatorio central: el</w:t>
      </w:r>
      <w:r>
        <w:t xml:space="preserve"> </w:t>
      </w:r>
      <w:r>
        <w:rPr>
          <w:b/>
          <w:bCs/>
        </w:rPr>
        <w:t xml:space="preserve">% de THC en la planta</w:t>
      </w:r>
      <w:r>
        <w:t xml:space="preserve"> </w:t>
      </w:r>
      <w:r>
        <w:t xml:space="preserve">describe un</w:t>
      </w:r>
      <w:r>
        <w:t xml:space="preserve"> </w:t>
      </w:r>
      <w:r>
        <w:rPr>
          <w:b/>
          <w:bCs/>
        </w:rPr>
        <w:t xml:space="preserve">contenido nominal</w:t>
      </w:r>
      <w:r>
        <w:t xml:space="preserve">, pero la “psicoactividad” relevante para política pública depende de</w:t>
      </w:r>
      <w:r>
        <w:t xml:space="preserve"> </w:t>
      </w:r>
      <w:r>
        <w:rPr>
          <w:b/>
          <w:bCs/>
        </w:rPr>
        <w:t xml:space="preserve">dosis interna</w:t>
      </w:r>
      <w:r>
        <w:t xml:space="preserve"> </w:t>
      </w:r>
      <w:r>
        <w:t xml:space="preserve">y de si existe</w:t>
      </w:r>
      <w:r>
        <w:t xml:space="preserve"> </w:t>
      </w:r>
      <w:r>
        <w:rPr>
          <w:b/>
          <w:bCs/>
        </w:rPr>
        <w:t xml:space="preserve">deterioro funcional</w:t>
      </w:r>
      <w:r>
        <w:t xml:space="preserve"> </w:t>
      </w:r>
      <w:r>
        <w:t xml:space="preserve">bajo uso razonablemente esperado.</w:t>
      </w:r>
    </w:p>
    <w:bookmarkStart w:id="48" w:name="X6ab6b9255c8aa9aaba045e7c1bf4cf5666fbe32"/>
    <w:p>
      <w:pPr>
        <w:pStyle w:val="Heading4"/>
      </w:pPr>
      <w:r>
        <w:t xml:space="preserve">6.1 Definiciones operativas (para evitar discusiones semánticas)</w:t>
      </w:r>
    </w:p>
    <w:p>
      <w:pPr>
        <w:pStyle w:val="Compact"/>
        <w:numPr>
          <w:ilvl w:val="0"/>
          <w:numId w:val="1055"/>
        </w:numPr>
      </w:pPr>
      <w:r>
        <w:rPr>
          <w:b/>
          <w:bCs/>
        </w:rPr>
        <w:t xml:space="preserve">“Psicoactivo” (operativo)</w:t>
      </w:r>
      <w:r>
        <w:t xml:space="preserve">: capaz de producir</w:t>
      </w:r>
      <w:r>
        <w:t xml:space="preserve"> </w:t>
      </w:r>
      <w:r>
        <w:rPr>
          <w:b/>
          <w:bCs/>
        </w:rPr>
        <w:t xml:space="preserve">intoxicación/impairment clínicamente relevante</w:t>
      </w:r>
      <w:r>
        <w:t xml:space="preserve"> </w:t>
      </w:r>
      <w:r>
        <w:t xml:space="preserve">(p. ej., deterioro psicomotor significativo en tareas validadas como conducción), no la mera presencia analítica de THC ni cambios subjetivos leves. (Anexo B)</w:t>
      </w:r>
    </w:p>
    <w:p>
      <w:pPr>
        <w:pStyle w:val="Compact"/>
        <w:numPr>
          <w:ilvl w:val="0"/>
          <w:numId w:val="1055"/>
        </w:numPr>
      </w:pPr>
      <w:r>
        <w:rPr>
          <w:b/>
          <w:bCs/>
        </w:rPr>
        <w:t xml:space="preserve">“Detectable ≠ impairment”</w:t>
      </w:r>
      <w:r>
        <w:t xml:space="preserve">: que el THC sea medible en sangre/orina no implica, por sí solo, deterioro funcional en ese momento; la relación depende de tarea, tiempo, tolerancia, matriz, etc. (Anexo B)</w:t>
      </w:r>
    </w:p>
    <w:p>
      <w:pPr>
        <w:pStyle w:val="Compact"/>
        <w:numPr>
          <w:ilvl w:val="0"/>
          <w:numId w:val="1055"/>
        </w:numPr>
      </w:pPr>
      <w:r>
        <w:rPr>
          <w:b/>
          <w:bCs/>
        </w:rPr>
        <w:t xml:space="preserve">Alcance</w:t>
      </w:r>
      <w:r>
        <w:t xml:space="preserve">: esta sección no pretende fijar umbrales forenses (p. ej., “per se” en conducción). Se limita a justificar por qué un</w:t>
      </w:r>
      <w:r>
        <w:t xml:space="preserve"> </w:t>
      </w:r>
      <w:r>
        <w:rPr>
          <w:b/>
          <w:bCs/>
        </w:rPr>
        <w:t xml:space="preserve">criterio PAC/OCM</w:t>
      </w:r>
      <w:r>
        <w:t xml:space="preserve"> </w:t>
      </w:r>
      <w:r>
        <w:t xml:space="preserve">basado en % debe evaluarse por</w:t>
      </w:r>
      <w:r>
        <w:t xml:space="preserve"> </w:t>
      </w:r>
      <w:r>
        <w:rPr>
          <w:b/>
          <w:bCs/>
        </w:rPr>
        <w:t xml:space="preserve">factibilidad práctica + PK/PD</w:t>
      </w:r>
      <w:r>
        <w:t xml:space="preserve">, no por el número aislado. (Anexo B)</w:t>
      </w:r>
    </w:p>
    <w:bookmarkEnd w:id="48"/>
    <w:bookmarkStart w:id="49" w:name="Xba18870c31cd238d0654c19315797710aba4b1d"/>
    <w:p>
      <w:pPr>
        <w:pStyle w:val="Heading4"/>
      </w:pPr>
      <w:r>
        <w:t xml:space="preserve">6.2 Cadena causal correcta (lo que siempre debe separarse)</w:t>
      </w:r>
    </w:p>
    <w:p>
      <w:pPr>
        <w:pStyle w:val="FirstParagraph"/>
      </w:pPr>
      <w:r>
        <w:t xml:space="preserve">Una política basada en % debe reconocer la cadena completa:</w:t>
      </w:r>
    </w:p>
    <w:p>
      <w:pPr>
        <w:pStyle w:val="Compact"/>
        <w:numPr>
          <w:ilvl w:val="0"/>
          <w:numId w:val="1056"/>
        </w:numPr>
      </w:pPr>
      <w:r>
        <w:rPr>
          <w:b/>
          <w:bCs/>
        </w:rPr>
        <w:t xml:space="preserve">% THC (nominal)</w:t>
      </w:r>
      <w:r>
        <w:t xml:space="preserve"> </w:t>
      </w:r>
      <w:r>
        <w:t xml:space="preserve">+</w:t>
      </w:r>
      <w:r>
        <w:t xml:space="preserve"> </w:t>
      </w:r>
      <w:r>
        <w:rPr>
          <w:b/>
          <w:bCs/>
        </w:rPr>
        <w:t xml:space="preserve">masa consumida</w:t>
      </w:r>
      <w:r>
        <w:t xml:space="preserve"> </w:t>
      </w:r>
      <w:r>
        <w:t xml:space="preserve">→</w:t>
      </w:r>
      <w:r>
        <w:t xml:space="preserve"> </w:t>
      </w:r>
      <w:r>
        <w:rPr>
          <w:b/>
          <w:bCs/>
        </w:rPr>
        <w:t xml:space="preserve">mg nominales</w:t>
      </w:r>
    </w:p>
    <w:p>
      <w:pPr>
        <w:pStyle w:val="Compact"/>
        <w:numPr>
          <w:ilvl w:val="0"/>
          <w:numId w:val="1056"/>
        </w:numPr>
      </w:pPr>
      <w:r>
        <w:rPr>
          <w:b/>
          <w:bCs/>
        </w:rPr>
        <w:t xml:space="preserve">Entrega</w:t>
      </w:r>
      <w:r>
        <w:t xml:space="preserve"> </w:t>
      </w:r>
      <w:r>
        <w:t xml:space="preserve">(pérdidas por combustión / sidestream / colilla o, en vaporización, eficiencia del dispositivo) →</w:t>
      </w:r>
      <w:r>
        <w:t xml:space="preserve"> </w:t>
      </w:r>
      <w:r>
        <w:rPr>
          <w:b/>
          <w:bCs/>
        </w:rPr>
        <w:t xml:space="preserve">mg potencialmente inhalables</w:t>
      </w:r>
    </w:p>
    <w:p>
      <w:pPr>
        <w:pStyle w:val="Compact"/>
        <w:numPr>
          <w:ilvl w:val="0"/>
          <w:numId w:val="1056"/>
        </w:numPr>
      </w:pPr>
      <w:r>
        <w:rPr>
          <w:b/>
          <w:bCs/>
        </w:rPr>
        <w:t xml:space="preserve">Absorción sistémica</w:t>
      </w:r>
      <w:r>
        <w:t xml:space="preserve"> </w:t>
      </w:r>
      <w:r>
        <w:t xml:space="preserve">(variabilidad interindividual y de topografía) →</w:t>
      </w:r>
      <w:r>
        <w:t xml:space="preserve"> </w:t>
      </w:r>
      <w:r>
        <w:rPr>
          <w:b/>
          <w:bCs/>
        </w:rPr>
        <w:t xml:space="preserve">dosis interna</w:t>
      </w:r>
    </w:p>
    <w:p>
      <w:pPr>
        <w:pStyle w:val="Compact"/>
        <w:numPr>
          <w:ilvl w:val="0"/>
          <w:numId w:val="1056"/>
        </w:numPr>
      </w:pPr>
      <w:r>
        <w:rPr>
          <w:b/>
          <w:bCs/>
        </w:rPr>
        <w:t xml:space="preserve">Biomarcadores</w:t>
      </w:r>
      <w:r>
        <w:t xml:space="preserve"> </w:t>
      </w:r>
      <w:r>
        <w:t xml:space="preserve">(THC en sangre/plasma; metabolitos) →</w:t>
      </w:r>
      <w:r>
        <w:t xml:space="preserve"> </w:t>
      </w:r>
      <w:r>
        <w:rPr>
          <w:b/>
          <w:bCs/>
        </w:rPr>
        <w:t xml:space="preserve">plausibilidad</w:t>
      </w:r>
    </w:p>
    <w:p>
      <w:pPr>
        <w:pStyle w:val="Compact"/>
        <w:numPr>
          <w:ilvl w:val="0"/>
          <w:numId w:val="1056"/>
        </w:numPr>
      </w:pPr>
      <w:r>
        <w:rPr>
          <w:b/>
          <w:bCs/>
        </w:rPr>
        <w:t xml:space="preserve">Efecto/impairment</w:t>
      </w:r>
      <w:r>
        <w:t xml:space="preserve"> </w:t>
      </w:r>
      <w:r>
        <w:t xml:space="preserve">(outcome relevante) →</w:t>
      </w:r>
      <w:r>
        <w:t xml:space="preserve"> </w:t>
      </w:r>
      <w:r>
        <w:rPr>
          <w:b/>
          <w:bCs/>
        </w:rPr>
        <w:t xml:space="preserve">riesgo regulatorio real</w:t>
      </w:r>
    </w:p>
    <w:p>
      <w:pPr>
        <w:pStyle w:val="FirstParagraph"/>
      </w:pPr>
      <w:r>
        <w:t xml:space="preserve">Conclusión operativa: el</w:t>
      </w:r>
      <w:r>
        <w:t xml:space="preserve"> </w:t>
      </w:r>
      <w:r>
        <w:rPr>
          <w:b/>
          <w:bCs/>
        </w:rPr>
        <w:t xml:space="preserve">% en planta</w:t>
      </w:r>
      <w:r>
        <w:t xml:space="preserve"> </w:t>
      </w:r>
      <w:r>
        <w:t xml:space="preserve">no es un “proxy” fiable de impairment sin incorporar</w:t>
      </w:r>
      <w:r>
        <w:t xml:space="preserve"> </w:t>
      </w:r>
      <w:r>
        <w:rPr>
          <w:b/>
          <w:bCs/>
        </w:rPr>
        <w:t xml:space="preserve">factibilidad</w:t>
      </w:r>
      <w:r>
        <w:t xml:space="preserve"> </w:t>
      </w:r>
      <w:r>
        <w:t xml:space="preserve">(cuánto habría que consumir) y</w:t>
      </w:r>
      <w:r>
        <w:t xml:space="preserve"> </w:t>
      </w:r>
      <w:r>
        <w:rPr>
          <w:b/>
          <w:bCs/>
        </w:rPr>
        <w:t xml:space="preserve">PK/PD</w:t>
      </w:r>
      <w:r>
        <w:t xml:space="preserve"> </w:t>
      </w:r>
      <w:r>
        <w:t xml:space="preserve">(qué dosis interna produce efectos funcionales en población general). (Anexo B + Anexo C)</w:t>
      </w:r>
    </w:p>
    <w:bookmarkEnd w:id="49"/>
    <w:bookmarkStart w:id="50" w:name="X2dd4ec17b8d06139eb2f2119e5109f50aab9b08"/>
    <w:p>
      <w:pPr>
        <w:pStyle w:val="Heading4"/>
      </w:pPr>
      <w:r>
        <w:t xml:space="preserve">6.3 Evidencia humana clave (inhalación low‑THC/CBD‑rich): lo que se puede afirmar sin inventar</w:t>
      </w:r>
    </w:p>
    <w:p>
      <w:pPr>
        <w:pStyle w:val="FirstParagraph"/>
      </w:pPr>
      <w:r>
        <w:t xml:space="preserve">En humanos, existe evidencia controlada con quimiovares</w:t>
      </w:r>
      <w:r>
        <w:t xml:space="preserve"> </w:t>
      </w:r>
      <w:r>
        <w:rPr>
          <w:b/>
          <w:bCs/>
        </w:rPr>
        <w:t xml:space="preserve">CBD‑rich / low‑THC</w:t>
      </w:r>
      <w:r>
        <w:t xml:space="preserve"> </w:t>
      </w:r>
      <w:r>
        <w:t xml:space="preserve">(incluyendo escenarios con</w:t>
      </w:r>
      <w:r>
        <w:t xml:space="preserve"> </w:t>
      </w:r>
      <w:r>
        <w:rPr>
          <w:b/>
          <w:bCs/>
        </w:rPr>
        <w:t xml:space="preserve">THC &lt;1%</w:t>
      </w:r>
      <w:r>
        <w:t xml:space="preserve">) que apoya una lectura prudente:</w:t>
      </w:r>
    </w:p>
    <w:p>
      <w:pPr>
        <w:pStyle w:val="Compact"/>
        <w:numPr>
          <w:ilvl w:val="0"/>
          <w:numId w:val="1057"/>
        </w:numPr>
      </w:pPr>
      <w:r>
        <w:rPr>
          <w:b/>
          <w:bCs/>
        </w:rPr>
        <w:t xml:space="preserve">Conducción en carretera (SDLP)</w:t>
      </w:r>
      <w:r>
        <w:t xml:space="preserve">: un quimiovar</w:t>
      </w:r>
      <w:r>
        <w:t xml:space="preserve"> </w:t>
      </w:r>
      <w:r>
        <w:rPr>
          <w:b/>
          <w:bCs/>
        </w:rPr>
        <w:t xml:space="preserve">CBD‑dominant (THC &lt;1%, CBD‑rich)</w:t>
      </w:r>
      <w:r>
        <w:t xml:space="preserve"> </w:t>
      </w:r>
      <w:r>
        <w:t xml:space="preserve">no mostró diferencias significativas vs placebo en una medida validada de conducción, mientras que quimiovares con mayor THC sí mostraron deterioro en la ventana temprana. (Anexo B)</w:t>
      </w:r>
    </w:p>
    <w:p>
      <w:pPr>
        <w:pStyle w:val="Compact"/>
        <w:numPr>
          <w:ilvl w:val="0"/>
          <w:numId w:val="1057"/>
        </w:numPr>
      </w:pPr>
      <w:r>
        <w:rPr>
          <w:b/>
          <w:bCs/>
        </w:rPr>
        <w:t xml:space="preserve">“Driving‑related ability” (tests)</w:t>
      </w:r>
      <w:r>
        <w:t xml:space="preserve">: con productos</w:t>
      </w:r>
      <w:r>
        <w:t xml:space="preserve"> </w:t>
      </w:r>
      <w:r>
        <w:rPr>
          <w:b/>
          <w:bCs/>
        </w:rPr>
        <w:t xml:space="preserve">&lt;1% THC</w:t>
      </w:r>
      <w:r>
        <w:t xml:space="preserve"> </w:t>
      </w:r>
      <w:r>
        <w:t xml:space="preserve">en administración controlada, no se observaron diferencias significativas vs placebo; aun así, el THC pudo ser</w:t>
      </w:r>
      <w:r>
        <w:t xml:space="preserve"> </w:t>
      </w:r>
      <w:r>
        <w:rPr>
          <w:b/>
          <w:bCs/>
        </w:rPr>
        <w:t xml:space="preserve">detectable</w:t>
      </w:r>
      <w:r>
        <w:t xml:space="preserve"> </w:t>
      </w:r>
      <w:r>
        <w:t xml:space="preserve">durante horas en algunos participantes. (Anexo B)</w:t>
      </w:r>
    </w:p>
    <w:p>
      <w:pPr>
        <w:pStyle w:val="Compact"/>
        <w:numPr>
          <w:ilvl w:val="0"/>
          <w:numId w:val="1057"/>
        </w:numPr>
      </w:pPr>
      <w:r>
        <w:rPr>
          <w:b/>
          <w:bCs/>
        </w:rPr>
        <w:t xml:space="preserve">Separación biomarcador ↔ impairment</w:t>
      </w:r>
      <w:r>
        <w:t xml:space="preserve">: en usuarios infrecuentes, un material</w:t>
      </w:r>
      <w:r>
        <w:t xml:space="preserve"> </w:t>
      </w:r>
      <w:r>
        <w:rPr>
          <w:b/>
          <w:bCs/>
        </w:rPr>
        <w:t xml:space="preserve">CBD‑dominant</w:t>
      </w:r>
      <w:r>
        <w:t xml:space="preserve"> </w:t>
      </w:r>
      <w:r>
        <w:t xml:space="preserve">con</w:t>
      </w:r>
      <w:r>
        <w:t xml:space="preserve"> </w:t>
      </w:r>
      <w:r>
        <w:rPr>
          <w:b/>
          <w:bCs/>
        </w:rPr>
        <w:t xml:space="preserve">THC bajo</w:t>
      </w:r>
      <w:r>
        <w:t xml:space="preserve"> </w:t>
      </w:r>
      <w:r>
        <w:t xml:space="preserve">alcanzó THC sanguíneo medible (según el estudio) sin deterioro cognitivo/psicomotor en las tareas evaluadas. (Anexo B)</w:t>
      </w:r>
    </w:p>
    <w:p>
      <w:pPr>
        <w:pStyle w:val="BlockText"/>
      </w:pPr>
      <w:r>
        <w:t xml:space="preserve">Nota metodológica: gran parte de la evidencia funcional disponible está en</w:t>
      </w:r>
      <w:r>
        <w:t xml:space="preserve"> </w:t>
      </w:r>
      <w:r>
        <w:rPr>
          <w:b/>
          <w:bCs/>
        </w:rPr>
        <w:t xml:space="preserve">vaporización</w:t>
      </w:r>
      <w:r>
        <w:t xml:space="preserve">; se usa aquí como escenario</w:t>
      </w:r>
      <w:r>
        <w:t xml:space="preserve"> </w:t>
      </w:r>
      <w:r>
        <w:rPr>
          <w:b/>
          <w:bCs/>
        </w:rPr>
        <w:t xml:space="preserve">conservador</w:t>
      </w:r>
      <w:r>
        <w:t xml:space="preserve"> </w:t>
      </w:r>
      <w:r>
        <w:t xml:space="preserve">de exposición/entrega para no subestimar dosis interna, y el detalle completo queda documentado en el Anexo B.</w:t>
      </w:r>
    </w:p>
    <w:bookmarkEnd w:id="50"/>
    <w:bookmarkStart w:id="51" w:name="X63cbfb3ce5a30aaea0e5fc21b3b3d7a4811f466"/>
    <w:p>
      <w:pPr>
        <w:pStyle w:val="Heading4"/>
      </w:pPr>
      <w:r>
        <w:t xml:space="preserve">6.4 Escenario “porro 1%” (cuantificación sencilla y defendible)</w:t>
      </w:r>
    </w:p>
    <w:p>
      <w:pPr>
        <w:pStyle w:val="Compact"/>
        <w:numPr>
          <w:ilvl w:val="0"/>
          <w:numId w:val="1058"/>
        </w:numPr>
      </w:pPr>
      <w:r>
        <w:rPr>
          <w:b/>
          <w:bCs/>
        </w:rPr>
        <w:t xml:space="preserve">Conversión básica</w:t>
      </w:r>
      <w:r>
        <w:t xml:space="preserve">: (1% = 10,mg) de THC por gramo de material (base seca). Un porro típico de</w:t>
      </w:r>
      <w:r>
        <w:t xml:space="preserve"> </w:t>
      </w:r>
      <w:r>
        <w:rPr>
          <w:b/>
          <w:bCs/>
        </w:rPr>
        <w:t xml:space="preserve">0,3–0,5 g</w:t>
      </w:r>
      <w:r>
        <w:t xml:space="preserve"> </w:t>
      </w:r>
      <w:r>
        <w:t xml:space="preserve">contiene</w:t>
      </w:r>
      <w:r>
        <w:t xml:space="preserve"> </w:t>
      </w:r>
      <w:r>
        <w:rPr>
          <w:b/>
          <w:bCs/>
        </w:rPr>
        <w:t xml:space="preserve">3–5 mg</w:t>
      </w:r>
      <w:r>
        <w:t xml:space="preserve"> </w:t>
      </w:r>
      <w:r>
        <w:t xml:space="preserve">nominales. (Anexo C)</w:t>
      </w:r>
    </w:p>
    <w:p>
      <w:pPr>
        <w:pStyle w:val="Compact"/>
        <w:numPr>
          <w:ilvl w:val="0"/>
          <w:numId w:val="1058"/>
        </w:numPr>
      </w:pPr>
      <w:r>
        <w:rPr>
          <w:b/>
          <w:bCs/>
        </w:rPr>
        <w:t xml:space="preserve">Nominal ≠ sistémico</w:t>
      </w:r>
      <w:r>
        <w:t xml:space="preserve">: en combustión hay pérdidas materiales (pirólisis, humo lateral, colilla) y variabilidad de fumado; por eso la dosis interna es una fracción del nominal. (Anexo C)</w:t>
      </w:r>
    </w:p>
    <w:p>
      <w:pPr>
        <w:pStyle w:val="Compact"/>
        <w:numPr>
          <w:ilvl w:val="0"/>
          <w:numId w:val="1058"/>
        </w:numPr>
      </w:pPr>
      <w:r>
        <w:rPr>
          <w:b/>
          <w:bCs/>
        </w:rPr>
        <w:t xml:space="preserve">Rango de sensibilidad (no predicción individual)</w:t>
      </w:r>
      <w:r>
        <w:t xml:space="preserve">: para 0,5 g al 1% (5 mg nominales), escenarios conservadores de biodisponibilidad global por fumado sitúan la dosis sistémica típica en el orden de</w:t>
      </w:r>
      <w:r>
        <w:t xml:space="preserve"> </w:t>
      </w:r>
      <w:r>
        <w:rPr>
          <w:b/>
          <w:bCs/>
        </w:rPr>
        <w:t xml:space="preserve">sub‑mg a ~1 mg</w:t>
      </w:r>
      <w:r>
        <w:t xml:space="preserve">. (Anexo C)</w:t>
      </w:r>
    </w:p>
    <w:p>
      <w:pPr>
        <w:pStyle w:val="FirstParagraph"/>
      </w:pPr>
      <w:r>
        <w:t xml:space="preserve">Lectura regulatoria: el “porro 1%” no es un escenario práctico de intoxicación consistente bajo uso razonablemente esperado; cuando se sube el consumo a varios gramos para forzar dosis internas mayores, se entra en escenarios de abuso físicamente exigentes que ya no describen el uso típico y, por tanto, no pueden gobernar una definición PAC/OCM general. (Anexo C)</w:t>
      </w:r>
    </w:p>
    <w:bookmarkEnd w:id="51"/>
    <w:bookmarkStart w:id="52" w:name="X1b380ce82cb3dc07bc682a24e2df54df4b19771"/>
    <w:p>
      <w:pPr>
        <w:pStyle w:val="Heading4"/>
      </w:pPr>
      <w:r>
        <w:t xml:space="preserve">6.5 Punto de cierre hacia 1% (coherencia entre evidencia y diseño normativo)</w:t>
      </w:r>
    </w:p>
    <w:p>
      <w:pPr>
        <w:pStyle w:val="Compact"/>
        <w:numPr>
          <w:ilvl w:val="0"/>
          <w:numId w:val="1059"/>
        </w:numPr>
      </w:pPr>
      <w:r>
        <w:rPr>
          <w:b/>
          <w:bCs/>
        </w:rPr>
        <w:t xml:space="preserve">Base primaria hacia ~1% THC total</w:t>
      </w:r>
      <w:r>
        <w:t xml:space="preserve">: Ernest Small (originador del 0,3%) sostiene que el “abuse potential” práctico requiere aproximadamente</w:t>
      </w:r>
      <w:r>
        <w:t xml:space="preserve"> </w:t>
      </w:r>
      <w:r>
        <w:rPr>
          <w:b/>
          <w:bCs/>
        </w:rPr>
        <w:t xml:space="preserve">~1% THC total (THC+THCA)</w:t>
      </w:r>
      <w:r>
        <w:t xml:space="preserve"> </w:t>
      </w:r>
      <w:r>
        <w:t xml:space="preserve">en material herbal; por tanto, 1% encaja mejor como criterio operativo moderno que 0,3/0,5 heredados. (Anexo A)</w:t>
      </w:r>
    </w:p>
    <w:p>
      <w:pPr>
        <w:pStyle w:val="Compact"/>
        <w:numPr>
          <w:ilvl w:val="0"/>
          <w:numId w:val="1059"/>
        </w:numPr>
      </w:pPr>
      <w:r>
        <w:rPr>
          <w:b/>
          <w:bCs/>
        </w:rPr>
        <w:t xml:space="preserve">Síntesis</w:t>
      </w:r>
      <w:r>
        <w:t xml:space="preserve">: combinando (i) evidencia humana low‑THC/CBD‑rich con endpoints funcionales, (ii) la separación “detectable ≠ impairment”, y (iii) la cuantificación simple “nominal → sistémico”, el umbral 1% se defiende como</w:t>
      </w:r>
      <w:r>
        <w:t xml:space="preserve"> </w:t>
      </w:r>
      <w:r>
        <w:rPr>
          <w:b/>
          <w:bCs/>
        </w:rPr>
        <w:t xml:space="preserve">criterio de clasificación agronómico‑jurídica</w:t>
      </w:r>
      <w:r>
        <w:t xml:space="preserve"> </w:t>
      </w:r>
      <w:r>
        <w:t xml:space="preserve">coherente con proporcionalidad. (Anexo B + Anexo C)</w:t>
      </w:r>
    </w:p>
    <w:p>
      <w:r>
        <w:pict>
          <v:rect style="width:0;height:1.5pt" o:hralign="center" o:hrstd="t" o:hr="t"/>
        </w:pict>
      </w:r>
    </w:p>
    <w:bookmarkEnd w:id="52"/>
    <w:bookmarkEnd w:id="53"/>
    <w:bookmarkStart w:id="56" w:name="Xd59c846808ac0c804db655f38791ce6739d6a61"/>
    <w:p>
      <w:pPr>
        <w:pStyle w:val="Heading3"/>
      </w:pPr>
      <w:r>
        <w:t xml:space="preserve">7) Bloque jurídico: coherencia con Derecho internacional y Derecho UE</w:t>
      </w:r>
    </w:p>
    <w:bookmarkStart w:id="54" w:name="X28a38267dcd7fba6a97077eb5cb701e0d484dcb"/>
    <w:p>
      <w:pPr>
        <w:pStyle w:val="Heading4"/>
      </w:pPr>
      <w:r>
        <w:t xml:space="preserve">7.1 Convención Única 1961 (marco internacional: “parte de planta” y excepción industrial)</w:t>
      </w:r>
    </w:p>
    <w:p>
      <w:pPr>
        <w:pStyle w:val="FirstParagraph"/>
      </w:pPr>
      <w:r>
        <w:t xml:space="preserve">La Convención Única (1961, enmendada por el Protocolo de 1972) es relevante por dos razones:</w:t>
      </w:r>
      <w:r>
        <w:t xml:space="preserve"> </w:t>
      </w:r>
      <w:r>
        <w:rPr>
          <w:b/>
          <w:bCs/>
        </w:rPr>
        <w:t xml:space="preserve">(i)</w:t>
      </w:r>
      <w:r>
        <w:t xml:space="preserve"> </w:t>
      </w:r>
      <w:r>
        <w:t xml:space="preserve">su lógica es de fiscalización por</w:t>
      </w:r>
      <w:r>
        <w:t xml:space="preserve"> </w:t>
      </w:r>
      <w:r>
        <w:rPr>
          <w:b/>
          <w:bCs/>
        </w:rPr>
        <w:t xml:space="preserve">definición de “cannabis” como parte de planta</w:t>
      </w:r>
      <w:r>
        <w:t xml:space="preserve">, no por %; y</w:t>
      </w:r>
      <w:r>
        <w:t xml:space="preserve"> </w:t>
      </w:r>
      <w:r>
        <w:rPr>
          <w:b/>
          <w:bCs/>
        </w:rPr>
        <w:t xml:space="preserve">(ii)</w:t>
      </w:r>
      <w:r>
        <w:t xml:space="preserve"> </w:t>
      </w:r>
      <w:r>
        <w:t xml:space="preserve">incorpora una</w:t>
      </w:r>
      <w:r>
        <w:t xml:space="preserve"> </w:t>
      </w:r>
      <w:r>
        <w:rPr>
          <w:b/>
          <w:bCs/>
        </w:rPr>
        <w:t xml:space="preserve">excepción explícita</w:t>
      </w:r>
      <w:r>
        <w:t xml:space="preserve"> </w:t>
      </w:r>
      <w:r>
        <w:t xml:space="preserve">para el cultivo destinado</w:t>
      </w:r>
      <w:r>
        <w:t xml:space="preserve"> </w:t>
      </w:r>
      <w:r>
        <w:rPr>
          <w:b/>
          <w:bCs/>
        </w:rPr>
        <w:t xml:space="preserve">exclusivamente</w:t>
      </w:r>
      <w:r>
        <w:t xml:space="preserve"> </w:t>
      </w:r>
      <w:r>
        <w:t xml:space="preserve">a fines industriales (fibra y semillas) u hortícolas. (ver</w:t>
      </w:r>
      <w:r>
        <w:t xml:space="preserve"> </w:t>
      </w:r>
      <w:r>
        <w:rPr>
          <w:rStyle w:val="VerbatimChar"/>
        </w:rPr>
        <w:t xml:space="preserve">Regulaciones_Europa/Convencion_Unica_1961_ES.md</w:t>
      </w:r>
      <w:r>
        <w:t xml:space="preserve">; Anexo A)</w:t>
      </w:r>
    </w:p>
    <w:p>
      <w:pPr>
        <w:pStyle w:val="Compact"/>
        <w:numPr>
          <w:ilvl w:val="0"/>
          <w:numId w:val="1060"/>
        </w:numPr>
      </w:pPr>
      <w:r>
        <w:rPr>
          <w:b/>
          <w:bCs/>
        </w:rPr>
        <w:t xml:space="preserve">Definición por parte de planta (no por %)</w:t>
      </w:r>
      <w:r>
        <w:t xml:space="preserve">:</w:t>
      </w:r>
    </w:p>
    <w:p>
      <w:pPr>
        <w:pStyle w:val="Compact"/>
        <w:numPr>
          <w:ilvl w:val="1"/>
          <w:numId w:val="1061"/>
        </w:numPr>
      </w:pPr>
      <w:r>
        <w:t xml:space="preserve">La Convención define “cannabis” como “las</w:t>
      </w:r>
      <w:r>
        <w:t xml:space="preserve"> </w:t>
      </w:r>
      <w:r>
        <w:rPr>
          <w:b/>
          <w:bCs/>
        </w:rPr>
        <w:t xml:space="preserve">sumidades, floridas o con fruto</w:t>
      </w:r>
      <w:r>
        <w:t xml:space="preserve"> </w:t>
      </w:r>
      <w:r>
        <w:t xml:space="preserve">… (a excepción de las semillas y las hojas no unidas a las sumidades) …” y define “planta de cannabis” como “toda planta del género cannabis” (art. 1). Esto muestra que el instrumento internacional</w:t>
      </w:r>
      <w:r>
        <w:t xml:space="preserve"> </w:t>
      </w:r>
      <w:r>
        <w:rPr>
          <w:b/>
          <w:bCs/>
        </w:rPr>
        <w:t xml:space="preserve">no fija</w:t>
      </w:r>
      <w:r>
        <w:t xml:space="preserve"> </w:t>
      </w:r>
      <w:r>
        <w:t xml:space="preserve">un umbral en % y no convierte 0,3/0,5 en “estándar global”.</w:t>
      </w:r>
    </w:p>
    <w:p>
      <w:pPr>
        <w:pStyle w:val="Compact"/>
        <w:numPr>
          <w:ilvl w:val="0"/>
          <w:numId w:val="1060"/>
        </w:numPr>
      </w:pPr>
      <w:r>
        <w:rPr>
          <w:b/>
          <w:bCs/>
        </w:rPr>
        <w:t xml:space="preserve">Cuándo exige fiscalización del cultivo</w:t>
      </w:r>
      <w:r>
        <w:t xml:space="preserve">:</w:t>
      </w:r>
    </w:p>
    <w:p>
      <w:pPr>
        <w:pStyle w:val="Compact"/>
        <w:numPr>
          <w:ilvl w:val="1"/>
          <w:numId w:val="1062"/>
        </w:numPr>
      </w:pPr>
      <w:r>
        <w:t xml:space="preserve">Si una Parte permite el cultivo “para producir cannabis o resina de cannabis”, debe aplicar un sistema de control específico (art. 28.1).</w:t>
      </w:r>
    </w:p>
    <w:p>
      <w:pPr>
        <w:pStyle w:val="Compact"/>
        <w:numPr>
          <w:ilvl w:val="0"/>
          <w:numId w:val="1060"/>
        </w:numPr>
      </w:pPr>
      <w:r>
        <w:rPr>
          <w:b/>
          <w:bCs/>
        </w:rPr>
        <w:t xml:space="preserve">Excepción industrial/hortícola</w:t>
      </w:r>
      <w:r>
        <w:t xml:space="preserve">:</w:t>
      </w:r>
    </w:p>
    <w:p>
      <w:pPr>
        <w:pStyle w:val="Compact"/>
        <w:numPr>
          <w:ilvl w:val="1"/>
          <w:numId w:val="1063"/>
        </w:numPr>
      </w:pPr>
      <w:r>
        <w:t xml:space="preserve">«La presente Convención</w:t>
      </w:r>
      <w:r>
        <w:t xml:space="preserve"> </w:t>
      </w:r>
      <w:r>
        <w:rPr>
          <w:b/>
          <w:bCs/>
        </w:rPr>
        <w:t xml:space="preserve">no se aplicará</w:t>
      </w:r>
      <w:r>
        <w:t xml:space="preserve"> </w:t>
      </w:r>
      <w:r>
        <w:t xml:space="preserve">al cultivo … destinado exclusivamente a fines industriales (fibra y semillas) u hortícolas.» (art. 28.2)</w:t>
      </w:r>
    </w:p>
    <w:p>
      <w:pPr>
        <w:pStyle w:val="Compact"/>
        <w:numPr>
          <w:ilvl w:val="0"/>
          <w:numId w:val="1060"/>
        </w:numPr>
      </w:pPr>
      <w:r>
        <w:rPr>
          <w:b/>
          <w:bCs/>
        </w:rPr>
        <w:t xml:space="preserve">Medidas nacionales más estrictas</w:t>
      </w:r>
      <w:r>
        <w:t xml:space="preserve">:</w:t>
      </w:r>
    </w:p>
    <w:p>
      <w:pPr>
        <w:pStyle w:val="Compact"/>
        <w:numPr>
          <w:ilvl w:val="1"/>
          <w:numId w:val="1064"/>
        </w:numPr>
      </w:pPr>
      <w:r>
        <w:t xml:space="preserve">La Convención preserva expresamente que las Partes puedan adoptar “medidas de fiscalización</w:t>
      </w:r>
      <w:r>
        <w:t xml:space="preserve"> </w:t>
      </w:r>
      <w:r>
        <w:rPr>
          <w:b/>
          <w:bCs/>
        </w:rPr>
        <w:t xml:space="preserve">más estrictas o rigurosas</w:t>
      </w:r>
      <w:r>
        <w:t xml:space="preserve"> </w:t>
      </w:r>
      <w:r>
        <w:t xml:space="preserve">… necesarias o convenientes para proteger la salud pública.” (art. 39). Por tanto, elevar el umbral PAC/OCM a 1%</w:t>
      </w:r>
      <w:r>
        <w:t xml:space="preserve"> </w:t>
      </w:r>
      <w:r>
        <w:rPr>
          <w:b/>
          <w:bCs/>
        </w:rPr>
        <w:t xml:space="preserve">no impide</w:t>
      </w:r>
      <w:r>
        <w:t xml:space="preserve"> </w:t>
      </w:r>
      <w:r>
        <w:t xml:space="preserve">a los Estados miembros mantener o diseñar reglas más estrictas en ámbitos fuera de PAC/OCM (p. ej., penal/estupefacientes, producto final, conducción).</w:t>
      </w:r>
    </w:p>
    <w:p>
      <w:pPr>
        <w:pStyle w:val="FirstParagraph"/>
      </w:pPr>
      <w:r>
        <w:rPr>
          <w:b/>
          <w:bCs/>
        </w:rPr>
        <w:t xml:space="preserve">Conclusión jurídica operativa</w:t>
      </w:r>
      <w:r>
        <w:t xml:space="preserve">: el ajuste</w:t>
      </w:r>
      <w:r>
        <w:t xml:space="preserve"> </w:t>
      </w:r>
      <w:r>
        <w:rPr>
          <w:b/>
          <w:bCs/>
        </w:rPr>
        <w:t xml:space="preserve">0,3% → 1,0%</w:t>
      </w:r>
      <w:r>
        <w:t xml:space="preserve"> </w:t>
      </w:r>
      <w:r>
        <w:t xml:space="preserve">en PAC/OCM es un criterio administrativo de</w:t>
      </w:r>
      <w:r>
        <w:t xml:space="preserve"> </w:t>
      </w:r>
      <w:r>
        <w:rPr>
          <w:b/>
          <w:bCs/>
        </w:rPr>
        <w:t xml:space="preserve">clasificación/elegibilidad</w:t>
      </w:r>
      <w:r>
        <w:t xml:space="preserve"> </w:t>
      </w:r>
      <w:r>
        <w:t xml:space="preserve">dentro del Derecho UE; no pretende reescribir el régimen internacional de estupefacientes. La Convención no fija % y, además, contempla una excepción industrial y un margen para medidas más estrictas. (Anexo A)</w:t>
      </w:r>
    </w:p>
    <w:bookmarkEnd w:id="54"/>
    <w:bookmarkStart w:id="55" w:name="Xa33ce425c8b677951ce09927dc6943411a4be9d"/>
    <w:p>
      <w:pPr>
        <w:pStyle w:val="Heading4"/>
      </w:pPr>
      <w:r>
        <w:t xml:space="preserve">7.2 Derecho UE: CAP/OCM + mercado interior + proporcionalidad (por qué el cambio es defendible)</w:t>
      </w:r>
    </w:p>
    <w:p>
      <w:pPr>
        <w:pStyle w:val="FirstParagraph"/>
      </w:pPr>
      <w:r>
        <w:t xml:space="preserve">El criterio “cáñamo industrial ≤X% THC” opera en la UE como una</w:t>
      </w:r>
      <w:r>
        <w:t xml:space="preserve"> </w:t>
      </w:r>
      <w:r>
        <w:rPr>
          <w:b/>
          <w:bCs/>
        </w:rPr>
        <w:t xml:space="preserve">llave regulatoria</w:t>
      </w:r>
      <w:r>
        <w:t xml:space="preserve"> </w:t>
      </w:r>
      <w:r>
        <w:t xml:space="preserve">en dos planos:</w:t>
      </w:r>
      <w:r>
        <w:t xml:space="preserve"> </w:t>
      </w:r>
      <w:r>
        <w:rPr>
          <w:b/>
          <w:bCs/>
        </w:rPr>
        <w:t xml:space="preserve">PAC</w:t>
      </w:r>
      <w:r>
        <w:t xml:space="preserve"> </w:t>
      </w:r>
      <w:r>
        <w:t xml:space="preserve">(elegibilidad/ayudas) y</w:t>
      </w:r>
      <w:r>
        <w:t xml:space="preserve"> </w:t>
      </w:r>
      <w:r>
        <w:rPr>
          <w:b/>
          <w:bCs/>
        </w:rPr>
        <w:t xml:space="preserve">OCM</w:t>
      </w:r>
      <w:r>
        <w:t xml:space="preserve"> </w:t>
      </w:r>
      <w:r>
        <w:t xml:space="preserve">(condiciones de producción, comercialización e importación cuando proceda). Precisamente por su efecto transversal, el valor debe ser</w:t>
      </w:r>
      <w:r>
        <w:t xml:space="preserve"> </w:t>
      </w:r>
      <w:r>
        <w:rPr>
          <w:b/>
          <w:bCs/>
        </w:rPr>
        <w:t xml:space="preserve">claro, medible y proporcional</w:t>
      </w:r>
      <w:r>
        <w:t xml:space="preserve">.</w:t>
      </w:r>
    </w:p>
    <w:p>
      <w:pPr>
        <w:pStyle w:val="Compact"/>
        <w:numPr>
          <w:ilvl w:val="0"/>
          <w:numId w:val="1065"/>
        </w:numPr>
      </w:pPr>
      <w:r>
        <w:rPr>
          <w:b/>
          <w:bCs/>
        </w:rPr>
        <w:t xml:space="preserve">Base y finalidad (PAC/OCM)</w:t>
      </w:r>
      <w:r>
        <w:t xml:space="preserve">:</w:t>
      </w:r>
    </w:p>
    <w:p>
      <w:pPr>
        <w:pStyle w:val="Compact"/>
        <w:numPr>
          <w:ilvl w:val="1"/>
          <w:numId w:val="1066"/>
        </w:numPr>
      </w:pPr>
      <w:r>
        <w:t xml:space="preserve">El TFUE configura la PAC/OCM para estabilizar mercados, asegurar un nivel de vida equitativo en la comunidad agraria y garantizar abastecimiento a precios razonables (art. 39 TFUE), y para organizar los mercados agrícolas (art. 40 TFUE). En ese marco, ajustar el umbral es una decisión de</w:t>
      </w:r>
      <w:r>
        <w:t xml:space="preserve"> </w:t>
      </w:r>
      <w:r>
        <w:rPr>
          <w:b/>
          <w:bCs/>
        </w:rPr>
        <w:t xml:space="preserve">diseño administrativo</w:t>
      </w:r>
      <w:r>
        <w:t xml:space="preserve">: reduce pérdidas por “hot crops”, disminuye litigiosidad y mejora coherencia de mercado interior (Sección 4; Anexo D).</w:t>
      </w:r>
    </w:p>
    <w:p>
      <w:pPr>
        <w:pStyle w:val="Compact"/>
        <w:numPr>
          <w:ilvl w:val="0"/>
          <w:numId w:val="1065"/>
        </w:numPr>
      </w:pPr>
      <w:r>
        <w:rPr>
          <w:b/>
          <w:bCs/>
        </w:rPr>
        <w:t xml:space="preserve">Proporcionalidad y evidencia (34–36 TFUE como estándar de control de restricciones)</w:t>
      </w:r>
      <w:r>
        <w:t xml:space="preserve">:</w:t>
      </w:r>
    </w:p>
    <w:p>
      <w:pPr>
        <w:pStyle w:val="Compact"/>
        <w:numPr>
          <w:ilvl w:val="1"/>
          <w:numId w:val="1067"/>
        </w:numPr>
      </w:pPr>
      <w:r>
        <w:t xml:space="preserve">Cuando se adoptan restricciones generales en el mercado interior por motivos de salud pública, deben superar el test de</w:t>
      </w:r>
      <w:r>
        <w:t xml:space="preserve"> </w:t>
      </w:r>
      <w:r>
        <w:rPr>
          <w:b/>
          <w:bCs/>
        </w:rPr>
        <w:t xml:space="preserve">adecuación, necesidad y proporcionalidad</w:t>
      </w:r>
      <w:r>
        <w:t xml:space="preserve"> </w:t>
      </w:r>
      <w:r>
        <w:t xml:space="preserve">(arts. 34–36 TFUE). La jurisprudencia TJUE (p. ej.,</w:t>
      </w:r>
      <w:r>
        <w:t xml:space="preserve"> </w:t>
      </w:r>
      <w:r>
        <w:rPr>
          <w:b/>
          <w:bCs/>
        </w:rPr>
        <w:t xml:space="preserve">Kanavape, C‑663/18</w:t>
      </w:r>
      <w:r>
        <w:t xml:space="preserve">) exige que la cautela se apoye en</w:t>
      </w:r>
      <w:r>
        <w:t xml:space="preserve"> </w:t>
      </w:r>
      <w:r>
        <w:rPr>
          <w:b/>
          <w:bCs/>
        </w:rPr>
        <w:t xml:space="preserve">datos fiables</w:t>
      </w:r>
      <w:r>
        <w:t xml:space="preserve"> </w:t>
      </w:r>
      <w:r>
        <w:t xml:space="preserve">y en un análisis global del riesgo; no en hipótesis o en la mera “detectabilidad”. (Anexo B)</w:t>
      </w:r>
    </w:p>
    <w:p>
      <w:pPr>
        <w:pStyle w:val="Compact"/>
        <w:numPr>
          <w:ilvl w:val="0"/>
          <w:numId w:val="1065"/>
        </w:numPr>
      </w:pPr>
      <w:r>
        <w:rPr>
          <w:b/>
          <w:bCs/>
        </w:rPr>
        <w:t xml:space="preserve">Seguridad jurídica y operabilidad (medición)</w:t>
      </w:r>
      <w:r>
        <w:t xml:space="preserve">:</w:t>
      </w:r>
    </w:p>
    <w:p>
      <w:pPr>
        <w:pStyle w:val="Compact"/>
        <w:numPr>
          <w:ilvl w:val="1"/>
          <w:numId w:val="1068"/>
        </w:numPr>
      </w:pPr>
      <w:r>
        <w:t xml:space="preserve">Para evitar divergencias nacionales y litigios por “qué THC” y “cómo se mide”, el cambio de umbral debe ir acompañado de la</w:t>
      </w:r>
      <w:r>
        <w:t xml:space="preserve"> </w:t>
      </w:r>
      <w:r>
        <w:rPr>
          <w:b/>
          <w:bCs/>
        </w:rPr>
        <w:t xml:space="preserve">cláusula técnica mínima</w:t>
      </w:r>
      <w:r>
        <w:t xml:space="preserve"> </w:t>
      </w:r>
      <w:r>
        <w:t xml:space="preserve">propuesta (Sección 2.3) y la remisión al método armonizado UE (Anexo G).</w:t>
      </w:r>
    </w:p>
    <w:p>
      <w:pPr>
        <w:pStyle w:val="FirstParagraph"/>
      </w:pPr>
      <w:r>
        <w:rPr>
          <w:b/>
          <w:bCs/>
        </w:rPr>
        <w:t xml:space="preserve">Conclusión UE</w:t>
      </w:r>
      <w:r>
        <w:t xml:space="preserve">: elevar el umbral a 1% en PAC/OCM encaja con los objetivos de la PAC/OCM y mejora la proporcionalidad del sistema, manteniendo intacta la capacidad de los Estados miembros para gestionar riesgos específicos fuera de PAC/OCM (p. ej., conducción) y reforzando la seguridad jurídica mediante definiciones técnicas mínimas. (Anexo B + Anexo G)</w:t>
      </w:r>
    </w:p>
    <w:p>
      <w:r>
        <w:pict>
          <v:rect style="width:0;height:1.5pt" o:hralign="center" o:hrstd="t" o:hr="t"/>
        </w:pict>
      </w:r>
    </w:p>
    <w:bookmarkEnd w:id="55"/>
    <w:bookmarkEnd w:id="56"/>
    <w:bookmarkStart w:id="60" w:name="X9534c606b7f3f45859d8c68eb43c3d49a9ce027"/>
    <w:p>
      <w:pPr>
        <w:pStyle w:val="Heading3"/>
      </w:pPr>
      <w:r>
        <w:t xml:space="preserve">8) Derecho comparado y tendencia global (por qué 1% es estándar operable)</w:t>
      </w:r>
    </w:p>
    <w:p>
      <w:pPr>
        <w:pStyle w:val="FirstParagraph"/>
      </w:pPr>
      <w:r>
        <w:t xml:space="preserve">Este bloque no se usa como argumento de autoridad (“si otros lo hacen, la UE debe hacerlo”), sino como</w:t>
      </w:r>
      <w:r>
        <w:t xml:space="preserve"> </w:t>
      </w:r>
      <w:r>
        <w:rPr>
          <w:b/>
          <w:bCs/>
        </w:rPr>
        <w:t xml:space="preserve">prueba de operabilidad y proporcionalidad</w:t>
      </w:r>
      <w:r>
        <w:t xml:space="preserve">: un umbral de</w:t>
      </w:r>
      <w:r>
        <w:t xml:space="preserve"> </w:t>
      </w:r>
      <w:r>
        <w:rPr>
          <w:b/>
          <w:bCs/>
        </w:rPr>
        <w:t xml:space="preserve">1,0% THC</w:t>
      </w:r>
      <w:r>
        <w:t xml:space="preserve"> </w:t>
      </w:r>
      <w:r>
        <w:t xml:space="preserve">para clasificar cáñamo industrial no es una rareza regulatoria y ya existe en múltiples jurisdicciones.</w:t>
      </w:r>
    </w:p>
    <w:p>
      <w:pPr>
        <w:pStyle w:val="BlockText"/>
      </w:pPr>
      <w:r>
        <w:t xml:space="preserve">Regla editorial: la</w:t>
      </w:r>
      <w:r>
        <w:t xml:space="preserve"> </w:t>
      </w:r>
      <w:r>
        <w:rPr>
          <w:b/>
          <w:bCs/>
        </w:rPr>
        <w:t xml:space="preserve">lista completa, verificada con fuentes primarias (enero 2026)</w:t>
      </w:r>
      <w:r>
        <w:t xml:space="preserve">, está en el</w:t>
      </w:r>
      <w:r>
        <w:t xml:space="preserve"> </w:t>
      </w:r>
      <w:r>
        <w:rPr>
          <w:b/>
          <w:bCs/>
        </w:rPr>
        <w:t xml:space="preserve">Anexo E</w:t>
      </w:r>
      <w:r>
        <w:t xml:space="preserve"> </w:t>
      </w:r>
      <w:r>
        <w:t xml:space="preserve">(</w:t>
      </w:r>
      <w:r>
        <w:rPr>
          <w:rStyle w:val="VerbatimChar"/>
        </w:rPr>
        <w:t xml:space="preserve">THC_ge_0_5_canamo_mundo.md</w:t>
      </w:r>
      <w:r>
        <w:t xml:space="preserve">). El cuerpo solo resume los hechos imprescindibles.</w:t>
      </w:r>
    </w:p>
    <w:bookmarkStart w:id="57" w:name="hechos-verificables-enero-2026"/>
    <w:p>
      <w:pPr>
        <w:pStyle w:val="Heading4"/>
      </w:pPr>
      <w:r>
        <w:t xml:space="preserve">8.1 Hechos verificables (enero 2026)</w:t>
      </w:r>
    </w:p>
    <w:p>
      <w:pPr>
        <w:pStyle w:val="Compact"/>
        <w:numPr>
          <w:ilvl w:val="0"/>
          <w:numId w:val="1069"/>
        </w:numPr>
      </w:pPr>
      <w:r>
        <w:rPr>
          <w:b/>
          <w:bCs/>
        </w:rPr>
        <w:t xml:space="preserve">Bloque del 1%</w:t>
      </w:r>
      <w:r>
        <w:t xml:space="preserve">: existen</w:t>
      </w:r>
      <w:r>
        <w:t xml:space="preserve"> </w:t>
      </w:r>
      <w:r>
        <w:rPr>
          <w:b/>
          <w:bCs/>
        </w:rPr>
        <w:t xml:space="preserve">18 países/jurisdicciones</w:t>
      </w:r>
      <w:r>
        <w:t xml:space="preserve"> </w:t>
      </w:r>
      <w:r>
        <w:t xml:space="preserve">verificados con umbral</w:t>
      </w:r>
      <w:r>
        <w:t xml:space="preserve"> </w:t>
      </w:r>
      <w:r>
        <w:rPr>
          <w:b/>
          <w:bCs/>
        </w:rPr>
        <w:t xml:space="preserve">1%</w:t>
      </w:r>
      <w:r>
        <w:t xml:space="preserve"> </w:t>
      </w:r>
      <w:r>
        <w:t xml:space="preserve">(o “&lt;1%”) aplicable al cáñamo industrial o categoría equivalente (Anexo E).</w:t>
      </w:r>
    </w:p>
    <w:p>
      <w:pPr>
        <w:pStyle w:val="Compact"/>
        <w:numPr>
          <w:ilvl w:val="0"/>
          <w:numId w:val="1069"/>
        </w:numPr>
      </w:pPr>
      <w:r>
        <w:rPr>
          <w:b/>
          <w:bCs/>
        </w:rPr>
        <w:t xml:space="preserve">≥0,5%</w:t>
      </w:r>
      <w:r>
        <w:t xml:space="preserve">: existen</w:t>
      </w:r>
      <w:r>
        <w:t xml:space="preserve"> </w:t>
      </w:r>
      <w:r>
        <w:rPr>
          <w:b/>
          <w:bCs/>
        </w:rPr>
        <w:t xml:space="preserve">23 países/jurisdicciones</w:t>
      </w:r>
      <w:r>
        <w:t xml:space="preserve"> </w:t>
      </w:r>
      <w:r>
        <w:t xml:space="preserve">verificados con umbral</w:t>
      </w:r>
      <w:r>
        <w:t xml:space="preserve"> </w:t>
      </w:r>
      <w:r>
        <w:rPr>
          <w:b/>
          <w:bCs/>
        </w:rPr>
        <w:t xml:space="preserve">≥0,5%</w:t>
      </w:r>
      <w:r>
        <w:t xml:space="preserve"> </w:t>
      </w:r>
      <w:r>
        <w:t xml:space="preserve">(Anexo E).</w:t>
      </w:r>
    </w:p>
    <w:p>
      <w:pPr>
        <w:pStyle w:val="Compact"/>
        <w:numPr>
          <w:ilvl w:val="0"/>
          <w:numId w:val="1069"/>
        </w:numPr>
      </w:pPr>
      <w:r>
        <w:rPr>
          <w:b/>
          <w:bCs/>
        </w:rPr>
        <w:t xml:space="preserve">Umbrales más altos ya operan</w:t>
      </w:r>
      <w:r>
        <w:t xml:space="preserve">: existe un caso verificado de</w:t>
      </w:r>
      <w:r>
        <w:t xml:space="preserve"> </w:t>
      </w:r>
      <w:r>
        <w:rPr>
          <w:b/>
          <w:bCs/>
        </w:rPr>
        <w:t xml:space="preserve">2%</w:t>
      </w:r>
      <w:r>
        <w:t xml:space="preserve"> </w:t>
      </w:r>
      <w:r>
        <w:t xml:space="preserve">(Sudáfrica; en vigor desde 1 dic 2025) (Anexo E).</w:t>
      </w:r>
    </w:p>
    <w:p>
      <w:pPr>
        <w:pStyle w:val="Compact"/>
        <w:numPr>
          <w:ilvl w:val="0"/>
          <w:numId w:val="1069"/>
        </w:numPr>
      </w:pPr>
      <w:r>
        <w:rPr>
          <w:b/>
          <w:bCs/>
        </w:rPr>
        <w:t xml:space="preserve">Modelos “intermedios” y duales</w:t>
      </w:r>
      <w:r>
        <w:t xml:space="preserve">: se verifican, entre otros,</w:t>
      </w:r>
      <w:r>
        <w:t xml:space="preserve"> </w:t>
      </w:r>
      <w:r>
        <w:rPr>
          <w:b/>
          <w:bCs/>
        </w:rPr>
        <w:t xml:space="preserve">0,8%</w:t>
      </w:r>
      <w:r>
        <w:t xml:space="preserve"> </w:t>
      </w:r>
      <w:r>
        <w:t xml:space="preserve">(Albania), un régimen</w:t>
      </w:r>
      <w:r>
        <w:t xml:space="preserve"> </w:t>
      </w:r>
      <w:r>
        <w:rPr>
          <w:b/>
          <w:bCs/>
        </w:rPr>
        <w:t xml:space="preserve">dual</w:t>
      </w:r>
      <w:r>
        <w:t xml:space="preserve"> </w:t>
      </w:r>
      <w:r>
        <w:t xml:space="preserve">en Australia (</w:t>
      </w:r>
      <w:r>
        <w:rPr>
          <w:b/>
          <w:bCs/>
        </w:rPr>
        <w:t xml:space="preserve">0,5%</w:t>
      </w:r>
      <w:r>
        <w:t xml:space="preserve"> </w:t>
      </w:r>
      <w:r>
        <w:t xml:space="preserve">en siembra /</w:t>
      </w:r>
      <w:r>
        <w:t xml:space="preserve"> </w:t>
      </w:r>
      <w:r>
        <w:rPr>
          <w:b/>
          <w:bCs/>
        </w:rPr>
        <w:t xml:space="preserve">1,0%</w:t>
      </w:r>
      <w:r>
        <w:t xml:space="preserve"> </w:t>
      </w:r>
      <w:r>
        <w:t xml:space="preserve">en cosecha) y</w:t>
      </w:r>
      <w:r>
        <w:t xml:space="preserve"> </w:t>
      </w:r>
      <w:r>
        <w:rPr>
          <w:b/>
          <w:bCs/>
        </w:rPr>
        <w:t xml:space="preserve">0,5%</w:t>
      </w:r>
      <w:r>
        <w:t xml:space="preserve"> </w:t>
      </w:r>
      <w:r>
        <w:t xml:space="preserve">(Paraguay) (Anexo E).</w:t>
      </w:r>
    </w:p>
    <w:bookmarkEnd w:id="57"/>
    <w:bookmarkStart w:id="58" w:name="Xd75cf7607f6a8e08a766ab09f7e3432d218e950"/>
    <w:p>
      <w:pPr>
        <w:pStyle w:val="Heading4"/>
      </w:pPr>
      <w:r>
        <w:t xml:space="preserve">8.2 Ejemplos de “1%” (para situar el debate, sin cherry-picking)</w:t>
      </w:r>
    </w:p>
    <w:p>
      <w:pPr>
        <w:pStyle w:val="FirstParagraph"/>
      </w:pPr>
      <w:r>
        <w:t xml:space="preserve">Sin necesidad de entrar en cada caso (tabla completa en Anexo E), el bloque 1% incluye jurisdicciones diversas:</w:t>
      </w:r>
    </w:p>
    <w:p>
      <w:pPr>
        <w:pStyle w:val="Compact"/>
        <w:numPr>
          <w:ilvl w:val="0"/>
          <w:numId w:val="1070"/>
        </w:numPr>
      </w:pPr>
      <w:r>
        <w:rPr>
          <w:b/>
          <w:bCs/>
        </w:rPr>
        <w:t xml:space="preserve">Europa (no UE / y UE)</w:t>
      </w:r>
      <w:r>
        <w:t xml:space="preserve">: Suiza (1,0%); República Checa (1,0%) (Anexo E).</w:t>
      </w:r>
    </w:p>
    <w:p>
      <w:pPr>
        <w:pStyle w:val="Compact"/>
        <w:numPr>
          <w:ilvl w:val="0"/>
          <w:numId w:val="1070"/>
        </w:numPr>
      </w:pPr>
      <w:r>
        <w:rPr>
          <w:b/>
          <w:bCs/>
        </w:rPr>
        <w:t xml:space="preserve">Américas</w:t>
      </w:r>
      <w:r>
        <w:t xml:space="preserve">: Uruguay, Ecuador, Argentina, Perú, Costa Rica, Panamá (1,0% o &lt;1%) (Anexo E).</w:t>
      </w:r>
    </w:p>
    <w:p>
      <w:pPr>
        <w:pStyle w:val="Compact"/>
        <w:numPr>
          <w:ilvl w:val="0"/>
          <w:numId w:val="1070"/>
        </w:numPr>
      </w:pPr>
      <w:r>
        <w:rPr>
          <w:b/>
          <w:bCs/>
        </w:rPr>
        <w:t xml:space="preserve">África / Mediterráneo</w:t>
      </w:r>
      <w:r>
        <w:t xml:space="preserve">: Marruecos, Malawi, Zimbabue (1,0%); y Sudáfrica (2,0%) (Anexo E).</w:t>
      </w:r>
    </w:p>
    <w:p>
      <w:pPr>
        <w:pStyle w:val="Compact"/>
        <w:numPr>
          <w:ilvl w:val="0"/>
          <w:numId w:val="1070"/>
        </w:numPr>
      </w:pPr>
      <w:r>
        <w:rPr>
          <w:b/>
          <w:bCs/>
        </w:rPr>
        <w:t xml:space="preserve">Pacífico/Caribe</w:t>
      </w:r>
      <w:r>
        <w:t xml:space="preserve">: Fiyi, Jamaica (1,0% o &lt;1%); y Nueva Zelanda (reforma hacia &lt;1% en 2025) (Anexo E).</w:t>
      </w:r>
    </w:p>
    <w:p>
      <w:pPr>
        <w:pStyle w:val="BlockText"/>
      </w:pPr>
      <w:r>
        <w:t xml:space="preserve">Nota de precisión: los umbrales pueden referirse a</w:t>
      </w:r>
      <w:r>
        <w:t xml:space="preserve"> </w:t>
      </w:r>
      <w:r>
        <w:rPr>
          <w:b/>
          <w:bCs/>
        </w:rPr>
        <w:t xml:space="preserve">cultivo/variedad</w:t>
      </w:r>
      <w:r>
        <w:t xml:space="preserve">,</w:t>
      </w:r>
      <w:r>
        <w:t xml:space="preserve"> </w:t>
      </w:r>
      <w:r>
        <w:rPr>
          <w:b/>
          <w:bCs/>
        </w:rPr>
        <w:t xml:space="preserve">cosecha/biomasa</w:t>
      </w:r>
      <w:r>
        <w:t xml:space="preserve"> </w:t>
      </w:r>
      <w:r>
        <w:t xml:space="preserve">o</w:t>
      </w:r>
      <w:r>
        <w:t xml:space="preserve"> </w:t>
      </w:r>
      <w:r>
        <w:rPr>
          <w:b/>
          <w:bCs/>
        </w:rPr>
        <w:t xml:space="preserve">producto final</w:t>
      </w:r>
      <w:r>
        <w:t xml:space="preserve">. Esto refuerza la necesidad de fijar en la UE la</w:t>
      </w:r>
      <w:r>
        <w:t xml:space="preserve"> </w:t>
      </w:r>
      <w:r>
        <w:rPr>
          <w:b/>
          <w:bCs/>
        </w:rPr>
        <w:t xml:space="preserve">definición técnica mínima</w:t>
      </w:r>
      <w:r>
        <w:t xml:space="preserve"> </w:t>
      </w:r>
      <w:r>
        <w:t xml:space="preserve">(Sección 3 y Anexo G), no de copiar regímenes de “retail”.</w:t>
      </w:r>
    </w:p>
    <w:bookmarkEnd w:id="58"/>
    <w:bookmarkStart w:id="59" w:name="relevancia-específica-para-la-ue-pacocm"/>
    <w:p>
      <w:pPr>
        <w:pStyle w:val="Heading4"/>
      </w:pPr>
      <w:r>
        <w:t xml:space="preserve">8.3 Relevancia específica para la UE (PAC/OCM)</w:t>
      </w:r>
    </w:p>
    <w:p>
      <w:pPr>
        <w:pStyle w:val="Compact"/>
        <w:numPr>
          <w:ilvl w:val="0"/>
          <w:numId w:val="1071"/>
        </w:numPr>
      </w:pPr>
      <w:r>
        <w:rPr>
          <w:b/>
          <w:bCs/>
        </w:rPr>
        <w:t xml:space="preserve">Competitividad e importaciones</w:t>
      </w:r>
      <w:r>
        <w:t xml:space="preserve">: el derecho comparado muestra que competidores y proveedores externos operan con umbrales más pragmáticos, lo que impacta en genética, I+D y costes de cumplimiento (Anexo D + Anexo E).</w:t>
      </w:r>
    </w:p>
    <w:p>
      <w:pPr>
        <w:pStyle w:val="Compact"/>
        <w:numPr>
          <w:ilvl w:val="0"/>
          <w:numId w:val="1071"/>
        </w:numPr>
      </w:pPr>
      <w:r>
        <w:rPr>
          <w:b/>
          <w:bCs/>
        </w:rPr>
        <w:t xml:space="preserve">Operabilidad técnica</w:t>
      </w:r>
      <w:r>
        <w:t xml:space="preserve">: la UE ya dispone de un</w:t>
      </w:r>
      <w:r>
        <w:t xml:space="preserve"> </w:t>
      </w:r>
      <w:r>
        <w:rPr>
          <w:b/>
          <w:bCs/>
        </w:rPr>
        <w:t xml:space="preserve">método armonizado</w:t>
      </w:r>
      <w:r>
        <w:t xml:space="preserve"> </w:t>
      </w:r>
      <w:r>
        <w:t xml:space="preserve">para control oficial (Reglamento Delegado (UE) 2017/1155, Anexo III); elevar el umbral no exige rediseñar laboratorios ni protocolos, solo aplicar el mismo esquema con un límite distinto (Anexo G).</w:t>
      </w:r>
    </w:p>
    <w:p>
      <w:pPr>
        <w:pStyle w:val="Compact"/>
        <w:numPr>
          <w:ilvl w:val="0"/>
          <w:numId w:val="1071"/>
        </w:numPr>
      </w:pPr>
      <w:r>
        <w:rPr>
          <w:b/>
          <w:bCs/>
        </w:rPr>
        <w:t xml:space="preserve">Proporcionalidad</w:t>
      </w:r>
      <w:r>
        <w:t xml:space="preserve">: el comparado confirma que un umbral 1% puede coexistir con control efectivo sin convertir el “% en planta” en sustituto de categorías penales o sanitarias; esa separación es explícita en este paper (Sección 3.1 + Sección 6; Anexos B–C).</w:t>
      </w:r>
    </w:p>
    <w:p>
      <w:r>
        <w:pict>
          <v:rect style="width:0;height:1.5pt" o:hralign="center" o:hrstd="t" o:hr="t"/>
        </w:pict>
      </w:r>
    </w:p>
    <w:bookmarkEnd w:id="59"/>
    <w:bookmarkEnd w:id="60"/>
    <w:bookmarkStart w:id="64" w:name="X1766e72c4b805dc239fa85435ee9350c3882f2c"/>
    <w:p>
      <w:pPr>
        <w:pStyle w:val="Heading3"/>
      </w:pPr>
      <w:r>
        <w:t xml:space="preserve">9) Diseño regulatorio y salvaguardas (cómo implementar 1% sin perder control)</w:t>
      </w:r>
    </w:p>
    <w:p>
      <w:pPr>
        <w:pStyle w:val="FirstParagraph"/>
      </w:pPr>
      <w:r>
        <w:t xml:space="preserve">Implementar 1% de forma defendible es</w:t>
      </w:r>
      <w:r>
        <w:t xml:space="preserve"> </w:t>
      </w:r>
      <w:r>
        <w:rPr>
          <w:b/>
          <w:bCs/>
        </w:rPr>
        <w:t xml:space="preserve">cambiar el número sin romper la arquitectura</w:t>
      </w:r>
      <w:r>
        <w:t xml:space="preserve">: (i) mantener el método UE, (ii) cerrar la definición mínima (qué THC, base seca/peso constante, muestreo) y (iii) aplicar proporcionalidad y trazabilidad.</w:t>
      </w:r>
    </w:p>
    <w:bookmarkStart w:id="61" w:name="método-analítico-y-control-oficial"/>
    <w:p>
      <w:pPr>
        <w:pStyle w:val="Heading4"/>
      </w:pPr>
      <w:r>
        <w:t xml:space="preserve">9.1 Método analítico y control oficial</w:t>
      </w:r>
    </w:p>
    <w:p>
      <w:pPr>
        <w:pStyle w:val="FirstParagraph"/>
      </w:pPr>
      <w:r>
        <w:t xml:space="preserve">El sistema UE ya dispone del instrumento clave:</w:t>
      </w:r>
      <w:r>
        <w:t xml:space="preserve"> </w:t>
      </w:r>
      <w:r>
        <w:rPr>
          <w:b/>
          <w:bCs/>
        </w:rPr>
        <w:t xml:space="preserve">Reglamento Delegado (UE) 2017/1155, Anexo III</w:t>
      </w:r>
      <w:r>
        <w:t xml:space="preserve"> </w:t>
      </w:r>
      <w:r>
        <w:t xml:space="preserve">(“Método de la Unión para la determinación cuantitativa del contenido de Δ9‑THC”) (Anexo G).</w:t>
      </w:r>
    </w:p>
    <w:p>
      <w:pPr>
        <w:pStyle w:val="BodyText"/>
      </w:pPr>
      <w:r>
        <w:t xml:space="preserve">Resumen operativo (detalle completo en Anexo G):</w:t>
      </w:r>
    </w:p>
    <w:p>
      <w:pPr>
        <w:pStyle w:val="Compact"/>
        <w:numPr>
          <w:ilvl w:val="0"/>
          <w:numId w:val="1072"/>
        </w:numPr>
      </w:pPr>
      <w:r>
        <w:rPr>
          <w:b/>
          <w:bCs/>
        </w:rPr>
        <w:t xml:space="preserve">Qué se mide</w:t>
      </w:r>
      <w:r>
        <w:t xml:space="preserve">:</w:t>
      </w:r>
      <w:r>
        <w:t xml:space="preserve"> </w:t>
      </w:r>
      <w:r>
        <w:rPr>
          <w:b/>
          <w:bCs/>
        </w:rPr>
        <w:t xml:space="preserve">Δ9‑THC</w:t>
      </w:r>
      <w:r>
        <w:t xml:space="preserve"> </w:t>
      </w:r>
      <w:r>
        <w:t xml:space="preserve">(la norma lo denomina “THC”), salvo que el legislador opte por “THC total” y lo defina explícitamente (Sección 3.2).</w:t>
      </w:r>
    </w:p>
    <w:p>
      <w:pPr>
        <w:pStyle w:val="Compact"/>
        <w:numPr>
          <w:ilvl w:val="0"/>
          <w:numId w:val="1072"/>
        </w:numPr>
      </w:pPr>
      <w:r>
        <w:rPr>
          <w:b/>
          <w:bCs/>
        </w:rPr>
        <w:t xml:space="preserve">Base y expresión</w:t>
      </w:r>
      <w:r>
        <w:t xml:space="preserve">: muestra</w:t>
      </w:r>
      <w:r>
        <w:t xml:space="preserve"> </w:t>
      </w:r>
      <w:r>
        <w:rPr>
          <w:b/>
          <w:bCs/>
        </w:rPr>
        <w:t xml:space="preserve">secada hasta peso constante</w:t>
      </w:r>
      <w:r>
        <w:t xml:space="preserve">; resultados en</w:t>
      </w:r>
      <w:r>
        <w:t xml:space="preserve"> </w:t>
      </w:r>
      <w:r>
        <w:rPr>
          <w:b/>
          <w:bCs/>
        </w:rPr>
        <w:t xml:space="preserve">g de THC por 100 g</w:t>
      </w:r>
      <w:r>
        <w:t xml:space="preserve"> </w:t>
      </w:r>
      <w:r>
        <w:t xml:space="preserve">de muestra seca, con dos decimales;</w:t>
      </w:r>
      <w:r>
        <w:t xml:space="preserve"> </w:t>
      </w:r>
      <w:r>
        <w:rPr>
          <w:b/>
          <w:bCs/>
        </w:rPr>
        <w:t xml:space="preserve">tolerancia 0,03 g/100 g</w:t>
      </w:r>
      <w:r>
        <w:t xml:space="preserve"> </w:t>
      </w:r>
      <w:r>
        <w:t xml:space="preserve">(Anexo G).</w:t>
      </w:r>
    </w:p>
    <w:p>
      <w:pPr>
        <w:pStyle w:val="Compact"/>
        <w:numPr>
          <w:ilvl w:val="0"/>
          <w:numId w:val="1072"/>
        </w:numPr>
      </w:pPr>
      <w:r>
        <w:rPr>
          <w:b/>
          <w:bCs/>
        </w:rPr>
        <w:t xml:space="preserve">Muestreo (A/B)</w:t>
      </w:r>
      <w:r>
        <w:t xml:space="preserve">:</w:t>
      </w:r>
    </w:p>
    <w:p>
      <w:pPr>
        <w:pStyle w:val="Compact"/>
        <w:numPr>
          <w:ilvl w:val="1"/>
          <w:numId w:val="1073"/>
        </w:numPr>
      </w:pPr>
      <w:r>
        <w:rPr>
          <w:b/>
          <w:bCs/>
        </w:rPr>
        <w:t xml:space="preserve">Procedimiento A</w:t>
      </w:r>
      <w:r>
        <w:t xml:space="preserve"> </w:t>
      </w:r>
      <w:r>
        <w:t xml:space="preserve">(estándar): 50 plantas; segmento de 30 cm con ≥1 inflorescencia femenina; ventana 20 días tras inicio de floración a 10 días tras final (y reglas para cultivo intermedio) (Anexo G).</w:t>
      </w:r>
    </w:p>
    <w:p>
      <w:pPr>
        <w:pStyle w:val="Compact"/>
        <w:numPr>
          <w:ilvl w:val="1"/>
          <w:numId w:val="1073"/>
        </w:numPr>
      </w:pPr>
      <w:r>
        <w:rPr>
          <w:b/>
          <w:bCs/>
        </w:rPr>
        <w:t xml:space="preserve">Procedimiento B</w:t>
      </w:r>
      <w:r>
        <w:t xml:space="preserve"> </w:t>
      </w:r>
      <w:r>
        <w:t xml:space="preserve">(intensivo): 200 plantas; tercio superior; dentro de 10 días desde el final de floración (y reglas para cultivo intermedio; en dioicas solo femeninas) (Anexo G).</w:t>
      </w:r>
    </w:p>
    <w:p>
      <w:pPr>
        <w:pStyle w:val="Compact"/>
        <w:numPr>
          <w:ilvl w:val="0"/>
          <w:numId w:val="1072"/>
        </w:numPr>
      </w:pPr>
      <w:r>
        <w:rPr>
          <w:b/>
          <w:bCs/>
        </w:rPr>
        <w:t xml:space="preserve">Confirmación</w:t>
      </w:r>
      <w:r>
        <w:t xml:space="preserve">: si el resultado supera el límite aplicable, se realiza una</w:t>
      </w:r>
      <w:r>
        <w:t xml:space="preserve"> </w:t>
      </w:r>
      <w:r>
        <w:rPr>
          <w:b/>
          <w:bCs/>
        </w:rPr>
        <w:t xml:space="preserve">segunda determinación</w:t>
      </w:r>
      <w:r>
        <w:t xml:space="preserve"> </w:t>
      </w:r>
      <w:r>
        <w:t xml:space="preserve">y se toma la</w:t>
      </w:r>
      <w:r>
        <w:t xml:space="preserve"> </w:t>
      </w:r>
      <w:r>
        <w:rPr>
          <w:b/>
          <w:bCs/>
        </w:rPr>
        <w:t xml:space="preserve">media</w:t>
      </w:r>
      <w:r>
        <w:t xml:space="preserve">; en Procedimiento B, la media de dos determinaciones (Anexo G).</w:t>
      </w:r>
    </w:p>
    <w:p>
      <w:pPr>
        <w:pStyle w:val="Compact"/>
        <w:numPr>
          <w:ilvl w:val="0"/>
          <w:numId w:val="1072"/>
        </w:numPr>
      </w:pPr>
      <w:r>
        <w:rPr>
          <w:b/>
          <w:bCs/>
        </w:rPr>
        <w:t xml:space="preserve">Garantías y trazabilidad administrativa</w:t>
      </w:r>
      <w:r>
        <w:t xml:space="preserve">: posibilidad de muestra contradictoria y obligación de</w:t>
      </w:r>
      <w:r>
        <w:t xml:space="preserve"> </w:t>
      </w:r>
      <w:r>
        <w:rPr>
          <w:b/>
          <w:bCs/>
        </w:rPr>
        <w:t xml:space="preserve">registros</w:t>
      </w:r>
      <w:r>
        <w:t xml:space="preserve"> </w:t>
      </w:r>
      <w:r>
        <w:t xml:space="preserve">(procedimiento, nº de pruebas, punto de muestreo y medidas) (Anexo G).</w:t>
      </w:r>
    </w:p>
    <w:p>
      <w:pPr>
        <w:pStyle w:val="FirstParagraph"/>
      </w:pPr>
      <w:r>
        <w:t xml:space="preserve">Conclusión: el cambio a 1% puede implementarse</w:t>
      </w:r>
      <w:r>
        <w:t xml:space="preserve"> </w:t>
      </w:r>
      <w:r>
        <w:rPr>
          <w:b/>
          <w:bCs/>
        </w:rPr>
        <w:t xml:space="preserve">sin tocar el método</w:t>
      </w:r>
      <w:r>
        <w:t xml:space="preserve">; basta con sustituir el umbral en las disposiciones PAC/OCM y mantener una remisión técnica mínima (Sección 2.3 + Anexo G).</w:t>
      </w:r>
    </w:p>
    <w:bookmarkEnd w:id="61"/>
    <w:bookmarkStart w:id="62" w:name="control-proporcionado-y-trazabilidad"/>
    <w:p>
      <w:pPr>
        <w:pStyle w:val="Heading4"/>
      </w:pPr>
      <w:r>
        <w:t xml:space="preserve">9.2 Control proporcionado y trazabilidad</w:t>
      </w:r>
    </w:p>
    <w:p>
      <w:pPr>
        <w:pStyle w:val="FirstParagraph"/>
      </w:pPr>
      <w:r>
        <w:t xml:space="preserve">Aquí el objetivo es evitar dos errores simétricos: (i) perder capacidad de control y (ii) castigar la buena fe por variación agronómica + incertidumbre analítica.</w:t>
      </w:r>
    </w:p>
    <w:p>
      <w:pPr>
        <w:pStyle w:val="BodyText"/>
      </w:pPr>
      <w:r>
        <w:rPr>
          <w:b/>
          <w:bCs/>
        </w:rPr>
        <w:t xml:space="preserve">A) Proporcionalidad (gestión de “hot crops” sin descontrol)</w:t>
      </w:r>
    </w:p>
    <w:p>
      <w:pPr>
        <w:pStyle w:val="Compact"/>
        <w:numPr>
          <w:ilvl w:val="0"/>
          <w:numId w:val="1074"/>
        </w:numPr>
      </w:pPr>
      <w:r>
        <w:rPr>
          <w:b/>
          <w:bCs/>
        </w:rPr>
        <w:t xml:space="preserve">Aplicar el escalado nativo del método UE</w:t>
      </w:r>
      <w:r>
        <w:t xml:space="preserve">: Procedimiento A → confirmación (segunda determinación) → Procedimiento B cuando corresponda (Anexo G).</w:t>
      </w:r>
    </w:p>
    <w:p>
      <w:pPr>
        <w:pStyle w:val="Compact"/>
        <w:numPr>
          <w:ilvl w:val="0"/>
          <w:numId w:val="1074"/>
        </w:numPr>
      </w:pPr>
      <w:r>
        <w:rPr>
          <w:b/>
          <w:bCs/>
        </w:rPr>
        <w:t xml:space="preserve">Escalado por repetición y por variedad</w:t>
      </w:r>
      <w:r>
        <w:t xml:space="preserve">: el propio régimen UE prevé que, si la media anual por variedad supera el límite, se intensifique control al año siguiente y, si se repite, puedan activarse medidas a nivel de variedad (Anexo G). Con 1% este “escalado” se mantiene, pero con un borde regulatorio menos frágil.</w:t>
      </w:r>
    </w:p>
    <w:p>
      <w:pPr>
        <w:pStyle w:val="FirstParagraph"/>
      </w:pPr>
      <w:r>
        <w:rPr>
          <w:b/>
          <w:bCs/>
        </w:rPr>
        <w:t xml:space="preserve">B) Trazabilidad (de semilla a lote)</w:t>
      </w:r>
    </w:p>
    <w:p>
      <w:pPr>
        <w:pStyle w:val="Compact"/>
        <w:numPr>
          <w:ilvl w:val="0"/>
          <w:numId w:val="1075"/>
        </w:numPr>
      </w:pPr>
      <w:r>
        <w:rPr>
          <w:b/>
          <w:bCs/>
        </w:rPr>
        <w:t xml:space="preserve">Semilla certificada + catálogo común</w:t>
      </w:r>
      <w:r>
        <w:t xml:space="preserve">: mantener el anclaje a variedades registradas y semillas certificadas como columna vertebral del control agronómico (Anexo G; y para contexto de ordenación de mercado, Anexo D).</w:t>
      </w:r>
    </w:p>
    <w:p>
      <w:pPr>
        <w:pStyle w:val="Compact"/>
        <w:numPr>
          <w:ilvl w:val="0"/>
          <w:numId w:val="1075"/>
        </w:numPr>
      </w:pPr>
      <w:r>
        <w:rPr>
          <w:b/>
          <w:bCs/>
        </w:rPr>
        <w:t xml:space="preserve">Documentación mínima de circulación/importación</w:t>
      </w:r>
      <w:r>
        <w:t xml:space="preserve">: asegurar trazabilidad documental por lote y coherencia con los requisitos de producción/comercialización/importación en OCM, sustituyendo el umbral sin reescribir el sistema (Sección 2.2 + Anexo F).</w:t>
      </w:r>
    </w:p>
    <w:bookmarkEnd w:id="62"/>
    <w:bookmarkStart w:id="63" w:name="X755b9be8e137e9188d6c43b8f3cb2c7b10cc787"/>
    <w:p>
      <w:pPr>
        <w:pStyle w:val="Heading4"/>
      </w:pPr>
      <w:r>
        <w:t xml:space="preserve">9.3 Gestión de riesgos específicos (sin confundir categorías)</w:t>
      </w:r>
    </w:p>
    <w:p>
      <w:pPr>
        <w:pStyle w:val="FirstParagraph"/>
      </w:pPr>
      <w:r>
        <w:rPr>
          <w:b/>
          <w:bCs/>
        </w:rPr>
        <w:t xml:space="preserve">A) Drug‑driving (detectable ≠ impairment)</w:t>
      </w:r>
    </w:p>
    <w:p>
      <w:pPr>
        <w:pStyle w:val="Compact"/>
        <w:numPr>
          <w:ilvl w:val="0"/>
          <w:numId w:val="1076"/>
        </w:numPr>
      </w:pPr>
      <w:r>
        <w:t xml:space="preserve">La evidencia humana relevante apoya que</w:t>
      </w:r>
      <w:r>
        <w:t xml:space="preserve"> </w:t>
      </w:r>
      <w:r>
        <w:rPr>
          <w:b/>
          <w:bCs/>
        </w:rPr>
        <w:t xml:space="preserve">THC detectable</w:t>
      </w:r>
      <w:r>
        <w:t xml:space="preserve"> </w:t>
      </w:r>
      <w:r>
        <w:t xml:space="preserve">no implica necesariamente</w:t>
      </w:r>
      <w:r>
        <w:t xml:space="preserve"> </w:t>
      </w:r>
      <w:r>
        <w:rPr>
          <w:b/>
          <w:bCs/>
        </w:rPr>
        <w:t xml:space="preserve">deterioro funcional</w:t>
      </w:r>
      <w:r>
        <w:t xml:space="preserve"> </w:t>
      </w:r>
      <w:r>
        <w:t xml:space="preserve">en endpoints validados, especialmente en escenarios low‑THC/CBD‑rich, pero también muestra que la detectabilidad puede persistir (Anexo B).</w:t>
      </w:r>
    </w:p>
    <w:p>
      <w:pPr>
        <w:pStyle w:val="Compact"/>
        <w:numPr>
          <w:ilvl w:val="0"/>
          <w:numId w:val="1076"/>
        </w:numPr>
      </w:pPr>
      <w:r>
        <w:t xml:space="preserve">Salvaguarda: tratar la conducción como política específica (información y diseño coherente),</w:t>
      </w:r>
      <w:r>
        <w:t xml:space="preserve"> </w:t>
      </w:r>
      <w:r>
        <w:rPr>
          <w:b/>
          <w:bCs/>
        </w:rPr>
        <w:t xml:space="preserve">sin convertir el umbral PAC/OCM</w:t>
      </w:r>
      <w:r>
        <w:t xml:space="preserve"> </w:t>
      </w:r>
      <w:r>
        <w:t xml:space="preserve">en sustituto del derecho de tráfico/penal (Sección 3.1 + Anexo B).</w:t>
      </w:r>
    </w:p>
    <w:p>
      <w:pPr>
        <w:pStyle w:val="FirstParagraph"/>
      </w:pPr>
      <w:r>
        <w:rPr>
          <w:b/>
          <w:bCs/>
        </w:rPr>
        <w:t xml:space="preserve">B) Calidad, transparencia y competencia leal (OCM)</w:t>
      </w:r>
    </w:p>
    <w:p>
      <w:pPr>
        <w:pStyle w:val="Compact"/>
        <w:numPr>
          <w:ilvl w:val="0"/>
          <w:numId w:val="1077"/>
        </w:numPr>
      </w:pPr>
      <w:r>
        <w:t xml:space="preserve">Si el legislador necesita un instrumento adicional, las</w:t>
      </w:r>
      <w:r>
        <w:t xml:space="preserve"> </w:t>
      </w:r>
      <w:r>
        <w:rPr>
          <w:b/>
          <w:bCs/>
        </w:rPr>
        <w:t xml:space="preserve">marketing standards</w:t>
      </w:r>
      <w:r>
        <w:t xml:space="preserve"> </w:t>
      </w:r>
      <w:r>
        <w:t xml:space="preserve">son el mecanismo nativo de OCM para fijar requisitos de calidad/transparencia y proteger el mercado interior frente a fraude o no conformidad, incluidas importaciones, sin sobredimensionar el umbral THC (Anexo D).</w:t>
      </w:r>
    </w:p>
    <w:p>
      <w:r>
        <w:pict>
          <v:rect style="width:0;height:1.5pt" o:hralign="center" o:hrstd="t" o:hr="t"/>
        </w:pict>
      </w:r>
    </w:p>
    <w:bookmarkEnd w:id="63"/>
    <w:bookmarkEnd w:id="64"/>
    <w:bookmarkStart w:id="70" w:name="impacto-esperado-12-páginas"/>
    <w:p>
      <w:pPr>
        <w:pStyle w:val="Heading3"/>
      </w:pPr>
      <w:r>
        <w:t xml:space="preserve">10) Impacto esperado (1–2 páginas)</w:t>
      </w:r>
    </w:p>
    <w:p>
      <w:pPr>
        <w:pStyle w:val="FirstParagraph"/>
      </w:pPr>
      <w:r>
        <w:t xml:space="preserve">Este bloque sintetiza impactos previsibles por eje, evitando cifras discutibles en el cuerpo (las cuantificaciones, cuando sean necesarias, deben ir a anexos o marcarse como [PENDIENTE DE VERIFICACIÓN]).</w:t>
      </w:r>
    </w:p>
    <w:bookmarkStart w:id="65" w:name="agricultura-y-renta-agraria"/>
    <w:p>
      <w:pPr>
        <w:pStyle w:val="Heading4"/>
      </w:pPr>
      <w:r>
        <w:t xml:space="preserve">10.1 Agricultura y renta agraria</w:t>
      </w:r>
    </w:p>
    <w:p>
      <w:pPr>
        <w:pStyle w:val="Compact"/>
        <w:numPr>
          <w:ilvl w:val="0"/>
          <w:numId w:val="1078"/>
        </w:numPr>
      </w:pPr>
      <w:r>
        <w:rPr>
          <w:b/>
          <w:bCs/>
        </w:rPr>
        <w:t xml:space="preserve">Menos riesgo sistémico por “hot crops”</w:t>
      </w:r>
      <w:r>
        <w:t xml:space="preserve">: un umbral más robusto reduce pérdidas y exclusiones por excedencias marginales derivadas de variabilidad agronómica y del borde analítico, manteniendo control oficial (Anexo D + Anexo G).</w:t>
      </w:r>
    </w:p>
    <w:p>
      <w:pPr>
        <w:pStyle w:val="Compact"/>
        <w:numPr>
          <w:ilvl w:val="0"/>
          <w:numId w:val="1078"/>
        </w:numPr>
      </w:pPr>
      <w:r>
        <w:rPr>
          <w:b/>
          <w:bCs/>
        </w:rPr>
        <w:t xml:space="preserve">Más estabilidad de campaña</w:t>
      </w:r>
      <w:r>
        <w:t xml:space="preserve">: mayor previsibilidad para planificación, contratos y financiación al reducir eventos de incumplimiento “por borde” (Anexo D).</w:t>
      </w:r>
    </w:p>
    <w:bookmarkEnd w:id="65"/>
    <w:bookmarkStart w:id="66" w:name="X2240d2fdeb6a10230e1cf3885c838a02e892cab"/>
    <w:p>
      <w:pPr>
        <w:pStyle w:val="Heading4"/>
      </w:pPr>
      <w:r>
        <w:t xml:space="preserve">10.2 Investigación, mejora varietal y resiliencia climática</w:t>
      </w:r>
    </w:p>
    <w:p>
      <w:pPr>
        <w:pStyle w:val="Compact"/>
        <w:numPr>
          <w:ilvl w:val="0"/>
          <w:numId w:val="1079"/>
        </w:numPr>
      </w:pPr>
      <w:r>
        <w:rPr>
          <w:b/>
          <w:bCs/>
        </w:rPr>
        <w:t xml:space="preserve">Ampliación del pool genético utilizable</w:t>
      </w:r>
      <w:r>
        <w:t xml:space="preserve">: habilita mejora varietal e I+D con menos constricción artificial, favoreciendo resiliencia y multiuso (Anexo D).</w:t>
      </w:r>
    </w:p>
    <w:p>
      <w:pPr>
        <w:pStyle w:val="Compact"/>
        <w:numPr>
          <w:ilvl w:val="0"/>
          <w:numId w:val="1079"/>
        </w:numPr>
      </w:pPr>
      <w:r>
        <w:rPr>
          <w:b/>
          <w:bCs/>
        </w:rPr>
        <w:t xml:space="preserve">Coherencia con tendencia global</w:t>
      </w:r>
      <w:r>
        <w:t xml:space="preserve">: reduce la brecha con jurisdicciones que ya operan con ≥0,5% y, en particular, con el bloque 1% (Anexo E).</w:t>
      </w:r>
    </w:p>
    <w:bookmarkEnd w:id="66"/>
    <w:bookmarkStart w:id="67" w:name="industria-y-bioeconomía"/>
    <w:p>
      <w:pPr>
        <w:pStyle w:val="Heading4"/>
      </w:pPr>
      <w:r>
        <w:t xml:space="preserve">10.3 Industria y bioeconomía</w:t>
      </w:r>
    </w:p>
    <w:p>
      <w:pPr>
        <w:pStyle w:val="Compact"/>
        <w:numPr>
          <w:ilvl w:val="0"/>
          <w:numId w:val="1080"/>
        </w:numPr>
      </w:pPr>
      <w:r>
        <w:rPr>
          <w:b/>
          <w:bCs/>
        </w:rPr>
        <w:t xml:space="preserve">Continuidad de suministro</w:t>
      </w:r>
      <w:r>
        <w:t xml:space="preserve">: menos incertidumbre regulatoria en el upstream (cultivo) mejora la estabilidad de la cadena de valor (fibra, semilla, biomasa industrial) y reduce costes de cumplimiento (Anexo D).</w:t>
      </w:r>
    </w:p>
    <w:p>
      <w:pPr>
        <w:pStyle w:val="Compact"/>
        <w:numPr>
          <w:ilvl w:val="0"/>
          <w:numId w:val="1080"/>
        </w:numPr>
      </w:pPr>
      <w:r>
        <w:rPr>
          <w:b/>
          <w:bCs/>
        </w:rPr>
        <w:t xml:space="preserve">Competitividad</w:t>
      </w:r>
      <w:r>
        <w:t xml:space="preserve">: mejora la posición relativa frente a terceros países que operan con umbrales más altos (Anexo E).</w:t>
      </w:r>
    </w:p>
    <w:bookmarkEnd w:id="67"/>
    <w:bookmarkStart w:id="68" w:name="X7ae37bd4fbe2f2faa3f155ef0286eb13e0a5d44"/>
    <w:p>
      <w:pPr>
        <w:pStyle w:val="Heading4"/>
      </w:pPr>
      <w:r>
        <w:t xml:space="preserve">10.4 Mercado interior y administración pública</w:t>
      </w:r>
    </w:p>
    <w:p>
      <w:pPr>
        <w:pStyle w:val="Compact"/>
        <w:numPr>
          <w:ilvl w:val="0"/>
          <w:numId w:val="1081"/>
        </w:numPr>
      </w:pPr>
      <w:r>
        <w:rPr>
          <w:b/>
          <w:bCs/>
        </w:rPr>
        <w:t xml:space="preserve">Menos fragmentación y litigios</w:t>
      </w:r>
      <w:r>
        <w:t xml:space="preserve">: al armonizar y cerrar el mínimo técnico (qué THC, base seca, muestreo), se reduce el espacio para interpretaciones divergentes (Sección 3 + Anexo G).</w:t>
      </w:r>
    </w:p>
    <w:p>
      <w:pPr>
        <w:pStyle w:val="Compact"/>
        <w:numPr>
          <w:ilvl w:val="0"/>
          <w:numId w:val="1081"/>
        </w:numPr>
      </w:pPr>
      <w:r>
        <w:rPr>
          <w:b/>
          <w:bCs/>
        </w:rPr>
        <w:t xml:space="preserve">Control más eficiente</w:t>
      </w:r>
      <w:r>
        <w:t xml:space="preserve">: el método UE ya está diseñado para control oficial (A/B, confirmaciones, tolerancia y registros); elevar el umbral no exige reconstruir el sistema, solo aplicarlo con el nuevo límite (Anexo G).</w:t>
      </w:r>
    </w:p>
    <w:bookmarkEnd w:id="68"/>
    <w:bookmarkStart w:id="69" w:name="riesgos-residuales-qué-no-cambia-con-1"/>
    <w:p>
      <w:pPr>
        <w:pStyle w:val="Heading4"/>
      </w:pPr>
      <w:r>
        <w:t xml:space="preserve">10.5 Riesgos residuales (qué NO cambia con 1%)</w:t>
      </w:r>
    </w:p>
    <w:p>
      <w:pPr>
        <w:pStyle w:val="Compact"/>
        <w:numPr>
          <w:ilvl w:val="0"/>
          <w:numId w:val="1082"/>
        </w:numPr>
      </w:pPr>
      <w:r>
        <w:rPr>
          <w:b/>
          <w:bCs/>
        </w:rPr>
        <w:t xml:space="preserve">No se armoniza el derecho penal/estupefacientes</w:t>
      </w:r>
      <w:r>
        <w:t xml:space="preserve"> </w:t>
      </w:r>
      <w:r>
        <w:t xml:space="preserve">ni se sustituyen regímenes sectoriales de producto final (Sección 3.1).</w:t>
      </w:r>
    </w:p>
    <w:p>
      <w:pPr>
        <w:pStyle w:val="Compact"/>
        <w:numPr>
          <w:ilvl w:val="0"/>
          <w:numId w:val="1082"/>
        </w:numPr>
      </w:pPr>
      <w:r>
        <w:rPr>
          <w:b/>
          <w:bCs/>
        </w:rPr>
        <w:t xml:space="preserve">No se pierde capacidad de control</w:t>
      </w:r>
      <w:r>
        <w:t xml:space="preserve">: se mantiene método, trazabilidad y escalado por repetición/variedad (Anexo G), y se gestiona “detectable ≠ impairment” de forma separada (Anexo B).</w:t>
      </w:r>
    </w:p>
    <w:p>
      <w:pPr>
        <w:pStyle w:val="BlockText"/>
      </w:pPr>
      <w:r>
        <w:t xml:space="preserve">Evidencia/argumentos de soporte: Anexo D + Anexo E.</w:t>
      </w:r>
    </w:p>
    <w:p>
      <w:r>
        <w:pict>
          <v:rect style="width:0;height:1.5pt" o:hralign="center" o:hrstd="t" o:hr="t"/>
        </w:pict>
      </w:r>
    </w:p>
    <w:bookmarkEnd w:id="69"/>
    <w:bookmarkEnd w:id="70"/>
    <w:bookmarkStart w:id="71" w:name="conclusiones-media-página"/>
    <w:p>
      <w:pPr>
        <w:pStyle w:val="Heading3"/>
      </w:pPr>
      <w:r>
        <w:t xml:space="preserve">11) Conclusiones (media página)</w:t>
      </w:r>
    </w:p>
    <w:p>
      <w:pPr>
        <w:pStyle w:val="FirstParagraph"/>
      </w:pPr>
      <w:r>
        <w:t xml:space="preserve">La reforma propuesta es</w:t>
      </w:r>
      <w:r>
        <w:t xml:space="preserve"> </w:t>
      </w:r>
      <w:r>
        <w:rPr>
          <w:b/>
          <w:bCs/>
        </w:rPr>
        <w:t xml:space="preserve">simple y acotada</w:t>
      </w:r>
      <w:r>
        <w:t xml:space="preserve">: elevar y armonizar en la UE, en el marco</w:t>
      </w:r>
      <w:r>
        <w:t xml:space="preserve"> </w:t>
      </w:r>
      <w:r>
        <w:rPr>
          <w:b/>
          <w:bCs/>
        </w:rPr>
        <w:t xml:space="preserve">PAC/OCM</w:t>
      </w:r>
      <w:r>
        <w:t xml:space="preserve">, un umbral de</w:t>
      </w:r>
      <w:r>
        <w:t xml:space="preserve"> </w:t>
      </w:r>
      <w:r>
        <w:rPr>
          <w:b/>
          <w:bCs/>
        </w:rPr>
        <w:t xml:space="preserve">1,0% THC</w:t>
      </w:r>
      <w:r>
        <w:t xml:space="preserve"> </w:t>
      </w:r>
      <w:r>
        <w:t xml:space="preserve">como criterio operativo para</w:t>
      </w:r>
      <w:r>
        <w:t xml:space="preserve"> </w:t>
      </w:r>
      <w:r>
        <w:rPr>
          <w:b/>
          <w:bCs/>
        </w:rPr>
        <w:t xml:space="preserve">clasificar “cáñamo industrial”</w:t>
      </w:r>
      <w:r>
        <w:t xml:space="preserve">, y cerrar la ambigüedad técnica mínima (qué THC, base seca/peso constante y remisión al método UE) para evitar interpretaciones divergentes (Secciones</w:t>
      </w:r>
      <w:r>
        <w:t xml:space="preserve"> </w:t>
      </w:r>
      <w:r>
        <w:rPr>
          <w:b/>
          <w:bCs/>
        </w:rPr>
        <w:t xml:space="preserve">2–3</w:t>
      </w:r>
      <w:r>
        <w:t xml:space="preserve">; Anexo</w:t>
      </w:r>
      <w:r>
        <w:t xml:space="preserve"> </w:t>
      </w:r>
      <w:r>
        <w:rPr>
          <w:b/>
          <w:bCs/>
        </w:rPr>
        <w:t xml:space="preserve">G</w:t>
      </w:r>
      <w:r>
        <w:t xml:space="preserve">). Esta decisión</w:t>
      </w:r>
      <w:r>
        <w:t xml:space="preserve"> </w:t>
      </w:r>
      <w:r>
        <w:rPr>
          <w:b/>
          <w:bCs/>
        </w:rPr>
        <w:t xml:space="preserve">no</w:t>
      </w:r>
      <w:r>
        <w:t xml:space="preserve"> </w:t>
      </w:r>
      <w:r>
        <w:t xml:space="preserve">pretende armonizar el derecho penal/estupefacientes ni sustituir regímenes sectoriales de producto final (Sección</w:t>
      </w:r>
      <w:r>
        <w:t xml:space="preserve"> </w:t>
      </w:r>
      <w:r>
        <w:rPr>
          <w:b/>
          <w:bCs/>
        </w:rPr>
        <w:t xml:space="preserve">3</w:t>
      </w:r>
      <w:r>
        <w:t xml:space="preserve">).</w:t>
      </w:r>
    </w:p>
    <w:p>
      <w:pPr>
        <w:pStyle w:val="BodyText"/>
      </w:pPr>
      <w:r>
        <w:rPr>
          <w:b/>
          <w:bCs/>
        </w:rPr>
        <w:t xml:space="preserve">Por qué 1% es el cierre más coherente</w:t>
      </w:r>
      <w:r>
        <w:t xml:space="preserve"> </w:t>
      </w:r>
      <w:r>
        <w:t xml:space="preserve">(con trazabilidad completa en anexos):</w:t>
      </w:r>
    </w:p>
    <w:p>
      <w:pPr>
        <w:pStyle w:val="Compact"/>
        <w:numPr>
          <w:ilvl w:val="0"/>
          <w:numId w:val="1083"/>
        </w:numPr>
      </w:pPr>
      <w:r>
        <w:rPr>
          <w:b/>
          <w:bCs/>
        </w:rPr>
        <w:t xml:space="preserve">Origen real de 0,3/0,5</w:t>
      </w:r>
      <w:r>
        <w:t xml:space="preserve">: ambos valores entran en el sistema por razones</w:t>
      </w:r>
      <w:r>
        <w:t xml:space="preserve"> </w:t>
      </w:r>
      <w:r>
        <w:rPr>
          <w:b/>
          <w:bCs/>
        </w:rPr>
        <w:t xml:space="preserve">históricas</w:t>
      </w:r>
      <w:r>
        <w:t xml:space="preserve"> </w:t>
      </w:r>
      <w:r>
        <w:t xml:space="preserve">(taxonomía y administración agraria) y no fueron concebidos como umbrales modernos de “riesgo” o “intoxicación” (Anexo</w:t>
      </w:r>
      <w:r>
        <w:t xml:space="preserve"> </w:t>
      </w:r>
      <w:r>
        <w:rPr>
          <w:b/>
          <w:bCs/>
        </w:rPr>
        <w:t xml:space="preserve">A</w:t>
      </w:r>
      <w:r>
        <w:t xml:space="preserve">).</w:t>
      </w:r>
    </w:p>
    <w:p>
      <w:pPr>
        <w:pStyle w:val="Compact"/>
        <w:numPr>
          <w:ilvl w:val="0"/>
          <w:numId w:val="1083"/>
        </w:numPr>
      </w:pPr>
      <w:r>
        <w:rPr>
          <w:b/>
          <w:bCs/>
        </w:rPr>
        <w:t xml:space="preserve">Abuse liability realista</w:t>
      </w:r>
      <w:r>
        <w:t xml:space="preserve">: un número en</w:t>
      </w:r>
      <w:r>
        <w:t xml:space="preserve"> </w:t>
      </w:r>
      <w:r>
        <w:rPr>
          <w:b/>
          <w:bCs/>
        </w:rPr>
        <w:t xml:space="preserve">% en planta</w:t>
      </w:r>
      <w:r>
        <w:t xml:space="preserve"> </w:t>
      </w:r>
      <w:r>
        <w:t xml:space="preserve">no puede tratarse como sinónimo de intoxicación; la cadena causal correcta exige separar contenido nominal de</w:t>
      </w:r>
      <w:r>
        <w:t xml:space="preserve"> </w:t>
      </w:r>
      <w:r>
        <w:rPr>
          <w:b/>
          <w:bCs/>
        </w:rPr>
        <w:t xml:space="preserve">dosis sistémica</w:t>
      </w:r>
      <w:r>
        <w:t xml:space="preserve"> </w:t>
      </w:r>
      <w:r>
        <w:t xml:space="preserve">y de</w:t>
      </w:r>
      <w:r>
        <w:t xml:space="preserve"> </w:t>
      </w:r>
      <w:r>
        <w:rPr>
          <w:b/>
          <w:bCs/>
        </w:rPr>
        <w:t xml:space="preserve">impairment</w:t>
      </w:r>
      <w:r>
        <w:t xml:space="preserve">. La evidencia humana y la cuantificación del escenario “</w:t>
      </w:r>
      <w:r>
        <w:rPr>
          <w:b/>
          <w:bCs/>
        </w:rPr>
        <w:t xml:space="preserve">porro 1%</w:t>
      </w:r>
      <w:r>
        <w:t xml:space="preserve">” apoyan un enfoque de factibilidad práctica bajo uso razonablemente esperado (Sección</w:t>
      </w:r>
      <w:r>
        <w:t xml:space="preserve"> </w:t>
      </w:r>
      <w:r>
        <w:rPr>
          <w:b/>
          <w:bCs/>
        </w:rPr>
        <w:t xml:space="preserve">6</w:t>
      </w:r>
      <w:r>
        <w:t xml:space="preserve">; Anexos</w:t>
      </w:r>
      <w:r>
        <w:t xml:space="preserve"> </w:t>
      </w:r>
      <w:r>
        <w:rPr>
          <w:b/>
          <w:bCs/>
        </w:rPr>
        <w:t xml:space="preserve">B–C</w:t>
      </w:r>
      <w:r>
        <w:t xml:space="preserve">).</w:t>
      </w:r>
    </w:p>
    <w:p>
      <w:pPr>
        <w:pStyle w:val="Compact"/>
        <w:numPr>
          <w:ilvl w:val="0"/>
          <w:numId w:val="1083"/>
        </w:numPr>
      </w:pPr>
      <w:r>
        <w:rPr>
          <w:b/>
          <w:bCs/>
        </w:rPr>
        <w:t xml:space="preserve">Mercado interior y proporcionalidad</w:t>
      </w:r>
      <w:r>
        <w:t xml:space="preserve">: 1% reduce</w:t>
      </w:r>
      <w:r>
        <w:t xml:space="preserve"> </w:t>
      </w:r>
      <w:r>
        <w:rPr>
          <w:b/>
          <w:bCs/>
        </w:rPr>
        <w:t xml:space="preserve">fragmentación</w:t>
      </w:r>
      <w:r>
        <w:t xml:space="preserve">, litigios y pérdidas por</w:t>
      </w:r>
      <w:r>
        <w:t xml:space="preserve"> </w:t>
      </w:r>
      <w:r>
        <w:rPr>
          <w:b/>
          <w:bCs/>
        </w:rPr>
        <w:t xml:space="preserve">“hot crops”</w:t>
      </w:r>
      <w:r>
        <w:t xml:space="preserve">, y refuerza la seguridad jurídica sin renunciar al control oficial (Sección</w:t>
      </w:r>
      <w:r>
        <w:t xml:space="preserve"> </w:t>
      </w:r>
      <w:r>
        <w:rPr>
          <w:b/>
          <w:bCs/>
        </w:rPr>
        <w:t xml:space="preserve">4</w:t>
      </w:r>
      <w:r>
        <w:t xml:space="preserve">; Anexo</w:t>
      </w:r>
      <w:r>
        <w:t xml:space="preserve"> </w:t>
      </w:r>
      <w:r>
        <w:rPr>
          <w:b/>
          <w:bCs/>
        </w:rPr>
        <w:t xml:space="preserve">D</w:t>
      </w:r>
      <w:r>
        <w:t xml:space="preserve">).</w:t>
      </w:r>
    </w:p>
    <w:p>
      <w:pPr>
        <w:pStyle w:val="Compact"/>
        <w:numPr>
          <w:ilvl w:val="0"/>
          <w:numId w:val="1083"/>
        </w:numPr>
      </w:pPr>
      <w:r>
        <w:rPr>
          <w:b/>
          <w:bCs/>
        </w:rPr>
        <w:t xml:space="preserve">Implementación inmediata y controlable</w:t>
      </w:r>
      <w:r>
        <w:t xml:space="preserve">: la propuesta puede apoyarse en el</w:t>
      </w:r>
      <w:r>
        <w:t xml:space="preserve"> </w:t>
      </w:r>
      <w:r>
        <w:rPr>
          <w:b/>
          <w:bCs/>
        </w:rPr>
        <w:t xml:space="preserve">método armonizado UE</w:t>
      </w:r>
      <w:r>
        <w:t xml:space="preserve"> </w:t>
      </w:r>
      <w:r>
        <w:t xml:space="preserve">(Reg. Delegado (UE) 2017/1155, Anexo III), con sus procedimientos de muestreo y tolerancias, evitando re‑inventar el sistema (Sección</w:t>
      </w:r>
      <w:r>
        <w:t xml:space="preserve"> </w:t>
      </w:r>
      <w:r>
        <w:rPr>
          <w:b/>
          <w:bCs/>
        </w:rPr>
        <w:t xml:space="preserve">9</w:t>
      </w:r>
      <w:r>
        <w:t xml:space="preserve">; Anexo</w:t>
      </w:r>
      <w:r>
        <w:t xml:space="preserve"> </w:t>
      </w:r>
      <w:r>
        <w:rPr>
          <w:b/>
          <w:bCs/>
        </w:rPr>
        <w:t xml:space="preserve">G</w:t>
      </w:r>
      <w:r>
        <w:t xml:space="preserve">).</w:t>
      </w:r>
    </w:p>
    <w:p>
      <w:pPr>
        <w:pStyle w:val="Compact"/>
        <w:numPr>
          <w:ilvl w:val="0"/>
          <w:numId w:val="1083"/>
        </w:numPr>
      </w:pPr>
      <w:r>
        <w:rPr>
          <w:b/>
          <w:bCs/>
        </w:rPr>
        <w:t xml:space="preserve">Coherencia comparada y competitividad</w:t>
      </w:r>
      <w:r>
        <w:t xml:space="preserve">: mejora alineación con tendencias internacionales y amplía el pool genético para resiliencia e I+D, reduciendo barreras técnicas cuando proceda (Sección</w:t>
      </w:r>
      <w:r>
        <w:t xml:space="preserve"> </w:t>
      </w:r>
      <w:r>
        <w:rPr>
          <w:b/>
          <w:bCs/>
        </w:rPr>
        <w:t xml:space="preserve">8</w:t>
      </w:r>
      <w:r>
        <w:t xml:space="preserve">; Anexo</w:t>
      </w:r>
      <w:r>
        <w:t xml:space="preserve"> </w:t>
      </w:r>
      <w:r>
        <w:rPr>
          <w:b/>
          <w:bCs/>
        </w:rPr>
        <w:t xml:space="preserve">E</w:t>
      </w:r>
      <w:r>
        <w:t xml:space="preserve">).</w:t>
      </w:r>
    </w:p>
    <w:p>
      <w:pPr>
        <w:pStyle w:val="FirstParagraph"/>
      </w:pPr>
      <w:r>
        <w:rPr>
          <w:b/>
          <w:bCs/>
        </w:rPr>
        <w:t xml:space="preserve">Recomendación final</w:t>
      </w:r>
      <w:r>
        <w:t xml:space="preserve">: adoptar las enmiendas nucleares de la</w:t>
      </w:r>
      <w:r>
        <w:t xml:space="preserve"> </w:t>
      </w:r>
      <w:r>
        <w:rPr>
          <w:b/>
          <w:bCs/>
        </w:rPr>
        <w:t xml:space="preserve">Sección 2</w:t>
      </w:r>
      <w:r>
        <w:t xml:space="preserve"> </w:t>
      </w:r>
      <w:r>
        <w:t xml:space="preserve">(0,3% → 1,0%) y añadir la</w:t>
      </w:r>
      <w:r>
        <w:t xml:space="preserve"> </w:t>
      </w:r>
      <w:r>
        <w:rPr>
          <w:b/>
          <w:bCs/>
        </w:rPr>
        <w:t xml:space="preserve">cláusula técnica mínima</w:t>
      </w:r>
      <w:r>
        <w:t xml:space="preserve"> </w:t>
      </w:r>
      <w:r>
        <w:t xml:space="preserve">de la Sección</w:t>
      </w:r>
      <w:r>
        <w:t xml:space="preserve"> </w:t>
      </w:r>
      <w:r>
        <w:rPr>
          <w:b/>
          <w:bCs/>
        </w:rPr>
        <w:t xml:space="preserve">2.3</w:t>
      </w:r>
      <w:r>
        <w:t xml:space="preserve">, manteniendo las</w:t>
      </w:r>
      <w:r>
        <w:t xml:space="preserve"> </w:t>
      </w:r>
      <w:r>
        <w:rPr>
          <w:b/>
          <w:bCs/>
        </w:rPr>
        <w:t xml:space="preserve">salvaguardas</w:t>
      </w:r>
      <w:r>
        <w:t xml:space="preserve"> </w:t>
      </w:r>
      <w:r>
        <w:t xml:space="preserve">de la Sección</w:t>
      </w:r>
      <w:r>
        <w:t xml:space="preserve"> </w:t>
      </w:r>
      <w:r>
        <w:rPr>
          <w:b/>
          <w:bCs/>
        </w:rPr>
        <w:t xml:space="preserve">9</w:t>
      </w:r>
      <w:r>
        <w:t xml:space="preserve"> </w:t>
      </w:r>
      <w:r>
        <w:t xml:space="preserve">y la separación explícita de ámbitos de la Sección</w:t>
      </w:r>
      <w:r>
        <w:t xml:space="preserve"> </w:t>
      </w:r>
      <w:r>
        <w:rPr>
          <w:b/>
          <w:bCs/>
        </w:rPr>
        <w:t xml:space="preserve">3</w:t>
      </w:r>
      <w:r>
        <w:t xml:space="preserve">. El resultado es un estándar</w:t>
      </w:r>
      <w:r>
        <w:t xml:space="preserve"> </w:t>
      </w:r>
      <w:r>
        <w:rPr>
          <w:b/>
          <w:bCs/>
        </w:rPr>
        <w:t xml:space="preserve">armonizado, operable y defendible</w:t>
      </w:r>
      <w:r>
        <w:t xml:space="preserve"> </w:t>
      </w:r>
      <w:r>
        <w:t xml:space="preserve">para PAC/OCM, con trazabilidad íntegra en los Anexos</w:t>
      </w:r>
      <w:r>
        <w:t xml:space="preserve"> </w:t>
      </w:r>
      <w:r>
        <w:rPr>
          <w:b/>
          <w:bCs/>
        </w:rPr>
        <w:t xml:space="preserve">A–G</w:t>
      </w:r>
      <w:r>
        <w:t xml:space="preserve">.</w:t>
      </w:r>
    </w:p>
    <w:p>
      <w:r>
        <w:pict>
          <v:rect style="width:0;height:1.5pt" o:hralign="center" o:hrstd="t" o:hr="t"/>
        </w:pict>
      </w:r>
    </w:p>
    <w:bookmarkEnd w:id="71"/>
    <w:bookmarkStart w:id="72" w:name="X58162550ab0f7ea1a3bb3d6c029a1b5df02fdcc"/>
    <w:p>
      <w:pPr>
        <w:pStyle w:val="Heading3"/>
      </w:pPr>
      <w:r>
        <w:t xml:space="preserve">12) Referencias (selección mínima en el cuerpo)</w:t>
      </w:r>
    </w:p>
    <w:p>
      <w:pPr>
        <w:pStyle w:val="BlockText"/>
      </w:pPr>
      <w:r>
        <w:t xml:space="preserve">Lista completa y textos largos: Anexo H.</w:t>
      </w:r>
    </w:p>
    <w:p>
      <w:r>
        <w:pict>
          <v:rect style="width:0;height:1.5pt" o:hralign="center" o:hrstd="t" o:hr="t"/>
        </w:pict>
      </w:r>
    </w:p>
    <w:bookmarkEnd w:id="72"/>
    <w:bookmarkStart w:id="81" w:name="Xc27a6cefb93dd9c13bbbecfa701c0c68c33fae3"/>
    <w:p>
      <w:pPr>
        <w:pStyle w:val="Heading3"/>
      </w:pPr>
      <w:r>
        <w:t xml:space="preserve">13) Índice de anexos (documentos ya existentes en este repo)</w:t>
      </w:r>
    </w:p>
    <w:bookmarkStart w:id="73" w:name="X27bd2c960d3c211d63f8ef771ce19d22a74db52"/>
    <w:p>
      <w:pPr>
        <w:pStyle w:val="Heading4"/>
      </w:pPr>
      <w:r>
        <w:t xml:space="preserve">Anexo A — Historia y fuentes primarias (0,3 / 0,5 → 1%)</w:t>
      </w:r>
    </w:p>
    <w:p>
      <w:pPr>
        <w:pStyle w:val="Compact"/>
        <w:numPr>
          <w:ilvl w:val="0"/>
          <w:numId w:val="1084"/>
        </w:numPr>
      </w:pPr>
      <w:r>
        <w:rPr>
          <w:rStyle w:val="VerbatimChar"/>
        </w:rPr>
        <w:t xml:space="preserve">PAPER_REGULACION_HISTORICA_THC_0_3_0_5_HACIA_1pct.md</w:t>
      </w:r>
    </w:p>
    <w:p>
      <w:pPr>
        <w:pStyle w:val="Compact"/>
        <w:numPr>
          <w:ilvl w:val="0"/>
          <w:numId w:val="1084"/>
        </w:numPr>
      </w:pPr>
      <w:r>
        <w:t xml:space="preserve">(Opcional)</w:t>
      </w:r>
      <w:r>
        <w:t xml:space="preserve"> </w:t>
      </w:r>
      <w:r>
        <w:rPr>
          <w:rStyle w:val="VerbatimChar"/>
        </w:rPr>
        <w:t xml:space="preserve">ANEXO_ORIGEN_0_3_0_5_THC_HACIA_1pct.md</w:t>
      </w:r>
      <w:r>
        <w:t xml:space="preserve"> </w:t>
      </w:r>
      <w:r>
        <w:t xml:space="preserve">si se quiere versión “anexo puro” sin cuerpo narrativo.</w:t>
      </w:r>
    </w:p>
    <w:bookmarkEnd w:id="73"/>
    <w:bookmarkStart w:id="74" w:name="X9df64212efbf0c9d9b6f808731ab9d9a304a023"/>
    <w:p>
      <w:pPr>
        <w:pStyle w:val="Heading4"/>
      </w:pPr>
      <w:r>
        <w:t xml:space="preserve">Anexo B — Psicoactividad e inhalación en marco TPD / TFUE (evidencia humana)</w:t>
      </w:r>
    </w:p>
    <w:p>
      <w:pPr>
        <w:pStyle w:val="Compact"/>
        <w:numPr>
          <w:ilvl w:val="0"/>
          <w:numId w:val="1085"/>
        </w:numPr>
      </w:pPr>
      <w:r>
        <w:rPr>
          <w:rStyle w:val="VerbatimChar"/>
        </w:rPr>
        <w:t xml:space="preserve">PAPER_CANAMO_INHALADO_TPD_1pct_THC.md</w:t>
      </w:r>
    </w:p>
    <w:bookmarkEnd w:id="74"/>
    <w:bookmarkStart w:id="75" w:name="Xd55328e4596e6f5017893baef6d85a7f5cc770e"/>
    <w:p>
      <w:pPr>
        <w:pStyle w:val="Heading4"/>
      </w:pPr>
      <w:r>
        <w:t xml:space="preserve">Anexo C — “Porro 1%”: THC nominal vs dosis sistémica (abuse liability cuantificada)</w:t>
      </w:r>
    </w:p>
    <w:p>
      <w:pPr>
        <w:pStyle w:val="Compact"/>
        <w:numPr>
          <w:ilvl w:val="0"/>
          <w:numId w:val="1086"/>
        </w:numPr>
      </w:pPr>
      <w:r>
        <w:rPr>
          <w:rStyle w:val="VerbatimChar"/>
        </w:rPr>
        <w:t xml:space="preserve">ARGUMENTARIO_FUMAR_PORRO_1pct_THC.md</w:t>
      </w:r>
    </w:p>
    <w:bookmarkEnd w:id="75"/>
    <w:bookmarkStart w:id="76" w:name="X8bff8390a94f5544822ca83623b109023c61333"/>
    <w:p>
      <w:pPr>
        <w:pStyle w:val="Heading4"/>
      </w:pPr>
      <w:r>
        <w:t xml:space="preserve">Anexo D — PAC/OCM (posición sectorial 0,5% + marketing standards) como base institucional</w:t>
      </w:r>
    </w:p>
    <w:p>
      <w:pPr>
        <w:pStyle w:val="Compact"/>
        <w:numPr>
          <w:ilvl w:val="0"/>
          <w:numId w:val="1087"/>
        </w:numPr>
      </w:pPr>
      <w:r>
        <w:rPr>
          <w:rStyle w:val="VerbatimChar"/>
        </w:rPr>
        <w:t xml:space="preserve">EIHA_PAC_2028_2032.md</w:t>
      </w:r>
    </w:p>
    <w:bookmarkEnd w:id="76"/>
    <w:bookmarkStart w:id="77" w:name="X3c0456e3c06410b1dca3ed0d9df36b033e154f5"/>
    <w:p>
      <w:pPr>
        <w:pStyle w:val="Heading4"/>
      </w:pPr>
      <w:r>
        <w:t xml:space="preserve">Anexo E — Tendencia mundial (jurisdicciones ≥0,5% y bloque 1%)</w:t>
      </w:r>
    </w:p>
    <w:p>
      <w:pPr>
        <w:pStyle w:val="Compact"/>
        <w:numPr>
          <w:ilvl w:val="0"/>
          <w:numId w:val="1088"/>
        </w:numPr>
      </w:pPr>
      <w:r>
        <w:rPr>
          <w:rStyle w:val="VerbatimChar"/>
        </w:rPr>
        <w:t xml:space="preserve">THC_ge_0_5_canamo_mundo.md</w:t>
      </w:r>
    </w:p>
    <w:bookmarkEnd w:id="77"/>
    <w:bookmarkStart w:id="78" w:name="X44354b3b63646feb5089d4b61876822ac207b16"/>
    <w:p>
      <w:pPr>
        <w:pStyle w:val="Heading4"/>
      </w:pPr>
      <w:r>
        <w:t xml:space="preserve">Anexo F — Texto legislativo comparado (tabla de enmiendas)</w:t>
      </w:r>
    </w:p>
    <w:p>
      <w:pPr>
        <w:pStyle w:val="Compact"/>
        <w:numPr>
          <w:ilvl w:val="0"/>
          <w:numId w:val="1089"/>
        </w:numPr>
      </w:pPr>
      <w:r>
        <w:t xml:space="preserve">(A preparar) Extractos de</w:t>
      </w:r>
      <w:r>
        <w:t xml:space="preserve"> </w:t>
      </w:r>
      <w:r>
        <w:rPr>
          <w:rStyle w:val="VerbatimChar"/>
        </w:rPr>
        <w:t xml:space="preserve">Regulaciones_Europa/COM_2025_553_OCM_Modificacion.md</w:t>
      </w:r>
      <w:r>
        <w:t xml:space="preserve">,</w:t>
      </w:r>
      <w:r>
        <w:t xml:space="preserve"> </w:t>
      </w:r>
      <w:r>
        <w:rPr>
          <w:rStyle w:val="VerbatimChar"/>
        </w:rPr>
        <w:t xml:space="preserve">Regulaciones_Europa/COM_2025_560_PAC_2028_2034.md</w:t>
      </w:r>
      <w:r>
        <w:t xml:space="preserve"> </w:t>
      </w:r>
      <w:r>
        <w:t xml:space="preserve">y sus anexos, en tabla “Commission proposal / Suggested amendment”.</w:t>
      </w:r>
    </w:p>
    <w:bookmarkEnd w:id="78"/>
    <w:bookmarkStart w:id="79" w:name="Xb8634db04a36401394e8b8bbd141810d92f72ac"/>
    <w:p>
      <w:pPr>
        <w:pStyle w:val="Heading4"/>
      </w:pPr>
      <w:r>
        <w:t xml:space="preserve">Anexo G — Método analítico UE y notas técnicas de muestreo/tolerancias</w:t>
      </w:r>
    </w:p>
    <w:p>
      <w:pPr>
        <w:pStyle w:val="Compact"/>
        <w:numPr>
          <w:ilvl w:val="0"/>
          <w:numId w:val="1090"/>
        </w:numPr>
      </w:pPr>
      <w:r>
        <w:rPr>
          <w:rStyle w:val="VerbatimChar"/>
        </w:rPr>
        <w:t xml:space="preserve">Regulaciones_Europa/REG_2017_1155_Metodo_Analisis_THC_Anexo_III.md</w:t>
      </w:r>
    </w:p>
    <w:p>
      <w:pPr>
        <w:pStyle w:val="Compact"/>
        <w:numPr>
          <w:ilvl w:val="0"/>
          <w:numId w:val="1090"/>
        </w:numPr>
      </w:pPr>
      <w:r>
        <w:rPr>
          <w:rStyle w:val="VerbatimChar"/>
        </w:rPr>
        <w:t xml:space="preserve">Regulaciones_Europa/REG_DELEGADO_2017_1155_Metodo_THC_Canamo.md</w:t>
      </w:r>
    </w:p>
    <w:p>
      <w:pPr>
        <w:pStyle w:val="Compact"/>
        <w:numPr>
          <w:ilvl w:val="0"/>
          <w:numId w:val="1090"/>
        </w:numPr>
      </w:pPr>
      <w:r>
        <w:t xml:space="preserve">(Otros anexos técnicos si se usan en el texto final)</w:t>
      </w:r>
    </w:p>
    <w:bookmarkEnd w:id="79"/>
    <w:bookmarkStart w:id="80" w:name="Xf694b471adffdabf78782ca9e11c9d37038dedc"/>
    <w:p>
      <w:pPr>
        <w:pStyle w:val="Heading4"/>
      </w:pPr>
      <w:r>
        <w:t xml:space="preserve">Anexo H — Banco de citas y bibliografía (solo fuentes primarias / papers clave)</w:t>
      </w:r>
    </w:p>
    <w:p>
      <w:pPr>
        <w:pStyle w:val="Compact"/>
        <w:numPr>
          <w:ilvl w:val="0"/>
          <w:numId w:val="1091"/>
        </w:numPr>
      </w:pPr>
      <w:r>
        <w:t xml:space="preserve">(A preparar) Extractos de EFSA/UNODC/estudios humanos citados en</w:t>
      </w:r>
      <w:r>
        <w:t xml:space="preserve"> </w:t>
      </w:r>
      <w:r>
        <w:rPr>
          <w:rStyle w:val="VerbatimChar"/>
        </w:rPr>
        <w:t xml:space="preserve">PAPER_CANAMO_INHALADO_TPD_1pct_THC.md</w:t>
      </w:r>
      <w:r>
        <w:t xml:space="preserve"> </w:t>
      </w:r>
      <w:r>
        <w:t xml:space="preserve">+ Farmacopea EU (</w:t>
      </w:r>
      <w:r>
        <w:rPr>
          <w:rStyle w:val="VerbatimChar"/>
        </w:rPr>
        <w:t xml:space="preserve">Farmacopea_EU_3028_Cannabis_flos.md</w:t>
      </w:r>
      <w:r>
        <w:t xml:space="preserve">) + jurisprudencia.</w:t>
      </w:r>
    </w:p>
    <w:p>
      <w:r>
        <w:pict>
          <v:rect style="width:0;height:1.5pt" o:hralign="center" o:hrstd="t" o:hr="t"/>
        </w:pict>
      </w:r>
    </w:p>
    <w:bookmarkEnd w:id="80"/>
    <w:bookmarkEnd w:id="81"/>
    <w:bookmarkStart w:id="82" w:name="X7629c3cd10631a5f96fa4d9002520dd42a8896a"/>
    <w:p>
      <w:pPr>
        <w:pStyle w:val="Heading3"/>
      </w:pPr>
      <w:r>
        <w:t xml:space="preserve">14) Checklist editorial (para cerrar en versión 1.0)</w:t>
      </w:r>
    </w:p>
    <w:p>
      <w:pPr>
        <w:pStyle w:val="Compact"/>
        <w:numPr>
          <w:ilvl w:val="0"/>
          <w:numId w:val="1092"/>
        </w:numPr>
      </w:pPr>
      <w:r>
        <w:rPr>
          <w:b/>
          <w:bCs/>
        </w:rPr>
        <w:t xml:space="preserve">Consistencia técnica</w:t>
      </w:r>
      <w:r>
        <w:t xml:space="preserve">: definir una sola convención de THC (Δ9 vs total) y aplicarla en todo el documento (Sección 3 + Anexo G).</w:t>
      </w:r>
    </w:p>
    <w:p>
      <w:pPr>
        <w:pStyle w:val="Compact"/>
        <w:numPr>
          <w:ilvl w:val="0"/>
          <w:numId w:val="1092"/>
        </w:numPr>
      </w:pPr>
      <w:r>
        <w:rPr>
          <w:b/>
          <w:bCs/>
        </w:rPr>
        <w:t xml:space="preserve">No duplicación</w:t>
      </w:r>
      <w:r>
        <w:t xml:space="preserve">: cada afirmación “fuerte” del cuerpo debe apuntar a un anexo concreto (A–H).</w:t>
      </w:r>
    </w:p>
    <w:p>
      <w:pPr>
        <w:pStyle w:val="Compact"/>
        <w:numPr>
          <w:ilvl w:val="0"/>
          <w:numId w:val="1092"/>
        </w:numPr>
      </w:pPr>
      <w:r>
        <w:rPr>
          <w:b/>
          <w:bCs/>
        </w:rPr>
        <w:t xml:space="preserve">Citas</w:t>
      </w:r>
      <w:r>
        <w:t xml:space="preserve">: si una frase no tiene fuente verificable, se elimina o se mueve a “pendiente de verificación”.</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 PAPER — Umbral 1,0% THC para cáñamo industrial en la nueva PAC (2028–2034) y la OCM (Reg. 1308/2013)</dc:title>
  <dc:creator/>
  <cp:keywords/>
  <dcterms:created xsi:type="dcterms:W3CDTF">2026-01-23T23:45:22Z</dcterms:created>
  <dcterms:modified xsi:type="dcterms:W3CDTF">2026-01-23T23:45:22Z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Instituciones UE (PE/Consejo/Comisión) + autoridades nacionales + sector</vt:lpwstr>
  </property>
  <property fmtid="{D5CDD505-2E9C-101B-9397-08002B2CF9AE}" pid="3" name="date">
    <vt:lpwstr>2026-01-24</vt:lpwstr>
  </property>
  <property fmtid="{D5CDD505-2E9C-101B-9397-08002B2CF9AE}" pid="4" name="status">
    <vt:lpwstr>Esqueleto final (cuerpo + anexos existentes)</vt:lpwstr>
  </property>
  <property fmtid="{D5CDD505-2E9C-101B-9397-08002B2CF9AE}" pid="5" name="version">
    <vt:lpwstr>0.1 (estructura maestra)</vt:lpwstr>
  </property>
</Properties>
</file>