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name="anexos-técnicos-position-paper" w:id="12"/>
    <w:p>
      <w:pPr>
        <w:pStyle w:val="Heading1"/>
      </w:pPr>
      <w:r>
        <w:t xml:space="preserve">TECHNICAL APPENDICES — POSITION PAPER</w:t>
      </w:r>
    </w:p>
    <w:bookmarkStart w:name="X66a494432ae5a7bba20dae3e2ec51d2a611517d" w:id="11"/>
    <w:p>
      <w:pPr>
        <w:pStyle w:val="Heading2"/>
      </w:pPr>
      <w:r>
        <w:t xml:space="preserve">Proposal from the hemp sector for the CAP 2028–2034</w:t>
      </w:r>
    </w:p>
    <w:bookmarkStart w:name="X4e21c70344a2a2158a17670617d1c767a95c163" w:id="10"/>
    <w:p>
      <w:pPr>
        <w:pStyle w:val="Heading3"/>
      </w:pPr>
      <w:r>
        <w:t xml:space="preserve">Alignment with international THC standards</w:t>
      </w:r>
    </w:p>
    <w:p>
      <w:pPr>
        <w:pStyle w:val="FirstParagraph"/>
      </w:pPr>
      <w:r>
        <w:rPr>
          <w:b/>
          <w:bCs/>
        </w:rPr>
        <w:t xml:space="preserve">Cannabis Hub — January 2026</w:t>
      </w:r>
    </w:p>
    <w:p>
      <w:pPr>
        <w:pStyle w:val="BlockText"/>
      </w:pPr>
      <w:r>
        <w:rPr>
          <w:b/>
          <w:bCs/>
        </w:rPr>
        <w:t xml:space="preserve">This document contains the technical annexes to the Position Paper.</w:t>
      </w:r>
      <w:r>
        <w:br/>
      </w:r>
      <w:r>
        <w:t xml:space="preserve">See main document with complete bibliography: </w:t>
      </w:r>
      <w:hyperlink r:id="rId9">
        <w:r>
          <w:rPr>
            <w:rStyle w:val="Hyperlink"/>
          </w:rPr>
          <w:t xml:space="preserve">MAIN_PAPER.md</w:t>
        </w:r>
      </w:hyperlink>
    </w:p>
    <w:p>
      <w:r>
        <w:pict>
          <v:rect style="width:0;height:1.5pt" o:hr="t" o:hrstd="t" o:hralign="center"/>
        </w:pict>
      </w:r>
    </w:p>
    <w:bookmarkEnd w:id="10"/>
    <w:bookmarkEnd w:id="11"/>
    <w:bookmarkEnd w:id="12"/>
    <w:bookmarkStart w:name="anexo" w:id="39"/>
    <w:p>
      <w:pPr>
        <w:pStyle w:val="Heading1"/>
      </w:pPr>
      <w:r>
        <w:t xml:space="preserve">ANNEX</w:t>
      </w:r>
    </w:p>
    <w:bookmarkStart w:name="X90f0a3b90a990766c3e2bf54a7fcdbed20017b4" w:id="19"/>
    <w:p>
      <w:pPr>
        <w:pStyle w:val="Heading2"/>
      </w:pPr>
      <w:r>
        <w:t xml:space="preserve">ANNEX A: PHARMACOKINETIC METHODOLOGY — Safety analysis of inhaled 1% THC hemp</w:t>
      </w:r>
    </w:p>
    <w:p>
      <w:pPr>
        <w:pStyle w:val="FirstParagraph"/>
      </w:pPr>
      <w:r>
        <w:t xml:space="preserve">This section develops the quantitative analysis that supports the conclusion that industrial hemp with 1% THC does not present a potential for abuse by inhalation.</w:t>
      </w:r>
    </w:p>
    <w:bookmarkStart w:name="X11ae4ba18b6ade796f8bc62bf21406068dd1a12" w:id="13"/>
    <w:p>
      <w:pPr>
        <w:pStyle w:val="Heading3"/>
      </w:pPr>
      <w:r>
        <w:t xml:space="preserve">A.1 Toxicological reference framework (EFSA)</w:t>
      </w:r>
    </w:p>
    <w:p>
      <w:pPr>
        <w:pStyle w:val="FirstParagraph"/>
      </w:pPr>
      <w:r>
        <w:t xml:space="preserve">In 2015, the EFSA CONTAM Panel established the following reference values for Δ9-THC:</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10"/>
        <w:gridCol w:w="1788"/>
        <w:gridCol w:w="3321"/>
      </w:tblGrid>
      <w:tr>
        <w:trPr>
          <w:tblHeader w:val="on"/>
        </w:trPr>
        <w:tc>
          <w:tcPr/>
          <w:p>
            <w:pPr>
              <w:pStyle w:val="Compact"/>
            </w:pPr>
            <w:r>
              <w:t xml:space="preserve">Parameter</w:t>
            </w:r>
          </w:p>
        </w:tc>
        <w:tc>
          <w:tcPr/>
          <w:p>
            <w:pPr>
              <w:pStyle w:val="Compact"/>
            </w:pPr>
            <w:r>
              <w:t xml:space="preserve">Value</w:t>
            </w:r>
          </w:p>
        </w:tc>
        <w:tc>
          <w:tcPr/>
          <w:p>
            <w:pPr>
              <w:pStyle w:val="Compact"/>
            </w:pPr>
            <w:r>
              <w:t xml:space="preserve">Meaning</w:t>
            </w:r>
          </w:p>
        </w:tc>
      </w:tr>
      <w:tr>
        <w:tc>
          <w:tcPr/>
          <w:p>
            <w:pPr>
              <w:pStyle w:val="Compact"/>
            </w:pPr>
            <w:r>
              <w:rPr>
                <w:b/>
                <w:bCs/>
              </w:rPr>
              <w:t xml:space="preserve">LOAEL</w:t>
            </w:r>
          </w:p>
        </w:tc>
        <w:tc>
          <w:tcPr/>
          <w:p>
            <w:pPr>
              <w:pStyle w:val="Compact"/>
            </w:pPr>
            <w:r>
              <w:t xml:space="preserve">2.5 mg Δ9-THC/day</w:t>
            </w:r>
          </w:p>
        </w:tc>
        <w:tc>
          <w:tcPr/>
          <w:p>
            <w:pPr>
              <w:pStyle w:val="Compact"/>
            </w:pPr>
            <w:r>
              <w:t xml:space="preserve">Lowest level with observable adverse effects (mood alteration, sedation)</w:t>
            </w:r>
          </w:p>
        </w:tc>
      </w:tr>
      <w:tr>
        <w:tc>
          <w:tcPr/>
          <w:p>
            <w:pPr>
              <w:pStyle w:val="Compact"/>
            </w:pPr>
            <w:r>
              <w:rPr>
                <w:b/>
                <w:bCs/>
              </w:rPr>
              <w:t xml:space="preserve">ARfD</w:t>
            </w:r>
          </w:p>
        </w:tc>
        <w:tc>
          <w:tcPr/>
          <w:p>
            <w:pPr>
              <w:pStyle w:val="Compact"/>
            </w:pPr>
            <w:r>
              <w:t xml:space="preserve">1 µg/kg b.w.</w:t>
            </w:r>
          </w:p>
        </w:tc>
        <w:tc>
          <w:tcPr/>
          <w:p>
            <w:pPr>
              <w:pStyle w:val="Compact"/>
            </w:pPr>
            <w:r>
              <w:t xml:space="preserve">Acute reference dose (applying uncertainty factor ×30)</w:t>
            </w:r>
          </w:p>
        </w:tc>
      </w:tr>
      <w:tr>
        <w:tc>
          <w:tcPr/>
          <w:p>
            <w:pPr>
              <w:pStyle w:val="Compact"/>
            </w:pPr>
            <w:r>
              <w:rPr>
                <w:b/>
                <w:bCs/>
              </w:rPr>
              <w:t xml:space="preserve">“Desired high”</w:t>
            </w:r>
          </w:p>
        </w:tc>
        <w:tc>
          <w:tcPr/>
          <w:p>
            <w:pPr>
              <w:pStyle w:val="Compact"/>
            </w:pPr>
            <w:r>
              <w:t xml:space="preserve">3.1 ± 0.9 mg systemic</w:t>
            </w:r>
          </w:p>
        </w:tc>
        <w:tc>
          <w:tcPr/>
          <w:p>
            <w:pPr>
              <w:pStyle w:val="Compact"/>
            </w:pPr>
            <w:r>
              <w:t xml:space="preserve">Threshold for perceptible psychoactive effects (Perez-Reyes, 1972) [20]</w:t>
            </w:r>
          </w:p>
        </w:tc>
      </w:tr>
    </w:tbl>
    <w:p>
      <w:pPr>
        <w:pStyle w:val="BlockText"/>
      </w:pPr>
      <w:r>
        <w:rPr>
          <w:i/>
          <w:iCs/>
        </w:rPr>
        <w:t xml:space="preserve">Source: EFSA CONTAM Panel (2015) [4], EFSA Journal 13(6):4141</w:t>
      </w:r>
    </w:p>
    <w:bookmarkEnd w:id="13"/>
    <w:bookmarkStart w:name="X25eb318d99511b09dc0dafc1c3adf02e57daec3" w:id="14"/>
    <w:p>
      <w:pPr>
        <w:pStyle w:val="Heading3"/>
      </w:pPr>
      <w:r>
        <w:t xml:space="preserve">A.2 Pharmacokinetic parameters for inhalation</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50"/>
        <w:gridCol w:w="2132"/>
        <w:gridCol w:w="2436"/>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w:t>
            </w:r>
          </w:p>
        </w:tc>
      </w:tr>
      <w:tr>
        <w:tc>
          <w:tcPr/>
          <w:p>
            <w:pPr>
              <w:pStyle w:val="Compact"/>
            </w:pPr>
            <w:r>
              <w:rPr>
                <w:b/>
                <w:bCs/>
              </w:rPr>
              <w:t xml:space="preserve">Transfer to mainstream smoke</w:t>
            </w:r>
          </w:p>
        </w:tc>
        <w:tc>
          <w:tcPr/>
          <w:p>
            <w:pPr>
              <w:pStyle w:val="Compact"/>
            </w:pPr>
            <w:r>
              <w:t xml:space="preserve">12.6% (range 7.2–28.0%)</w:t>
            </w:r>
          </w:p>
        </w:tc>
        <w:tc>
          <w:tcPr/>
          <w:p>
            <w:pPr>
              <w:pStyle w:val="Compact"/>
            </w:pPr>
            <w:r>
              <w:t xml:space="preserve">Sheehan et al. (2019) [13], </w:t>
            </w:r>
            <w:r>
              <w:rPr>
                <w:i/>
                <w:iCs/>
              </w:rPr>
              <w:t xml:space="preserve">J. Anal. Toxicol.</w:t>
            </w:r>
          </w:p>
        </w:tc>
      </w:tr>
      <w:tr>
        <w:tc>
          <w:tcPr/>
          <w:p>
            <w:pPr>
              <w:pStyle w:val="Compact"/>
            </w:pPr>
            <w:r>
              <w:rPr>
                <w:b/>
                <w:bCs/>
              </w:rPr>
              <w:t xml:space="preserve">Pulmonary bioavailability</w:t>
            </w:r>
          </w:p>
        </w:tc>
        <w:tc>
          <w:tcPr/>
          <w:p>
            <w:pPr>
              <w:pStyle w:val="Compact"/>
            </w:pPr>
            <w:r>
              <w:t xml:space="preserve">28.7 ± 8.2% (vs i.v.)</w:t>
            </w:r>
          </w:p>
        </w:tc>
        <w:tc>
          <w:tcPr/>
          <w:p>
            <w:pPr>
              <w:pStyle w:val="Compact"/>
            </w:pPr>
            <w:r>
              <w:t xml:space="preserve">Naef et al. (2004) [14], </w:t>
            </w:r>
            <w:r>
              <w:rPr>
                <w:i/>
                <w:iCs/>
              </w:rPr>
              <w:t xml:space="preserve">J. Pharm. Sci.</w:t>
            </w:r>
          </w:p>
        </w:tc>
      </w:tr>
      <w:tr>
        <w:tc>
          <w:tcPr/>
          <w:p>
            <w:pPr>
              <w:pStyle w:val="Compact"/>
            </w:pPr>
            <w:r>
              <w:rPr>
                <w:b/>
                <w:bCs/>
              </w:rPr>
              <w:t xml:space="preserve">Overall range of bioavailability when smoked</w:t>
            </w:r>
          </w:p>
        </w:tc>
        <w:tc>
          <w:tcPr/>
          <w:p>
            <w:pPr>
              <w:pStyle w:val="Compact"/>
            </w:pPr>
            <w:r>
              <w:t xml:space="preserve">10–35% (mean ~30%)</w:t>
            </w:r>
          </w:p>
        </w:tc>
        <w:tc>
          <w:tcPr/>
          <w:p>
            <w:pPr>
              <w:pStyle w:val="Compact"/>
            </w:pPr>
            <w:r>
              <w:t xml:space="preserve">Grotenhermen (2003) [24], </w:t>
            </w:r>
            <w:r>
              <w:rPr>
                <w:i/>
                <w:iCs/>
              </w:rPr>
              <w:t xml:space="preserve">Clin. Pharmacokinet.</w:t>
            </w:r>
          </w:p>
        </w:tc>
      </w:tr>
    </w:tbl>
    <w:bookmarkEnd w:id="14"/>
    <w:bookmarkStart w:name="X26df7f17c9aa9199d46fa8e28d29303a8f0a991" w:id="15"/>
    <w:p>
      <w:pPr>
        <w:pStyle w:val="Heading3"/>
      </w:pPr>
      <w:r>
        <w:t xml:space="preserve">A.3 Calculation of systemic dose: unfavourable scenario</w:t>
      </w:r>
    </w:p>
    <w:p>
      <w:pPr>
        <w:pStyle w:val="FirstParagraph"/>
      </w:pPr>
      <w:r>
        <w:rPr>
          <w:b/>
          <w:bCs/>
        </w:rPr>
        <w:t xml:space="preserve">Assumption</w:t>
      </w:r>
      <w:r>
        <w:t xml:space="preserve">: Complete combustion of 1 gram of hemp at 1% THC (extreme scenario)</w:t>
      </w:r>
    </w:p>
    <w:tbl>
      <w:tblPr>
        <w:tblW w:w="5000" w:type="pct"/>
        <w:tblStyle w:val="Table"/>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40"/>
        <w:gridCol w:w="2640"/>
        <w:gridCol w:w="2640"/>
      </w:tblGrid>
      <w:tr>
        <w:trPr>
          <w:tblHeader w:val="on"/>
        </w:trPr>
        <w:tc>
          <w:tcPr/>
          <w:p>
            <w:pPr>
              <w:pStyle w:val="Compact"/>
            </w:pPr>
            <w:r>
              <w:t xml:space="preserve">Step</w:t>
            </w:r>
          </w:p>
        </w:tc>
        <w:tc>
          <w:tcPr/>
          <w:p>
            <w:pPr>
              <w:pStyle w:val="Compact"/>
            </w:pPr>
            <w:r>
              <w:t xml:space="preserve">Calculation</w:t>
            </w:r>
          </w:p>
        </w:tc>
        <w:tc>
          <w:tcPr/>
          <w:p>
            <w:pPr>
              <w:pStyle w:val="Compact"/>
            </w:pPr>
            <w:r>
              <w:t xml:space="preserve">Result</w:t>
            </w:r>
          </w:p>
        </w:tc>
      </w:tr>
      <w:tr>
        <w:tc>
          <w:tcPr/>
          <w:p>
            <w:pPr>
              <w:pStyle w:val="Compact"/>
            </w:pPr>
            <w:r>
              <w:t xml:space="preserve">Total THC in material</w:t>
            </w:r>
          </w:p>
        </w:tc>
        <w:tc>
          <w:tcPr/>
          <w:p>
            <w:pPr>
              <w:pStyle w:val="Compact"/>
            </w:pPr>
            <w:r>
              <w:t xml:space="preserve">1,000 mg × 1%</w:t>
            </w:r>
          </w:p>
        </w:tc>
        <w:tc>
          <w:tcPr/>
          <w:p>
            <w:pPr>
              <w:pStyle w:val="Compact"/>
            </w:pPr>
            <w:r>
              <w:rPr>
                <w:b/>
                <w:bCs/>
              </w:rPr>
              <w:t xml:space="preserve">10 mg</w:t>
            </w:r>
          </w:p>
        </w:tc>
      </w:tr>
      <w:tr>
        <w:tc>
          <w:tcPr/>
          <w:p>
            <w:pPr>
              <w:pStyle w:val="Compact"/>
            </w:pPr>
            <w:r>
              <w:t xml:space="preserve">THC transferred to mainstream (12.6%)</w:t>
            </w:r>
          </w:p>
        </w:tc>
        <w:tc>
          <w:tcPr/>
          <w:p>
            <w:pPr>
              <w:pStyle w:val="Compact"/>
            </w:pPr>
            <w:r>
              <w:t xml:space="preserve">10 mg × 0.126</w:t>
            </w:r>
          </w:p>
        </w:tc>
        <w:tc>
          <w:tcPr/>
          <w:p>
            <w:pPr>
              <w:pStyle w:val="Compact"/>
            </w:pPr>
            <w:r>
              <w:rPr>
                <w:b/>
                <w:bCs/>
              </w:rPr>
              <w:t xml:space="preserve">1.26 mg</w:t>
            </w:r>
          </w:p>
        </w:tc>
      </w:tr>
      <w:tr>
        <w:tc>
          <w:tcPr/>
          <w:p>
            <w:pPr>
              <w:pStyle w:val="Compact"/>
            </w:pPr>
            <w:r>
              <w:t xml:space="preserve">THC absorbed systemically (28.7%)</w:t>
            </w:r>
          </w:p>
        </w:tc>
        <w:tc>
          <w:tcPr/>
          <w:p>
            <w:pPr>
              <w:pStyle w:val="Compact"/>
            </w:pPr>
            <w:r>
              <w:t xml:space="preserve">1.26 mg × 0.287</w:t>
            </w:r>
          </w:p>
        </w:tc>
        <w:tc>
          <w:tcPr/>
          <w:p>
            <w:pPr>
              <w:pStyle w:val="Compact"/>
            </w:pPr>
            <w:r>
              <w:rPr>
                <w:b/>
                <w:bCs/>
              </w:rPr>
              <w:t xml:space="preserve">0.36 mg</w:t>
            </w:r>
          </w:p>
        </w:tc>
      </w:tr>
    </w:tbl>
    <w:p>
      <w:pPr>
        <w:pStyle w:val="BodyText"/>
      </w:pPr>
      <w:r>
        <w:rPr>
          <w:b/>
          <w:bCs/>
        </w:rPr>
        <w:t xml:space="preserve">Safety margin vs psychoactive threshold (3.1 mg)</w:t>
      </w:r>
      <w:r>
        <w:t xml:space="preserve">:</w:t>
      </w:r>
    </w:p>
    <w:tbl>
      <w:tblPr>
        <w:tblW w:w="5000" w:type="pct"/>
        <w:tblStyle w:val="Table"/>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40"/>
        <w:gridCol w:w="2640"/>
        <w:gridCol w:w="2640"/>
      </w:tblGrid>
      <w:tr>
        <w:trPr>
          <w:tblHeader w:val="on"/>
        </w:trPr>
        <w:tc>
          <w:tcPr/>
          <w:p>
            <w:pPr>
              <w:pStyle w:val="Compact"/>
            </w:pPr>
            <w:r>
              <w:t xml:space="preserve">Scenario</w:t>
            </w:r>
          </w:p>
        </w:tc>
        <w:tc>
          <w:tcPr/>
          <w:p>
            <w:pPr>
              <w:pStyle w:val="Compact"/>
            </w:pPr>
            <w:r>
              <w:t xml:space="preserve">Systemic THC</w:t>
            </w:r>
          </w:p>
        </w:tc>
        <w:tc>
          <w:tcPr/>
          <w:p>
            <w:pPr>
              <w:pStyle w:val="Compact"/>
            </w:pPr>
            <w:r>
              <w:t xml:space="preserve">Margin vs. </w:t>
            </w:r>
            <w:r>
              <w:t xml:space="preserve">"desired high"</w:t>
            </w:r>
          </w:p>
        </w:tc>
      </w:tr>
      <w:tr>
        <w:tc>
          <w:tcPr/>
          <w:p>
            <w:pPr>
              <w:pStyle w:val="Compact"/>
            </w:pPr>
            <w:r>
              <w:t xml:space="preserve">Conservative (1 g @ 1% THC)</w:t>
            </w:r>
          </w:p>
        </w:tc>
        <w:tc>
          <w:tcPr/>
          <w:p>
            <w:pPr>
              <w:pStyle w:val="Compact"/>
            </w:pPr>
            <w:r>
              <w:t xml:space="preserve">0.36 mg</w:t>
            </w:r>
          </w:p>
        </w:tc>
        <w:tc>
          <w:tcPr/>
          <w:p>
            <w:pPr>
              <w:pStyle w:val="Compact"/>
            </w:pPr>
            <w:r>
              <w:rPr>
                <w:b/>
                <w:bCs/>
              </w:rPr>
              <w:t xml:space="preserve">×8.6</w:t>
            </w:r>
          </w:p>
        </w:tc>
      </w:tr>
      <w:tr>
        <w:tc>
          <w:tcPr/>
          <w:p>
            <w:pPr>
              <w:pStyle w:val="Compact"/>
            </w:pPr>
            <w:r>
              <w:t xml:space="preserve">Typical (0.5g @ 1% THC)</w:t>
            </w:r>
          </w:p>
        </w:tc>
        <w:tc>
          <w:tcPr/>
          <w:p>
            <w:pPr>
              <w:pStyle w:val="Compact"/>
            </w:pPr>
            <w:r>
              <w:t xml:space="preserve">0.18 mg</w:t>
            </w:r>
          </w:p>
        </w:tc>
        <w:tc>
          <w:tcPr/>
          <w:p>
            <w:pPr>
              <w:pStyle w:val="Compact"/>
            </w:pPr>
            <w:r>
              <w:rPr>
                <w:b/>
                <w:bCs/>
              </w:rPr>
              <w:t xml:space="preserve">×17.2</w:t>
            </w:r>
          </w:p>
        </w:tc>
      </w:tr>
      <w:tr>
        <w:tc>
          <w:tcPr/>
          <w:p>
            <w:pPr>
              <w:pStyle w:val="Compact"/>
            </w:pPr>
            <w:r>
              <w:t xml:space="preserve">Worst case (maximum parameters)</w:t>
            </w:r>
          </w:p>
        </w:tc>
        <w:tc>
          <w:tcPr/>
          <w:p>
            <w:pPr>
              <w:pStyle w:val="Compact"/>
            </w:pPr>
            <w:r>
              <w:t xml:space="preserve">0.80 mg</w:t>
            </w:r>
          </w:p>
        </w:tc>
        <w:tc>
          <w:tcPr/>
          <w:p>
            <w:pPr>
              <w:pStyle w:val="Compact"/>
            </w:pPr>
            <w:r>
              <w:rPr>
                <w:b/>
                <w:bCs/>
              </w:rPr>
              <w:t xml:space="preserve">×3.9</w:t>
            </w:r>
          </w:p>
        </w:tc>
      </w:tr>
    </w:tbl>
    <w:p>
      <w:pPr>
        <w:pStyle w:val="BlockText"/>
      </w:pPr>
      <w:r>
        <w:rPr>
          <w:b/>
          <w:bCs/>
        </w:rPr>
        <w:t xml:space="preserve">Quantitative conclusion</w:t>
      </w:r>
      <w:r>
        <w:t xml:space="preserve">: Even in the most unfavourable scenario (1 g complete, transfer and bioavailability parameters at the upper limit), the systemic dose remains almost</w:t>
      </w:r>
      <w:r>
        <w:rPr>
          <w:b/>
          <w:bCs/>
        </w:rPr>
        <w:t xml:space="preserve"> 4 times below </w:t>
      </w:r>
      <w:r>
        <w:t xml:space="preserve">the threshold for perceptible psychoactive effects. In realistic scenarios, the margin exceeds </w:t>
      </w:r>
      <w:r>
        <w:rPr>
          <w:b/>
          <w:bCs/>
        </w:rPr>
        <w:t xml:space="preserve">×8-17</w:t>
      </w:r>
      <w:r>
        <w:t xml:space="preserve">.</w:t>
      </w:r>
    </w:p>
    <w:bookmarkEnd w:id="15"/>
    <w:bookmarkStart w:name="X2407ee22a6a0fff818a805726d2b366f4fd7458" w:id="16"/>
    <w:p>
      <w:pPr>
        <w:pStyle w:val="Heading3"/>
      </w:pPr>
      <w:r>
        <w:t xml:space="preserve">A.4 Direct clinical validation: trials with CBD-dominant cannabis</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0"/>
        <w:gridCol w:w="440"/>
        <w:gridCol w:w="1466"/>
        <w:gridCol w:w="1613"/>
        <w:gridCol w:w="3080"/>
      </w:tblGrid>
      <w:tr>
        <w:trPr>
          <w:tblHeader w:val="on"/>
        </w:trPr>
        <w:tc>
          <w:tcPr/>
          <w:p>
            <w:pPr>
              <w:pStyle w:val="Compact"/>
            </w:pPr>
            <w:r>
              <w:t xml:space="preserve">Study</w:t>
            </w:r>
          </w:p>
        </w:tc>
        <w:tc>
          <w:tcPr/>
          <w:p>
            <w:pPr>
              <w:pStyle w:val="Compact"/>
            </w:pPr>
            <w:r>
              <w:t xml:space="preserve">N</w:t>
            </w:r>
          </w:p>
        </w:tc>
        <w:tc>
          <w:tcPr/>
          <w:p>
            <w:pPr>
              <w:pStyle w:val="Compact"/>
            </w:pPr>
            <w:r>
              <w:t xml:space="preserve">Product</w:t>
            </w:r>
          </w:p>
        </w:tc>
        <w:tc>
          <w:tcPr/>
          <w:p>
            <w:pPr>
              <w:pStyle w:val="Compact"/>
            </w:pPr>
            <w:r>
              <w:t xml:space="preserve">THC dose</w:t>
            </w:r>
          </w:p>
        </w:tc>
        <w:tc>
          <w:tcPr/>
          <w:p>
            <w:pPr>
              <w:pStyle w:val="Compact"/>
            </w:pPr>
            <w:r>
              <w:t xml:space="preserve">Main outcome</w:t>
            </w:r>
          </w:p>
        </w:tc>
      </w:tr>
      <w:tr>
        <w:tc>
          <w:tcPr/>
          <w:p>
            <w:pPr>
              <w:pStyle w:val="Compact"/>
            </w:pPr>
            <w:r>
              <w:rPr>
                <w:b/>
                <w:bCs/>
              </w:rPr>
              <w:t xml:space="preserve">Arkell et al. (2020) </w:t>
            </w:r>
            <w:r>
              <w:t xml:space="preserve">[21], </w:t>
            </w:r>
            <w:r>
              <w:rPr>
                <w:i/>
                <w:iCs/>
              </w:rPr>
              <w:t xml:space="preserve">JAMA</w:t>
            </w:r>
            <w:r>
              <w:t xml:space="preserve"> 324(21):2177</w:t>
            </w:r>
          </w:p>
        </w:tc>
        <w:tc>
          <w:tcPr/>
          <w:p>
            <w:pPr>
              <w:pStyle w:val="Compact"/>
            </w:pPr>
            <w:r>
              <w:t xml:space="preserve">26</w:t>
            </w:r>
          </w:p>
        </w:tc>
        <w:tc>
          <w:tcPr/>
          <w:p>
            <w:pPr>
              <w:pStyle w:val="Compact"/>
            </w:pPr>
            <w:r>
              <w:t xml:space="preserve">CBD-dominant vaporised (&lt;1% THC)</w:t>
            </w:r>
          </w:p>
        </w:tc>
        <w:tc>
          <w:tcPr/>
          <w:p>
            <w:pPr>
              <w:pStyle w:val="Compact"/>
            </w:pPr>
            <w:r>
              <w:t xml:space="preserve">13.75 mg CBD</w:t>
            </w:r>
          </w:p>
        </w:tc>
        <w:tc>
          <w:tcPr/>
          <w:p>
            <w:pPr>
              <w:pStyle w:val="Compact"/>
            </w:pPr>
            <w:r>
              <w:t xml:space="preserve">SDLP (lateral deviation) </w:t>
            </w:r>
            <w:r>
              <w:rPr>
                <w:b/>
                <w:bCs/>
              </w:rPr>
              <w:t xml:space="preserve">no difference vs placebo </w:t>
            </w:r>
            <w:r>
              <w:t xml:space="preserve">at 40-100 min or 240-300 min</w:t>
            </w:r>
          </w:p>
        </w:tc>
      </w:tr>
      <w:tr>
        <w:tc>
          <w:tcPr/>
          <w:p>
            <w:pPr>
              <w:pStyle w:val="Compact"/>
            </w:pPr>
            <w:r>
              <w:rPr>
                <w:b/>
                <w:bCs/>
              </w:rPr>
              <w:t xml:space="preserve">Egloff et al. (2023) </w:t>
            </w:r>
            <w:r>
              <w:t xml:space="preserve">[22], </w:t>
            </w:r>
            <w:r>
              <w:rPr>
                <w:i/>
                <w:iCs/>
              </w:rPr>
              <w:t xml:space="preserve">Int. J. Legal Med.</w:t>
            </w:r>
            <w:r>
              <w:t xml:space="preserve"> 137:1713</w:t>
            </w:r>
          </w:p>
        </w:tc>
        <w:tc>
          <w:tcPr/>
          <w:p>
            <w:pPr>
              <w:pStyle w:val="Compact"/>
            </w:pPr>
            <w:r>
              <w:t xml:space="preserve">27</w:t>
            </w:r>
          </w:p>
        </w:tc>
        <w:tc>
          <w:tcPr/>
          <w:p>
            <w:pPr>
              <w:pStyle w:val="Compact"/>
            </w:pPr>
            <w:r>
              <w:t xml:space="preserve">&lt;1% THC vaporised (Volcano)</w:t>
            </w:r>
          </w:p>
        </w:tc>
        <w:tc>
          <w:tcPr/>
          <w:p>
            <w:pPr>
              <w:pStyle w:val="Compact"/>
            </w:pPr>
            <w:r>
              <w:t xml:space="preserve">1.8 mg / 0.6 mg</w:t>
            </w:r>
          </w:p>
        </w:tc>
        <w:tc>
          <w:tcPr/>
          <w:p>
            <w:pPr>
              <w:pStyle w:val="Compact"/>
            </w:pPr>
            <w:r>
              <w:rPr>
                <w:b/>
                <w:bCs/>
              </w:rPr>
              <w:t xml:space="preserve">0% of participants </w:t>
            </w:r>
            <w:r>
              <w:t xml:space="preserve">reached Swiss legal threshold (2.2 µg/L); </w:t>
            </w:r>
            <w:r>
              <w:rPr>
                <w:b/>
                <w:bCs/>
              </w:rPr>
              <w:t xml:space="preserve">normal </w:t>
            </w:r>
            <w:r>
              <w:t xml:space="preserve">driving </w:t>
            </w:r>
            <w:r>
              <w:rPr>
                <w:b/>
                <w:bCs/>
              </w:rPr>
              <w:t xml:space="preserve">vs placebo</w:t>
            </w:r>
          </w:p>
        </w:tc>
      </w:tr>
      <w:tr>
        <w:tc>
          <w:tcPr/>
          <w:p>
            <w:pPr>
              <w:pStyle w:val="Compact"/>
            </w:pPr>
            <w:r>
              <w:rPr>
                <w:b/>
                <w:bCs/>
              </w:rPr>
              <w:t xml:space="preserve">Spindle et al. (2020) </w:t>
            </w:r>
            <w:r>
              <w:t xml:space="preserve">[23], </w:t>
            </w:r>
            <w:r>
              <w:rPr>
                <w:i/>
                <w:iCs/>
              </w:rPr>
              <w:t xml:space="preserve">Drug Alcohol Depend.</w:t>
            </w:r>
            <w:r>
              <w:t xml:space="preserve"> 211:107937</w:t>
            </w:r>
          </w:p>
        </w:tc>
        <w:tc>
          <w:tcPr/>
          <w:p>
            <w:pPr>
              <w:pStyle w:val="Compact"/>
            </w:pPr>
            <w:r>
              <w:t xml:space="preserve">18</w:t>
            </w:r>
          </w:p>
        </w:tc>
        <w:tc>
          <w:tcPr/>
          <w:p>
            <w:pPr>
              <w:pStyle w:val="Compact"/>
            </w:pPr>
            <w:r>
              <w:t xml:space="preserve">CBD-dominant (100mg CBD + 3.7mg THC)</w:t>
            </w:r>
          </w:p>
        </w:tc>
        <w:tc>
          <w:tcPr/>
          <w:p>
            <w:pPr>
              <w:pStyle w:val="Compact"/>
            </w:pPr>
            <w:r>
              <w:t xml:space="preserve">3.7 mg</w:t>
            </w:r>
          </w:p>
        </w:tc>
        <w:tc>
          <w:tcPr/>
          <w:p>
            <w:pPr>
              <w:pStyle w:val="Compact"/>
            </w:pPr>
            <w:r>
              <w:rPr>
                <w:b/>
                <w:bCs/>
              </w:rPr>
              <w:t xml:space="preserve">No impairment </w:t>
            </w:r>
            <w:r>
              <w:t xml:space="preserve">in DSST, DAT or PASAT vs placebo</w:t>
            </w:r>
          </w:p>
        </w:tc>
      </w:tr>
    </w:tbl>
    <w:bookmarkEnd w:id="16"/>
    <w:bookmarkStart w:name="a.5-efecto-modulador-del-cbd" w:id="17"/>
    <w:p>
      <w:pPr>
        <w:pStyle w:val="Heading3"/>
      </w:pPr>
      <w:r>
        <w:t xml:space="preserve">A.5 Modulating effect of CBD</w:t>
      </w:r>
    </w:p>
    <w:p>
      <w:pPr>
        <w:pStyle w:val="FirstParagraph"/>
      </w:pPr>
      <w:r>
        <w:t xml:space="preserve">Industrial hemp typically has CBD:THC ratios ranging from 2:1 to 17:1. CBD acts as a negative allosteric modulator of the CB1 receptor, reducing the efficacy of THC:</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10"/>
        <w:gridCol w:w="2043"/>
        <w:gridCol w:w="3065"/>
      </w:tblGrid>
      <w:tr>
        <w:trPr>
          <w:tblHeader w:val="on"/>
        </w:trPr>
        <w:tc>
          <w:tcPr/>
          <w:p>
            <w:pPr>
              <w:pStyle w:val="Compact"/>
            </w:pPr>
            <w:r>
              <w:t xml:space="preserve">Mechanism</w:t>
            </w:r>
          </w:p>
        </w:tc>
        <w:tc>
          <w:tcPr/>
          <w:p>
            <w:pPr>
              <w:pStyle w:val="Compact"/>
            </w:pPr>
            <w:r>
              <w:t xml:space="preserve">Effect</w:t>
            </w:r>
          </w:p>
        </w:tc>
        <w:tc>
          <w:tcPr/>
          <w:p>
            <w:pPr>
              <w:pStyle w:val="Compact"/>
            </w:pPr>
            <w:r>
              <w:t xml:space="preserve">Reference</w:t>
            </w:r>
          </w:p>
        </w:tc>
      </w:tr>
      <w:tr>
        <w:tc>
          <w:tcPr/>
          <w:p>
            <w:pPr>
              <w:pStyle w:val="Compact"/>
            </w:pPr>
            <w:r>
              <w:t xml:space="preserve">CB1 allosteric antagonism</w:t>
            </w:r>
          </w:p>
        </w:tc>
        <w:tc>
          <w:tcPr/>
          <w:p>
            <w:pPr>
              <w:pStyle w:val="Compact"/>
            </w:pPr>
            <w:r>
              <w:t xml:space="preserve">Reduces </w:t>
            </w:r>
            <w:r>
              <w:t xml:space="preserve">subjective </w:t>
            </w:r>
            <w:r>
              <w:t xml:space="preserve">"high"</w:t>
            </w:r>
          </w:p>
        </w:tc>
        <w:tc>
          <w:tcPr/>
          <w:p>
            <w:pPr>
              <w:pStyle w:val="Compact"/>
            </w:pPr>
            <w:r>
              <w:t xml:space="preserve">Zuardi et al. (1982) [25]; Dalton et al. (1976) [26]</w:t>
            </w:r>
          </w:p>
        </w:tc>
      </w:tr>
      <w:tr>
        <w:tc>
          <w:tcPr/>
          <w:p>
            <w:pPr>
              <w:pStyle w:val="Compact"/>
            </w:pPr>
            <w:r>
              <w:t xml:space="preserve">CYP2C9 inhibition</w:t>
            </w:r>
          </w:p>
        </w:tc>
        <w:tc>
          <w:tcPr/>
          <w:p>
            <w:pPr>
              <w:pStyle w:val="Compact"/>
            </w:pPr>
            <w:r>
              <w:t xml:space="preserve">Reduces conversion to 11-OH-THC (active metabolite)</w:t>
            </w:r>
          </w:p>
        </w:tc>
        <w:tc>
          <w:tcPr/>
          <w:p>
            <w:pPr>
              <w:pStyle w:val="Compact"/>
            </w:pPr>
            <w:r>
              <w:t xml:space="preserve">WHO (2018) [48]</w:t>
            </w:r>
          </w:p>
        </w:tc>
      </w:tr>
      <w:tr>
        <w:tc>
          <w:tcPr/>
          <w:p>
            <w:pPr>
              <w:pStyle w:val="Compact"/>
            </w:pPr>
            <w:r>
              <w:t xml:space="preserve">Modulation of anxiety</w:t>
            </w:r>
          </w:p>
        </w:tc>
        <w:tc>
          <w:tcPr/>
          <w:p>
            <w:pPr>
              <w:pStyle w:val="Compact"/>
            </w:pPr>
            <w:r>
              <w:t xml:space="preserve">Counteracts THC-induced anxiety</w:t>
            </w:r>
          </w:p>
        </w:tc>
        <w:tc>
          <w:tcPr/>
          <w:p>
            <w:pPr>
              <w:pStyle w:val="Compact"/>
            </w:pPr>
            <w:r>
              <w:t xml:space="preserve">Freeman et al. (2019) [27], </w:t>
            </w:r>
            <w:r>
              <w:rPr>
                <w:i/>
                <w:iCs/>
              </w:rPr>
              <w:t xml:space="preserve">Neurosci. Biobehav. Rev.</w:t>
            </w:r>
          </w:p>
        </w:tc>
      </w:tr>
    </w:tbl>
    <w:p>
      <w:pPr>
        <w:pStyle w:val="BlockText"/>
      </w:pPr>
      <w:r>
        <w:rPr>
          <w:b/>
          <w:bCs/>
        </w:rPr>
        <w:t xml:space="preserve">Implication</w:t>
      </w:r>
      <w:r>
        <w:t xml:space="preserve">: The studies cited in A.4, conducted with CBD-dominant products, already incorporate this modulating effect. Negative results in cognitive/psychomotor impairment reflect the reality of industrial hemp, not isolated THC.</w:t>
      </w:r>
    </w:p>
    <w:bookmarkEnd w:id="17"/>
    <w:bookmarkStart w:name="a.6-conclusión-del-análisis" w:id="18"/>
    <w:p>
      <w:pPr>
        <w:pStyle w:val="Heading3"/>
      </w:pPr>
      <w:r>
        <w:t xml:space="preserve">A.6 Conclusion of the analysis</w:t>
      </w:r>
    </w:p>
    <w:p>
      <w:pPr>
        <w:pStyle w:val="FirstParagraph"/>
      </w:pPr>
      <w:r>
        <w:t xml:space="preserve">The convergence of evidence—quantitative pharmacokinetic analysis and direct clinical trials—demonstrates that:</w:t>
      </w:r>
    </w:p>
    <w:p>
      <w:pPr>
        <w:numPr>
          <w:ilvl w:val="0"/>
          <w:numId w:val="1001"/>
        </w:numPr>
      </w:pPr>
      <w:r>
        <w:rPr>
          <w:b/>
          <w:bCs/>
        </w:rPr>
        <w:t xml:space="preserve">The maximum systemic dose </w:t>
      </w:r>
      <w:r>
        <w:t xml:space="preserve">of THC when smoking 1% hemp (0.36-0.80 mg) is </w:t>
      </w:r>
      <w:r>
        <w:rPr>
          <w:b/>
          <w:bCs/>
        </w:rPr>
        <w:t xml:space="preserve">×4-17 below </w:t>
      </w:r>
      <w:r>
        <w:t xml:space="preserve">the documented psychoactive threshold.</w:t>
      </w:r>
    </w:p>
    <w:p>
      <w:pPr>
        <w:numPr>
          <w:ilvl w:val="0"/>
          <w:numId w:val="1001"/>
        </w:numPr>
      </w:pPr>
      <w:r>
        <w:rPr>
          <w:b/>
          <w:bCs/>
        </w:rPr>
        <w:t xml:space="preserve">Clinical trials </w:t>
      </w:r>
      <w:r>
        <w:t xml:space="preserve">with CBD-dominant products (&lt;1% THC) detect no significant differences from placebo in actual driving, cognitive performance, or psychomotor function.</w:t>
      </w:r>
    </w:p>
    <w:p>
      <w:pPr>
        <w:numPr>
          <w:ilvl w:val="0"/>
          <w:numId w:val="1001"/>
        </w:numPr>
      </w:pPr>
      <w:r>
        <w:rPr>
          <w:b/>
          <w:bCs/>
        </w:rPr>
        <w:t xml:space="preserve">The modulating effect of CBD </w:t>
      </w:r>
      <w:r>
        <w:t xml:space="preserve">present in industrial hemp further reduces any potential impact of residual THC.</w:t>
      </w:r>
    </w:p>
    <w:p>
      <w:pPr>
        <w:pStyle w:val="FirstParagraph"/>
      </w:pPr>
      <w:r>
        <w:t xml:space="preserve">This analysis supports the conclusion that the 1% THC threshold for industrial hemp does not present a realistic risk of abuse by inhalation.</w:t>
      </w:r>
    </w:p>
    <w:p>
      <w:pPr>
        <w:pStyle w:val="BlockText"/>
      </w:pPr>
      <w:r>
        <w:rPr>
          <w:b/>
          <w:bCs/>
        </w:rPr>
        <w:t xml:space="preserve">Note</w:t>
      </w:r>
      <w:r>
        <w:t xml:space="preserve">: The detailed international comparison can be found in </w:t>
      </w:r>
      <w:r>
        <w:rPr>
          <w:b/>
          <w:bCs/>
        </w:rPr>
        <w:t xml:space="preserve">Section 2.3 </w:t>
      </w:r>
      <w:r>
        <w:t xml:space="preserve">of the main document. The full text of the proposed amendments is contained in </w:t>
      </w:r>
      <w:r>
        <w:rPr>
          <w:b/>
          <w:bCs/>
        </w:rPr>
        <w:t xml:space="preserve">Section 3.2</w:t>
      </w:r>
      <w:r>
        <w:t xml:space="preserve">.</w:t>
      </w:r>
    </w:p>
    <w:p>
      <w:r>
        <w:pict>
          <v:rect style="width:0;height:1.5pt" o:hr="t" o:hrstd="t" o:hralign="center"/>
        </w:pict>
      </w:r>
    </w:p>
    <w:bookmarkEnd w:id="18"/>
    <w:bookmarkEnd w:id="19"/>
    <w:bookmarkStart w:name="Xc9a0067c1699c4dcd081f3aff1f86b7eb350d10" w:id="25"/>
    <w:p>
      <w:pPr>
        <w:pStyle w:val="Heading2"/>
      </w:pPr>
      <w:r>
        <w:t xml:space="preserve">ANNEX B: DETAILED AGRONOMIC EVIDENCE — Yield and opportunity cost</w:t>
      </w:r>
    </w:p>
    <w:p>
      <w:pPr>
        <w:pStyle w:val="FirstParagraph"/>
      </w:pPr>
      <w:r>
        <w:t xml:space="preserve">This section elaborates on the scientific evidence supporting the conclusion that the 0.3% THC threshold systematically excludes the most productive varieties.</w:t>
      </w:r>
    </w:p>
    <w:bookmarkStart w:name="X893168af65f8aaf91c0ff3576fcd736ebbdeed0" w:id="20"/>
    <w:p>
      <w:pPr>
        <w:pStyle w:val="Heading3"/>
      </w:pPr>
      <w:r>
        <w:t xml:space="preserve">B.1 Scientific basis: biological mechanisms</w:t>
      </w:r>
    </w:p>
    <w:p>
      <w:pPr>
        <w:pStyle w:val="FirstParagraph"/>
      </w:pPr>
      <w:r>
        <w:t xml:space="preserve">The correlation between cannabinoid content and biomass yield responds to three documented mechanisms:</w:t>
      </w:r>
    </w:p>
    <w:p>
      <w:pPr>
        <w:pStyle w:val="BodyText"/>
      </w:pPr>
      <w:r>
        <w:rPr>
          <w:b/>
          <w:bCs/>
        </w:rPr>
        <w:t xml:space="preserve">1. Selection for compliance = loss of productivity. </w:t>
      </w:r>
      <w:r>
        <w:t xml:space="preserve">Hemp varieties developed to meet ultra-low THC thresholds have sacrificed yield. The Hungarian breeding programme (1994-2019) documented that varieties selected for chemical stability yield</w:t>
      </w:r>
      <w:r>
        <w:rPr>
          <w:b/>
          <w:bCs/>
        </w:rPr>
        <w:t xml:space="preserve"> 10-20% less </w:t>
      </w:r>
      <w:r>
        <w:t xml:space="preserve">than traditional varieties with greater genetic diversity [7,8].</w:t>
      </w:r>
    </w:p>
    <w:p>
      <w:pPr>
        <w:pStyle w:val="BodyText"/>
      </w:pPr>
      <w:r>
        <w:rPr>
          <w:b/>
          <w:bCs/>
        </w:rPr>
        <w:t xml:space="preserve">2. Shared metabolic pathways. </w:t>
      </w:r>
      <w:r>
        <w:t xml:space="preserve">The biosynthesis of cannabinoids and terpenoids shares common precursors. Plants with higher photosynthetic capacity channel surpluses into secondary metabolism, simultaneously producing </w:t>
      </w:r>
      <w:r>
        <w:rPr>
          <w:b/>
          <w:bCs/>
        </w:rPr>
        <w:t xml:space="preserve">more biomass and more cannabinoids </w:t>
      </w:r>
      <w:r>
        <w:t xml:space="preserve">[9].</w:t>
      </w:r>
    </w:p>
    <w:p>
      <w:pPr>
        <w:pStyle w:val="BodyText"/>
      </w:pPr>
      <w:r>
        <w:rPr>
          <w:b/>
          <w:bCs/>
        </w:rPr>
        <w:t xml:space="preserve">3. Extended phenological cycle. </w:t>
      </w:r>
      <w:r>
        <w:t xml:space="preserve">Late-flowering varieties maximise the vegetative period and biomass accumulation, but also express higher pre-harvest THC synthesis [10]. Restricting THC means restricting these high-yielding varieties.</w:t>
      </w:r>
    </w:p>
    <w:bookmarkEnd w:id="20"/>
    <w:bookmarkStart w:name="Xc373ec95744f92cf89ce4518c7b5b8008030e7b" w:id="21"/>
    <w:p>
      <w:pPr>
        <w:pStyle w:val="Heading3"/>
      </w:pPr>
      <w:r>
        <w:t xml:space="preserve">B.2 European evidence: controlled field trials</w:t>
      </w:r>
    </w:p>
    <w:p>
      <w:pPr>
        <w:pStyle w:val="FirstParagraph"/>
      </w:pPr>
      <w:r>
        <w:t xml:space="preserve">Rahemi et al. [6] documented the following results in multi-year trials under European conditions:</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0"/>
        <w:gridCol w:w="1933"/>
        <w:gridCol w:w="1381"/>
        <w:gridCol w:w="2486"/>
        <w:gridCol w:w="1197"/>
      </w:tblGrid>
      <w:tr>
        <w:trPr>
          <w:tblHeader w:val="on"/>
        </w:trPr>
        <w:tc>
          <w:tcPr/>
          <w:p>
            <w:pPr>
              <w:pStyle w:val="Compact"/>
            </w:pPr>
            <w:r>
              <w:t xml:space="preserve">Variety</w:t>
            </w:r>
          </w:p>
        </w:tc>
        <w:tc>
          <w:tcPr/>
          <w:p>
            <w:pPr>
              <w:pStyle w:val="Compact"/>
            </w:pPr>
            <w:r>
              <w:t xml:space="preserve">Reproductive system</w:t>
            </w:r>
          </w:p>
        </w:tc>
        <w:tc>
          <w:tcPr/>
          <w:p>
            <w:pPr>
              <w:pStyle w:val="Compact"/>
            </w:pPr>
            <w:r>
              <w:t xml:space="preserve">Historical THC</w:t>
            </w:r>
          </w:p>
        </w:tc>
        <w:tc>
          <w:tcPr/>
          <w:p>
            <w:pPr>
              <w:pStyle w:val="Compact"/>
            </w:pPr>
            <w:r>
              <w:t xml:space="preserve">Dry stem biomass (t/ha)</w:t>
            </w:r>
          </w:p>
        </w:tc>
        <w:tc>
          <w:tcPr/>
          <w:p>
            <w:pPr>
              <w:pStyle w:val="Compact"/>
            </w:pPr>
            <w:r>
              <w:t xml:space="preserve">Differential</w:t>
            </w:r>
          </w:p>
        </w:tc>
      </w:tr>
      <w:tr>
        <w:tc>
          <w:tcPr/>
          <w:p>
            <w:pPr>
              <w:pStyle w:val="Compact"/>
            </w:pPr>
            <w:r>
              <w:rPr>
                <w:b/>
                <w:bCs/>
              </w:rPr>
              <w:t xml:space="preserve">Carmagnola</w:t>
            </w:r>
          </w:p>
        </w:tc>
        <w:tc>
          <w:tcPr/>
          <w:p>
            <w:pPr>
              <w:pStyle w:val="Compact"/>
            </w:pPr>
            <w:r>
              <w:t xml:space="preserve">Italian Dioica</w:t>
            </w:r>
          </w:p>
        </w:tc>
        <w:tc>
          <w:tcPr/>
          <w:p>
            <w:pPr>
              <w:pStyle w:val="Compact"/>
            </w:pPr>
            <w:r>
              <w:t xml:space="preserve">0.4–0.6%</w:t>
            </w:r>
          </w:p>
        </w:tc>
        <w:tc>
          <w:tcPr/>
          <w:p>
            <w:pPr>
              <w:pStyle w:val="Compact"/>
            </w:pPr>
            <w:r>
              <w:rPr>
                <w:b/>
                <w:bCs/>
              </w:rPr>
              <w:t xml:space="preserve">8.62</w:t>
            </w:r>
          </w:p>
        </w:tc>
        <w:tc>
          <w:tcPr/>
          <w:p>
            <w:pPr>
              <w:pStyle w:val="Compact"/>
            </w:pPr>
            <w:r>
              <w:rPr>
                <w:b/>
                <w:bCs/>
              </w:rPr>
              <w:t xml:space="preserve">+87.4%</w:t>
            </w:r>
          </w:p>
        </w:tc>
      </w:tr>
      <w:tr>
        <w:tc>
          <w:tcPr/>
          <w:p>
            <w:pPr>
              <w:pStyle w:val="Compact"/>
            </w:pPr>
            <w:r>
              <w:t xml:space="preserve">Futura 75</w:t>
            </w:r>
          </w:p>
        </w:tc>
        <w:tc>
          <w:tcPr/>
          <w:p>
            <w:pPr>
              <w:pStyle w:val="Compact"/>
            </w:pPr>
            <w:r>
              <w:t xml:space="preserve">French monoecious</w:t>
            </w:r>
          </w:p>
        </w:tc>
        <w:tc>
          <w:tcPr/>
          <w:p>
            <w:pPr>
              <w:pStyle w:val="Compact"/>
            </w:pPr>
            <w:r>
              <w:t xml:space="preserve">&lt;0.2%</w:t>
            </w:r>
          </w:p>
        </w:tc>
        <w:tc>
          <w:tcPr/>
          <w:p>
            <w:pPr>
              <w:pStyle w:val="Compact"/>
            </w:pPr>
            <w:r>
              <w:t xml:space="preserve">4.60</w:t>
            </w:r>
          </w:p>
        </w:tc>
        <w:tc>
          <w:tcPr/>
          <w:p>
            <w:pPr>
              <w:pStyle w:val="Compact"/>
            </w:pPr>
            <w:r>
              <w:rPr>
                <w:i/>
                <w:iCs/>
              </w:rPr>
              <w:t xml:space="preserve">baseline</w:t>
            </w:r>
          </w:p>
        </w:tc>
      </w:tr>
      <w:tr>
        <w:tc>
          <w:tcPr/>
          <w:p>
            <w:pPr>
              <w:pStyle w:val="Compact"/>
            </w:pPr>
            <w:r>
              <w:t xml:space="preserve">Fedora 17</w:t>
            </w:r>
          </w:p>
        </w:tc>
        <w:tc>
          <w:tcPr/>
          <w:p>
            <w:pPr>
              <w:pStyle w:val="Compact"/>
            </w:pPr>
            <w:r>
              <w:t xml:space="preserve">French Monoica</w:t>
            </w:r>
          </w:p>
        </w:tc>
        <w:tc>
          <w:tcPr/>
          <w:p>
            <w:pPr>
              <w:pStyle w:val="Compact"/>
            </w:pPr>
            <w:r>
              <w:t xml:space="preserve">&lt;0.2%</w:t>
            </w:r>
          </w:p>
        </w:tc>
        <w:tc>
          <w:tcPr/>
          <w:p>
            <w:pPr>
              <w:pStyle w:val="Compact"/>
            </w:pPr>
            <w:r>
              <w:t xml:space="preserve">4.35</w:t>
            </w:r>
          </w:p>
        </w:tc>
        <w:tc>
          <w:tcPr/>
          <w:p>
            <w:pPr>
              <w:pStyle w:val="Compact"/>
            </w:pPr>
            <w:r>
              <w:t xml:space="preserve">-5.4%</w:t>
            </w:r>
          </w:p>
        </w:tc>
      </w:tr>
    </w:tbl>
    <w:p>
      <w:pPr>
        <w:pStyle w:val="BodyText"/>
      </w:pPr>
      <w:r>
        <w:rPr>
          <w:b/>
          <w:bCs/>
        </w:rPr>
        <w:t xml:space="preserve">Carmagnola</w:t>
      </w:r>
      <w:r>
        <w:t xml:space="preserve">, the traditional dioecious variety from Piedmont with a historical THC content of 0.4-0.6%, produces</w:t>
      </w:r>
      <w:r>
        <w:rPr>
          <w:b/>
          <w:bCs/>
        </w:rPr>
        <w:t xml:space="preserve"> 8.62 tonnes per hectare </w:t>
      </w:r>
      <w:r>
        <w:t xml:space="preserve">— almost double that of compliant French monoecious varieties. However, this variety is </w:t>
      </w:r>
      <w:r>
        <w:rPr>
          <w:b/>
          <w:bCs/>
        </w:rPr>
        <w:t xml:space="preserve">functionally excluded from the European market </w:t>
      </w:r>
      <w:r>
        <w:t xml:space="preserve">because it exceeds the 0.3% threshold.</w:t>
      </w:r>
    </w:p>
    <w:p>
      <w:pPr>
        <w:pStyle w:val="BodyText"/>
      </w:pPr>
      <w:r>
        <w:t xml:space="preserve">The Hungarian breeding programme led by Bócsa (1994-2019) further quantified the systematic cost of the monoecious system:</w:t>
      </w:r>
    </w:p>
    <w:p>
      <w:pPr>
        <w:pStyle w:val="BlockText"/>
      </w:pPr>
      <w:r>
        <w:rPr>
          <w:i/>
          <w:iCs/>
        </w:rPr>
        <w:t xml:space="preserve">"All monoecious cultivars yielded 10 to 20% less than dioecious cultivars due to inbreeding depression from self-pollination."</w:t>
      </w:r>
    </w:p>
    <w:p>
      <w:pPr>
        <w:pStyle w:val="FirstParagraph"/>
      </w:pPr>
      <w:r>
        <w:t xml:space="preserve">This 10-20% differential represents the </w:t>
      </w:r>
      <w:r>
        <w:rPr>
          <w:b/>
          <w:bCs/>
        </w:rPr>
        <w:t xml:space="preserve">agronomic price </w:t>
      </w:r>
      <w:r>
        <w:t xml:space="preserve">of the chemical stability required by restrictive thresholds. Europe systematically sacrifices between</w:t>
      </w:r>
      <w:r>
        <w:rPr>
          <w:b/>
          <w:bCs/>
        </w:rPr>
        <w:t xml:space="preserve"> 2-4 tonnes of biomass per hectare </w:t>
      </w:r>
      <w:r>
        <w:t xml:space="preserve">for purely regulatory reasons.</w:t>
      </w:r>
    </w:p>
    <w:bookmarkEnd w:id="21"/>
    <w:bookmarkStart w:name="X5379f3157f78d7000f04cfce4becfed0c605b59" w:id="22"/>
    <w:p>
      <w:pPr>
        <w:pStyle w:val="Heading3"/>
      </w:pPr>
      <w:r>
        <w:t xml:space="preserve">B.3 International benchmarking: Chinese germplasm</w:t>
      </w:r>
    </w:p>
    <w:p>
      <w:pPr>
        <w:pStyle w:val="FirstParagraph"/>
      </w:pPr>
      <w:r>
        <w:t xml:space="preserve">Trials at North Carolina State University with Chinese accessions reveal the magnitude of </w:t>
      </w:r>
      <w:r>
        <w:rPr>
          <w:b/>
          <w:bCs/>
        </w:rPr>
        <w:t xml:space="preserve">the competitive cost </w:t>
      </w:r>
      <w:r>
        <w:t xml:space="preserve">of the European threshold. Halker et al. [5] evaluated fibre varieties under controlled conditions:</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0"/>
        <w:gridCol w:w="2079"/>
        <w:gridCol w:w="2970"/>
        <w:gridCol w:w="1881"/>
      </w:tblGrid>
      <w:tr>
        <w:trPr>
          <w:tblHeader w:val="on"/>
        </w:trPr>
        <w:tc>
          <w:tcPr/>
          <w:p>
            <w:pPr>
              <w:pStyle w:val="Compact"/>
            </w:pPr>
            <w:r>
              <w:t xml:space="preserve">Accession</w:t>
            </w:r>
          </w:p>
        </w:tc>
        <w:tc>
          <w:tcPr/>
          <w:p>
            <w:pPr>
              <w:pStyle w:val="Compact"/>
            </w:pPr>
            <w:r>
              <w:t xml:space="preserve">Documented THC (%)</w:t>
            </w:r>
          </w:p>
        </w:tc>
        <w:tc>
          <w:tcPr/>
          <w:p>
            <w:pPr>
              <w:pStyle w:val="Compact"/>
            </w:pPr>
            <w:r>
              <w:t xml:space="preserve">Dry stalk yield (t/ha)</w:t>
            </w:r>
          </w:p>
        </w:tc>
        <w:tc>
          <w:tcPr/>
          <w:p>
            <w:pPr>
              <w:pStyle w:val="Compact"/>
            </w:pPr>
            <w:r>
              <w:t xml:space="preserve">Ratio vs current EU</w:t>
            </w:r>
          </w:p>
        </w:tc>
      </w:tr>
      <w:tr>
        <w:tc>
          <w:tcPr/>
          <w:p>
            <w:pPr>
              <w:pStyle w:val="Compact"/>
            </w:pPr>
            <w:r>
              <w:rPr>
                <w:b/>
                <w:bCs/>
              </w:rPr>
              <w:t xml:space="preserve">Yuma</w:t>
            </w:r>
          </w:p>
        </w:tc>
        <w:tc>
          <w:tcPr/>
          <w:p>
            <w:pPr>
              <w:pStyle w:val="Compact"/>
            </w:pPr>
            <w:r>
              <w:rPr>
                <w:b/>
                <w:bCs/>
              </w:rPr>
              <w:t xml:space="preserve">0.723</w:t>
            </w:r>
          </w:p>
        </w:tc>
        <w:tc>
          <w:tcPr/>
          <w:p>
            <w:pPr>
              <w:pStyle w:val="Compact"/>
            </w:pPr>
            <w:r>
              <w:rPr>
                <w:b/>
                <w:bCs/>
              </w:rPr>
              <w:t xml:space="preserve">35.1</w:t>
            </w:r>
          </w:p>
        </w:tc>
        <w:tc>
          <w:tcPr/>
          <w:p>
            <w:pPr>
              <w:pStyle w:val="Compact"/>
            </w:pPr>
            <w:r>
              <w:rPr>
                <w:b/>
                <w:bCs/>
              </w:rPr>
              <w:t xml:space="preserve">×7.6</w:t>
            </w:r>
          </w:p>
        </w:tc>
      </w:tr>
      <w:tr>
        <w:tc>
          <w:tcPr/>
          <w:p>
            <w:pPr>
              <w:pStyle w:val="Compact"/>
            </w:pPr>
            <w:r>
              <w:rPr>
                <w:b/>
                <w:bCs/>
              </w:rPr>
              <w:t xml:space="preserve">Bama</w:t>
            </w:r>
          </w:p>
        </w:tc>
        <w:tc>
          <w:tcPr/>
          <w:p>
            <w:pPr>
              <w:pStyle w:val="Compact"/>
            </w:pPr>
            <w:r>
              <w:rPr>
                <w:b/>
                <w:bCs/>
              </w:rPr>
              <w:t xml:space="preserve">0.506</w:t>
            </w:r>
          </w:p>
        </w:tc>
        <w:tc>
          <w:tcPr/>
          <w:p>
            <w:pPr>
              <w:pStyle w:val="Compact"/>
            </w:pPr>
            <w:r>
              <w:rPr>
                <w:b/>
                <w:bCs/>
              </w:rPr>
              <w:t xml:space="preserve">22.3</w:t>
            </w:r>
          </w:p>
        </w:tc>
        <w:tc>
          <w:tcPr/>
          <w:p>
            <w:pPr>
              <w:pStyle w:val="Compact"/>
            </w:pPr>
            <w:r>
              <w:rPr>
                <w:b/>
                <w:bCs/>
              </w:rPr>
              <w:t xml:space="preserve">×4.8</w:t>
            </w:r>
          </w:p>
        </w:tc>
      </w:tr>
      <w:tr>
        <w:tc>
          <w:tcPr/>
          <w:p>
            <w:pPr>
              <w:pStyle w:val="Compact"/>
            </w:pPr>
            <w:r>
              <w:rPr>
                <w:i/>
                <w:iCs/>
              </w:rPr>
              <w:t xml:space="preserve">EU baseline</w:t>
            </w:r>
          </w:p>
        </w:tc>
        <w:tc>
          <w:tcPr/>
          <w:p>
            <w:pPr>
              <w:pStyle w:val="Compact"/>
            </w:pPr>
            <w:r>
              <w:t xml:space="preserve">&lt;0.3</w:t>
            </w:r>
          </w:p>
        </w:tc>
        <w:tc>
          <w:tcPr/>
          <w:p>
            <w:pPr>
              <w:pStyle w:val="Compact"/>
            </w:pPr>
            <w:r>
              <w:t xml:space="preserve">~4.6</w:t>
            </w:r>
          </w:p>
        </w:tc>
        <w:tc>
          <w:tcPr/>
          <w:p>
            <w:pPr>
              <w:pStyle w:val="Compact"/>
            </w:pPr>
            <w:r>
              <w:t xml:space="preserve">—</w:t>
            </w:r>
          </w:p>
        </w:tc>
      </w:tr>
    </w:tbl>
    <w:p>
      <w:pPr>
        <w:pStyle w:val="BodyText"/>
      </w:pPr>
      <w:r>
        <w:t xml:space="preserve">The results are systematic and reproducible: the </w:t>
      </w:r>
      <w:r>
        <w:rPr>
          <w:b/>
          <w:bCs/>
        </w:rPr>
        <w:t xml:space="preserve">Yuma </w:t>
      </w:r>
      <w:r>
        <w:t xml:space="preserve">(0.723% THC) and </w:t>
      </w:r>
      <w:r>
        <w:rPr>
          <w:b/>
          <w:bCs/>
        </w:rPr>
        <w:t xml:space="preserve">Bama </w:t>
      </w:r>
      <w:r>
        <w:t xml:space="preserve">(0.506% THC) </w:t>
      </w:r>
      <w:r>
        <w:t xml:space="preserve">varieties </w:t>
      </w:r>
      <w:r>
        <w:t xml:space="preserve">achieve yields of</w:t>
      </w:r>
      <w:r>
        <w:rPr>
          <w:b/>
          <w:bCs/>
        </w:rPr>
        <w:t xml:space="preserve"> 35.1 and 22.3 t/ha </w:t>
      </w:r>
      <w:r>
        <w:t xml:space="preserve">respectively — between</w:t>
      </w:r>
      <w:r>
        <w:rPr>
          <w:b/>
          <w:bCs/>
        </w:rPr>
        <w:t xml:space="preserve"> 4.8 and 7.6 times higher </w:t>
      </w:r>
      <w:r>
        <w:t xml:space="preserve">than current European varieties.</w:t>
      </w:r>
    </w:p>
    <w:p>
      <w:pPr>
        <w:pStyle w:val="BodyText"/>
      </w:pPr>
      <w:r>
        <w:t xml:space="preserve">Halker et al. [5] concluded that high-yielding Chinese varieties, with THC levels between</w:t>
      </w:r>
      <w:r>
        <w:rPr>
          <w:b/>
          <w:bCs/>
        </w:rPr>
        <w:t xml:space="preserve"> 0.4% and 0.9%</w:t>
      </w:r>
      <w:r>
        <w:t xml:space="preserve">, are </w:t>
      </w:r>
      <w:r>
        <w:rPr>
          <w:b/>
          <w:bCs/>
        </w:rPr>
        <w:t xml:space="preserve">unviable for the European market </w:t>
      </w:r>
      <w:r>
        <w:t xml:space="preserve">under the current threshold of 0.3%. Europe is deliberately foregoing the world's most productive germplasm due to a regulatory restriction without a solid scientific basis.</w:t>
      </w:r>
    </w:p>
    <w:p>
      <w:pPr>
        <w:pStyle w:val="BodyText"/>
      </w:pPr>
      <w:r>
        <w:t xml:space="preserve">The trials by Brym et al. [18] confirmed this pattern: </w:t>
      </w:r>
      <w:r>
        <w:rPr>
          <w:b/>
          <w:bCs/>
        </w:rPr>
        <w:t xml:space="preserve">all high-yielding Chinese varieties exceeded 0.3% </w:t>
      </w:r>
      <w:r>
        <w:t xml:space="preserve">when grown to harvest.</w:t>
      </w:r>
    </w:p>
    <w:bookmarkEnd w:id="22"/>
    <w:bookmarkStart w:name="b.4-cuantificación-del-coste-climático" w:id="23"/>
    <w:p>
      <w:pPr>
        <w:pStyle w:val="Heading3"/>
      </w:pPr>
      <w:r>
        <w:t xml:space="preserve">B.4 Quantification of the climate cost</w:t>
      </w:r>
    </w:p>
    <w:p>
      <w:pPr>
        <w:pStyle w:val="FirstParagraph"/>
      </w:pPr>
      <w:r>
        <w:t xml:space="preserve">Using the standard stoichiometric conversion (1 kg dry biomass = 1.62 kg CO₂ absorbed) [60] and the current area of European hemp (~40,000 ha) [35]:</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2"/>
        <w:gridCol w:w="1092"/>
        <w:gridCol w:w="1820"/>
        <w:gridCol w:w="1820"/>
        <w:gridCol w:w="1183"/>
      </w:tblGrid>
      <w:tr>
        <w:trPr>
          <w:tblHeader w:val="on"/>
        </w:trPr>
        <w:tc>
          <w:tcPr/>
          <w:p>
            <w:pPr>
              <w:pStyle w:val="Compact"/>
            </w:pPr>
            <w:r>
              <w:t xml:space="preserve">Regulatory scenario</w:t>
            </w:r>
          </w:p>
        </w:tc>
        <w:tc>
          <w:tcPr/>
          <w:p>
            <w:pPr>
              <w:pStyle w:val="Compact"/>
            </w:pPr>
            <w:r>
              <w:t xml:space="preserve">Maximum THC</w:t>
            </w:r>
          </w:p>
        </w:tc>
        <w:tc>
          <w:tcPr/>
          <w:p>
            <w:pPr>
              <w:pStyle w:val="Compact"/>
            </w:pPr>
            <w:r>
              <w:t xml:space="preserve">Total annual biomass</w:t>
            </w:r>
          </w:p>
        </w:tc>
        <w:tc>
          <w:tcPr/>
          <w:p>
            <w:pPr>
              <w:pStyle w:val="Compact"/>
            </w:pPr>
            <w:r>
              <w:t xml:space="preserve">Annual CO₂ sequestered</w:t>
            </w:r>
          </w:p>
        </w:tc>
        <w:tc>
          <w:tcPr/>
          <w:p>
            <w:pPr>
              <w:pStyle w:val="Compact"/>
            </w:pPr>
            <w:r>
              <w:t xml:space="preserve">Differential</w:t>
            </w:r>
          </w:p>
        </w:tc>
      </w:tr>
      <w:tr>
        <w:tc>
          <w:tcPr/>
          <w:p>
            <w:pPr>
              <w:pStyle w:val="Compact"/>
            </w:pPr>
            <w:r>
              <w:rPr>
                <w:b/>
                <w:bCs/>
              </w:rPr>
              <w:t xml:space="preserve">EU status quo</w:t>
            </w:r>
          </w:p>
        </w:tc>
        <w:tc>
          <w:tcPr/>
          <w:p>
            <w:pPr>
              <w:pStyle w:val="Compact"/>
            </w:pPr>
            <w:r>
              <w:t xml:space="preserve">0.2-0.3</w:t>
            </w:r>
          </w:p>
        </w:tc>
        <w:tc>
          <w:tcPr/>
          <w:p>
            <w:pPr>
              <w:pStyle w:val="Compact"/>
            </w:pPr>
            <w:r>
              <w:t xml:space="preserve">200,000 t</w:t>
            </w:r>
          </w:p>
        </w:tc>
        <w:tc>
          <w:tcPr/>
          <w:p>
            <w:pPr>
              <w:pStyle w:val="Compact"/>
            </w:pPr>
            <w:r>
              <w:t xml:space="preserve">324,000 t</w:t>
            </w:r>
          </w:p>
        </w:tc>
        <w:tc>
          <w:tcPr/>
          <w:p>
            <w:pPr>
              <w:pStyle w:val="Compact"/>
            </w:pPr>
            <w:r>
              <w:rPr>
                <w:i/>
                <w:iCs/>
              </w:rPr>
              <w:t xml:space="preserve">Baseline</w:t>
            </w:r>
          </w:p>
        </w:tc>
      </w:tr>
      <w:tr>
        <w:tc>
          <w:tcPr/>
          <w:p>
            <w:pPr>
              <w:pStyle w:val="Compact"/>
            </w:pPr>
            <w:r>
              <w:rPr>
                <w:b/>
                <w:bCs/>
              </w:rPr>
              <w:t xml:space="preserve">Carmagnola (historical)</w:t>
            </w:r>
          </w:p>
        </w:tc>
        <w:tc>
          <w:tcPr/>
          <w:p>
            <w:pPr>
              <w:pStyle w:val="Compact"/>
            </w:pPr>
            <w:r>
              <w:t xml:space="preserve">0.5%</w:t>
            </w:r>
          </w:p>
        </w:tc>
        <w:tc>
          <w:tcPr/>
          <w:p>
            <w:pPr>
              <w:pStyle w:val="Compact"/>
            </w:pPr>
            <w:r>
              <w:t xml:space="preserve">344,800 t</w:t>
            </w:r>
          </w:p>
        </w:tc>
        <w:tc>
          <w:tcPr/>
          <w:p>
            <w:pPr>
              <w:pStyle w:val="Compact"/>
            </w:pPr>
            <w:r>
              <w:t xml:space="preserve">558,576 t</w:t>
            </w:r>
          </w:p>
        </w:tc>
        <w:tc>
          <w:tcPr/>
          <w:p>
            <w:pPr>
              <w:pStyle w:val="Compact"/>
            </w:pPr>
            <w:r>
              <w:rPr>
                <w:b/>
                <w:bCs/>
              </w:rPr>
              <w:t xml:space="preserve">+72</w:t>
            </w:r>
          </w:p>
        </w:tc>
      </w:tr>
      <w:tr>
        <w:tc>
          <w:tcPr/>
          <w:p>
            <w:pPr>
              <w:pStyle w:val="Compact"/>
            </w:pPr>
            <w:r>
              <w:rPr>
                <w:b/>
                <w:bCs/>
              </w:rPr>
              <w:t xml:space="preserve">Asian germplasm</w:t>
            </w:r>
          </w:p>
        </w:tc>
        <w:tc>
          <w:tcPr/>
          <w:p>
            <w:pPr>
              <w:pStyle w:val="Compact"/>
            </w:pPr>
            <w:r>
              <w:t xml:space="preserve">0.7-1.0%</w:t>
            </w:r>
          </w:p>
        </w:tc>
        <w:tc>
          <w:tcPr/>
          <w:p>
            <w:pPr>
              <w:pStyle w:val="Compact"/>
            </w:pPr>
            <w:r>
              <w:t xml:space="preserve">1,000,000 t</w:t>
            </w:r>
          </w:p>
        </w:tc>
        <w:tc>
          <w:tcPr/>
          <w:p>
            <w:pPr>
              <w:pStyle w:val="Compact"/>
            </w:pPr>
            <w:r>
              <w:rPr>
                <w:b/>
                <w:bCs/>
              </w:rPr>
              <w:t xml:space="preserve">1,620,000 t</w:t>
            </w:r>
          </w:p>
        </w:tc>
        <w:tc>
          <w:tcPr/>
          <w:p>
            <w:pPr>
              <w:pStyle w:val="Compact"/>
            </w:pPr>
            <w:r>
              <w:rPr>
                <w:b/>
                <w:bCs/>
              </w:rPr>
              <w:t xml:space="preserve">+400%</w:t>
            </w:r>
          </w:p>
        </w:tc>
      </w:tr>
    </w:tbl>
    <w:p>
      <w:pPr>
        <w:pStyle w:val="BodyText"/>
      </w:pPr>
      <w:r>
        <w:rPr>
          <w:b/>
          <w:bCs/>
        </w:rPr>
        <w:t xml:space="preserve">Climate opportunity cost: 1,296,000 tonnes of CO₂ per year not captured.</w:t>
      </w:r>
    </w:p>
    <w:p>
      <w:pPr>
        <w:pStyle w:val="BodyText"/>
      </w:pPr>
      <w:r>
        <w:t xml:space="preserve">To put this figure into context:</w:t>
      </w:r>
    </w:p>
    <w:p>
      <w:pPr>
        <w:pStyle w:val="Compact"/>
        <w:numPr>
          <w:ilvl w:val="0"/>
          <w:numId w:val="1002"/>
        </w:numPr>
      </w:pPr>
      <w:r>
        <w:rPr>
          <w:b/>
          <w:bCs/>
        </w:rPr>
        <w:t xml:space="preserve">Equivalent to the annual emissions </w:t>
      </w:r>
      <w:r>
        <w:t xml:space="preserve">of approximately 300,000 average European cars (assuming ~4 tonnes of CO₂/vehicle/year according to data from the European Environment Agency)</w:t>
      </w:r>
    </w:p>
    <w:p>
      <w:pPr>
        <w:pStyle w:val="Compact"/>
        <w:numPr>
          <w:ilvl w:val="0"/>
          <w:numId w:val="1002"/>
        </w:numPr>
      </w:pPr>
      <w:r>
        <w:rPr>
          <w:b/>
          <w:bCs/>
        </w:rPr>
        <w:t xml:space="preserve">It represents the absorption capacity </w:t>
      </w:r>
      <w:r>
        <w:t xml:space="preserve">of hundreds of thousands of hectares of forest (the rainforest absorbs ~3-4 t CO₂/ha/year).</w:t>
      </w:r>
    </w:p>
    <w:p>
      <w:pPr>
        <w:pStyle w:val="FirstParagraph"/>
      </w:pPr>
      <w:r>
        <w:rPr>
          <w:b/>
          <w:bCs/>
        </w:rPr>
        <w:t xml:space="preserve">The regulatory paradox is clear</w:t>
      </w:r>
      <w:r>
        <w:t xml:space="preserve">: while the EU invests billions in carbon capture technologies, it simultaneously restricts access to plant germplasm that could increase the sequestration efficiency of the hemp sector fivefold </w:t>
      </w:r>
      <w:r>
        <w:rPr>
          <w:b/>
          <w:bCs/>
        </w:rPr>
        <w:t xml:space="preserve">at no additional cost in terms of agricultural land</w:t>
      </w:r>
      <w:r>
        <w:t xml:space="preserve">.</w:t>
      </w:r>
    </w:p>
    <w:bookmarkEnd w:id="23"/>
    <w:bookmarkStart w:name="b.5-conclusión-del-análisis-agronómico" w:id="24"/>
    <w:p>
      <w:pPr>
        <w:pStyle w:val="Heading3"/>
      </w:pPr>
      <w:r>
        <w:t xml:space="preserve">B.5 Conclusion of the agronomic analysis</w:t>
      </w:r>
    </w:p>
    <w:p>
      <w:pPr>
        <w:pStyle w:val="FirstParagraph"/>
      </w:pPr>
      <w:r>
        <w:t xml:space="preserve">Empirical evidence reveals a </w:t>
      </w:r>
      <w:r>
        <w:rPr>
          <w:b/>
          <w:bCs/>
        </w:rPr>
        <w:t xml:space="preserve">fundamental inconsistency </w:t>
      </w:r>
      <w:r>
        <w:t xml:space="preserve">in the European regulatory framework:</w:t>
      </w:r>
    </w:p>
    <w:p>
      <w:pPr>
        <w:pStyle w:val="Compact"/>
        <w:numPr>
          <w:ilvl w:val="0"/>
          <w:numId w:val="1003"/>
        </w:numPr>
      </w:pPr>
      <w:r>
        <w:rPr>
          <w:b/>
          <w:bCs/>
        </w:rPr>
        <w:t xml:space="preserve">Carmagnola </w:t>
      </w:r>
      <w:r>
        <w:t xml:space="preserve">(+87% yield) remains excluded by 0.1-0.3 percentage points of THC</w:t>
      </w:r>
    </w:p>
    <w:p>
      <w:pPr>
        <w:pStyle w:val="Compact"/>
        <w:numPr>
          <w:ilvl w:val="0"/>
          <w:numId w:val="1003"/>
        </w:numPr>
      </w:pPr>
      <w:r>
        <w:rPr>
          <w:b/>
          <w:bCs/>
        </w:rPr>
        <w:t xml:space="preserve">Elite Asian varieties </w:t>
      </w:r>
      <w:r>
        <w:t xml:space="preserve">(×4-7 higher yield) are inaccessible under the current threshold</w:t>
      </w:r>
    </w:p>
    <w:p>
      <w:pPr>
        <w:pStyle w:val="Compact"/>
        <w:numPr>
          <w:ilvl w:val="0"/>
          <w:numId w:val="1003"/>
        </w:numPr>
      </w:pPr>
      <w:r>
        <w:rPr>
          <w:b/>
          <w:bCs/>
        </w:rPr>
        <w:t xml:space="preserve">1,296,000 tonnes of CO₂ per year </w:t>
      </w:r>
      <w:r>
        <w:t xml:space="preserve">are not captured due to regulatory, non-agronomic restrictions</w:t>
      </w:r>
    </w:p>
    <w:p>
      <w:pPr>
        <w:pStyle w:val="FirstParagraph"/>
      </w:pPr>
      <w:r>
        <w:t xml:space="preserve">Hemp varieties with the greatest agronomic and environmental potential consistently exceed 0.5% THC. Elite genetics—both traditional European and Asian—express THC profiles in the 0.4-0.9% range, incompatible with any threshold below 1.0%.</w:t>
      </w:r>
    </w:p>
    <w:p>
      <w:pPr>
        <w:pStyle w:val="BodyText"/>
      </w:pPr>
      <w:r>
        <w:t xml:space="preserve">The central question transcends analytical chemistry: </w:t>
      </w:r>
      <w:r>
        <w:rPr>
          <w:b/>
          <w:bCs/>
        </w:rPr>
        <w:t xml:space="preserve">should European agricultural policy optimise for compliance with arbitrary thresholds or for the maximisation of agronomic, environmental and climate benefits?</w:t>
      </w:r>
    </w:p>
    <w:p>
      <w:r>
        <w:pict>
          <v:rect style="width:0;height:1.5pt" o:hr="t" o:hrstd="t" o:hralign="center"/>
        </w:pict>
      </w:r>
    </w:p>
    <w:bookmarkEnd w:id="24"/>
    <w:bookmarkEnd w:id="25"/>
    <w:bookmarkStart w:name="X1a3a040dbacc2aafc3863d625e41fb10efbecc6" w:id="30"/>
    <w:p>
      <w:pPr>
        <w:pStyle w:val="Heading2"/>
      </w:pPr>
      <w:r>
        <w:t xml:space="preserve">ANNEX C: DETAILED INTERNATIONAL COMPARISON — Jurisdictions with a 1% THC threshold</w:t>
      </w:r>
    </w:p>
    <w:p>
      <w:pPr>
        <w:pStyle w:val="FirstParagraph"/>
      </w:pPr>
      <w:r>
        <w:t xml:space="preserve">This section provides details of the legal frameworks and validity periods of the jurisdictions that operate with a 1% THC threshold, as referenced in Section 2.3.</w:t>
      </w:r>
    </w:p>
    <w:bookmarkStart w:name="c.1-zona-europea-y-espacio-económico" w:id="26"/>
    <w:p>
      <w:pPr>
        <w:pStyle w:val="Heading3"/>
      </w:pPr>
      <w:r>
        <w:t xml:space="preserve">C.1 European Area and Economic Area</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64"/>
        <w:gridCol w:w="1584"/>
        <w:gridCol w:w="1872"/>
        <w:gridCol w:w="1440"/>
        <w:gridCol w:w="2160"/>
      </w:tblGrid>
      <w:tr>
        <w:trPr>
          <w:tblHeader w:val="on"/>
        </w:trPr>
        <w:tc>
          <w:tcPr/>
          <w:p>
            <w:pPr>
              <w:pStyle w:val="Compact"/>
            </w:pPr>
            <w:r>
              <w:t xml:space="preserve">Country</w:t>
            </w:r>
          </w:p>
        </w:tc>
        <w:tc>
          <w:tcPr/>
          <w:p>
            <w:pPr>
              <w:pStyle w:val="Compact"/>
            </w:pPr>
            <w:r>
              <w:t xml:space="preserve">THC limit</w:t>
            </w:r>
          </w:p>
        </w:tc>
        <w:tc>
          <w:tcPr/>
          <w:p>
            <w:pPr>
              <w:pStyle w:val="Compact"/>
            </w:pPr>
            <w:r>
              <w:t xml:space="preserve">Legal framework</w:t>
            </w:r>
          </w:p>
        </w:tc>
        <w:tc>
          <w:tcPr/>
          <w:p>
            <w:pPr>
              <w:pStyle w:val="Compact"/>
            </w:pPr>
            <w:r>
              <w:t xml:space="preserve">Validity</w:t>
            </w:r>
          </w:p>
        </w:tc>
        <w:tc>
          <w:tcPr/>
          <w:p>
            <w:pPr>
              <w:pStyle w:val="Compact"/>
            </w:pPr>
            <w:r>
              <w:t xml:space="preserve">Comments</w:t>
            </w:r>
          </w:p>
        </w:tc>
      </w:tr>
      <w:tr>
        <w:tc>
          <w:tcPr/>
          <w:p>
            <w:pPr>
              <w:pStyle w:val="Compact"/>
            </w:pPr>
            <w:r>
              <w:rPr>
                <w:b/>
                <w:bCs/>
              </w:rPr>
              <w:t xml:space="preserve">Switzerland</w:t>
            </w:r>
          </w:p>
        </w:tc>
        <w:tc>
          <w:tcPr/>
          <w:p>
            <w:pPr>
              <w:pStyle w:val="Compact"/>
            </w:pPr>
            <w:r>
              <w:t xml:space="preserve">1.0</w:t>
            </w:r>
          </w:p>
        </w:tc>
        <w:tc>
          <w:tcPr/>
          <w:p>
            <w:pPr>
              <w:pStyle w:val="Compact"/>
            </w:pPr>
            <w:r>
              <w:t xml:space="preserve">Narcotics Act (LStup)</w:t>
            </w:r>
          </w:p>
        </w:tc>
        <w:tc>
          <w:tcPr/>
          <w:p>
            <w:pPr>
              <w:pStyle w:val="Compact"/>
            </w:pPr>
            <w:r>
              <w:t xml:space="preserve">2011</w:t>
            </w:r>
          </w:p>
        </w:tc>
        <w:tc>
          <w:tcPr/>
          <w:p>
            <w:pPr>
              <w:pStyle w:val="Compact"/>
            </w:pPr>
            <w:r>
              <w:t xml:space="preserve">European pioneer. Has been trading on the EU market for over 10 years without incident.</w:t>
            </w:r>
          </w:p>
        </w:tc>
      </w:tr>
      <w:tr>
        <w:tc>
          <w:tcPr/>
          <w:p>
            <w:pPr>
              <w:pStyle w:val="Compact"/>
            </w:pPr>
            <w:r>
              <w:rPr>
                <w:b/>
                <w:bCs/>
              </w:rPr>
              <w:t xml:space="preserve">Luxembourg</w:t>
            </w:r>
          </w:p>
        </w:tc>
        <w:tc>
          <w:tcPr/>
          <w:p>
            <w:pPr>
              <w:pStyle w:val="Compact"/>
            </w:pPr>
            <w:r>
              <w:t xml:space="preserve">≤1.0%</w:t>
            </w:r>
          </w:p>
        </w:tc>
        <w:tc>
          <w:tcPr/>
          <w:p>
            <w:pPr>
              <w:pStyle w:val="Compact"/>
            </w:pPr>
            <w:r>
              <w:t xml:space="preserve">Tobacco Control Act</w:t>
            </w:r>
          </w:p>
        </w:tc>
        <w:tc>
          <w:tcPr/>
          <w:p>
            <w:pPr>
              <w:pStyle w:val="Compact"/>
            </w:pPr>
            <w:r>
              <w:t xml:space="preserve">2023</w:t>
            </w:r>
          </w:p>
        </w:tc>
        <w:tc>
          <w:tcPr/>
          <w:p>
            <w:pPr>
              <w:pStyle w:val="Compact"/>
            </w:pPr>
            <w:r>
              <w:t xml:space="preserve">EU Member State. Tobacco substitute products registered with EU-CEG.</w:t>
            </w:r>
          </w:p>
        </w:tc>
      </w:tr>
      <w:tr>
        <w:tc>
          <w:tcPr/>
          <w:p>
            <w:pPr>
              <w:pStyle w:val="Compact"/>
            </w:pPr>
            <w:r>
              <w:rPr>
                <w:b/>
                <w:bCs/>
              </w:rPr>
              <w:t xml:space="preserve">Czech Republic</w:t>
            </w:r>
          </w:p>
        </w:tc>
        <w:tc>
          <w:tcPr/>
          <w:p>
            <w:pPr>
              <w:pStyle w:val="Compact"/>
            </w:pPr>
            <w:r>
              <w:t xml:space="preserve">1.0</w:t>
            </w:r>
          </w:p>
        </w:tc>
        <w:tc>
          <w:tcPr/>
          <w:p>
            <w:pPr>
              <w:pStyle w:val="Compact"/>
            </w:pPr>
            <w:r>
              <w:t xml:space="preserve">Act Col. 166/2024</w:t>
            </w:r>
          </w:p>
        </w:tc>
        <w:tc>
          <w:tcPr/>
          <w:p>
            <w:pPr>
              <w:pStyle w:val="Compact"/>
            </w:pPr>
            <w:r>
              <w:t xml:space="preserve">Jan 2025</w:t>
            </w:r>
          </w:p>
        </w:tc>
        <w:tc>
          <w:tcPr/>
          <w:p>
            <w:pPr>
              <w:pStyle w:val="Compact"/>
            </w:pPr>
            <w:r>
              <w:t xml:space="preserve">Bilateral agreements with Uruguay for importation.</w:t>
            </w:r>
          </w:p>
        </w:tc>
      </w:tr>
      <w:tr>
        <w:tc>
          <w:tcPr/>
          <w:p>
            <w:pPr>
              <w:pStyle w:val="Compact"/>
            </w:pPr>
            <w:r>
              <w:rPr>
                <w:b/>
                <w:bCs/>
              </w:rPr>
              <w:t xml:space="preserve">Albania</w:t>
            </w:r>
          </w:p>
        </w:tc>
        <w:tc>
          <w:tcPr/>
          <w:p>
            <w:pPr>
              <w:pStyle w:val="Compact"/>
            </w:pPr>
            <w:r>
              <w:t xml:space="preserve">0.8</w:t>
            </w:r>
          </w:p>
        </w:tc>
        <w:tc>
          <w:tcPr/>
          <w:p>
            <w:pPr>
              <w:pStyle w:val="Compact"/>
            </w:pPr>
            <w:r>
              <w:t xml:space="preserve">Cannabis Law 61/2023 [80]</w:t>
            </w:r>
          </w:p>
        </w:tc>
        <w:tc>
          <w:tcPr/>
          <w:p>
            <w:pPr>
              <w:pStyle w:val="Compact"/>
            </w:pPr>
            <w:r>
              <w:t xml:space="preserve">2023</w:t>
            </w:r>
          </w:p>
        </w:tc>
        <w:tc>
          <w:tcPr/>
          <w:p>
            <w:pPr>
              <w:pStyle w:val="Compact"/>
            </w:pPr>
            <w:r>
              <w:t xml:space="preserve">Industrial hemp.</w:t>
            </w:r>
          </w:p>
        </w:tc>
      </w:tr>
      <w:tr>
        <w:tc>
          <w:tcPr/>
          <w:p>
            <w:pPr>
              <w:pStyle w:val="Compact"/>
            </w:pPr>
            <w:r>
              <w:rPr>
                <w:b/>
                <w:bCs/>
              </w:rPr>
              <w:t xml:space="preserve">Spain</w:t>
            </w:r>
          </w:p>
        </w:tc>
        <w:tc>
          <w:tcPr/>
          <w:p>
            <w:pPr>
              <w:pStyle w:val="Compact"/>
            </w:pPr>
            <w:r>
              <w:t xml:space="preserve">1.0</w:t>
            </w:r>
          </w:p>
        </w:tc>
        <w:tc>
          <w:tcPr/>
          <w:p>
            <w:pPr>
              <w:pStyle w:val="Compact"/>
            </w:pPr>
            <w:r>
              <w:t xml:space="preserve">PNL 161/004332</w:t>
            </w:r>
          </w:p>
        </w:tc>
        <w:tc>
          <w:tcPr/>
          <w:p>
            <w:pPr>
              <w:pStyle w:val="Compact"/>
            </w:pPr>
            <w:r>
              <w:t xml:space="preserve">Jan 2023</w:t>
            </w:r>
          </w:p>
        </w:tc>
        <w:tc>
          <w:tcPr/>
          <w:p>
            <w:pPr>
              <w:pStyle w:val="Compact"/>
            </w:pPr>
            <w:r>
              <w:t xml:space="preserve">Parliamentary mandate pending implementation.</w:t>
            </w:r>
          </w:p>
        </w:tc>
      </w:tr>
      <w:tr>
        <w:tc>
          <w:tcPr/>
          <w:p>
            <w:pPr>
              <w:pStyle w:val="Compact"/>
            </w:pPr>
            <w:r>
              <w:rPr>
                <w:b/>
                <w:bCs/>
              </w:rPr>
              <w:t xml:space="preserve">Germany</w:t>
            </w:r>
          </w:p>
        </w:tc>
        <w:tc>
          <w:tcPr/>
          <w:p>
            <w:pPr>
              <w:pStyle w:val="Compact"/>
            </w:pPr>
            <w:r>
              <w:t xml:space="preserve">1.0</w:t>
            </w:r>
          </w:p>
        </w:tc>
        <w:tc>
          <w:tcPr/>
          <w:p>
            <w:pPr>
              <w:pStyle w:val="Compact"/>
            </w:pPr>
            <w:r>
              <w:t xml:space="preserve">DAB 2020 - Cannabis extractum normatum</w:t>
            </w:r>
          </w:p>
        </w:tc>
        <w:tc>
          <w:tcPr/>
          <w:p>
            <w:pPr>
              <w:pStyle w:val="Compact"/>
            </w:pPr>
            <w:r>
              <w:t xml:space="preserve">Jun 2020</w:t>
            </w:r>
          </w:p>
        </w:tc>
        <w:tc>
          <w:tcPr/>
          <w:p>
            <w:pPr>
              <w:pStyle w:val="Compact"/>
            </w:pPr>
            <w:r>
              <w:t xml:space="preserve">Official monograph defines that below 1% it is not considered medicinal.</w:t>
            </w:r>
          </w:p>
        </w:tc>
      </w:tr>
    </w:tbl>
    <w:bookmarkEnd w:id="26"/>
    <w:bookmarkStart w:name="c.2-bloque-mercosur-y-latinoamérica" w:id="27"/>
    <w:p>
      <w:pPr>
        <w:pStyle w:val="Heading3"/>
      </w:pPr>
      <w:r>
        <w:t xml:space="preserve">C.2 Mercosur and Latin America</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64"/>
        <w:gridCol w:w="1584"/>
        <w:gridCol w:w="1872"/>
        <w:gridCol w:w="1440"/>
        <w:gridCol w:w="2160"/>
      </w:tblGrid>
      <w:tr>
        <w:trPr>
          <w:tblHeader w:val="on"/>
        </w:trPr>
        <w:tc>
          <w:tcPr/>
          <w:p>
            <w:pPr>
              <w:pStyle w:val="Compact"/>
            </w:pPr>
            <w:r>
              <w:t xml:space="preserve">Country</w:t>
            </w:r>
          </w:p>
        </w:tc>
        <w:tc>
          <w:tcPr/>
          <w:p>
            <w:pPr>
              <w:pStyle w:val="Compact"/>
            </w:pPr>
            <w:r>
              <w:t xml:space="preserve">THC limit</w:t>
            </w:r>
          </w:p>
        </w:tc>
        <w:tc>
          <w:tcPr/>
          <w:p>
            <w:pPr>
              <w:pStyle w:val="Compact"/>
            </w:pPr>
            <w:r>
              <w:t xml:space="preserve">Legal framework</w:t>
            </w:r>
          </w:p>
        </w:tc>
        <w:tc>
          <w:tcPr/>
          <w:p>
            <w:pPr>
              <w:pStyle w:val="Compact"/>
            </w:pPr>
            <w:r>
              <w:t xml:space="preserve">Validity</w:t>
            </w:r>
          </w:p>
        </w:tc>
        <w:tc>
          <w:tcPr/>
          <w:p>
            <w:pPr>
              <w:pStyle w:val="Compact"/>
            </w:pPr>
            <w:r>
              <w:t xml:space="preserve">Observations</w:t>
            </w:r>
          </w:p>
        </w:tc>
      </w:tr>
      <w:tr>
        <w:tc>
          <w:tcPr/>
          <w:p>
            <w:pPr>
              <w:pStyle w:val="Compact"/>
            </w:pPr>
            <w:r>
              <w:rPr>
                <w:b/>
                <w:bCs/>
              </w:rPr>
              <w:t xml:space="preserve">Uruguay</w:t>
            </w:r>
          </w:p>
        </w:tc>
        <w:tc>
          <w:tcPr/>
          <w:p>
            <w:pPr>
              <w:pStyle w:val="Compact"/>
            </w:pPr>
            <w:r>
              <w:t xml:space="preserve">1.0</w:t>
            </w:r>
          </w:p>
        </w:tc>
        <w:tc>
          <w:tcPr/>
          <w:p>
            <w:pPr>
              <w:pStyle w:val="Compact"/>
            </w:pPr>
            <w:r>
              <w:t xml:space="preserve">Law 19,172 + Decree 372/2014</w:t>
            </w:r>
          </w:p>
        </w:tc>
        <w:tc>
          <w:tcPr/>
          <w:p>
            <w:pPr>
              <w:pStyle w:val="Compact"/>
            </w:pPr>
            <w:r>
              <w:t xml:space="preserve">Dec 2013</w:t>
            </w:r>
          </w:p>
        </w:tc>
        <w:tc>
          <w:tcPr/>
          <w:p>
            <w:pPr>
              <w:pStyle w:val="Compact"/>
            </w:pPr>
            <w:r>
              <w:t xml:space="preserve">Regional pioneer. Active export protocols (MGAP, 2022).</w:t>
            </w:r>
          </w:p>
        </w:tc>
      </w:tr>
      <w:tr>
        <w:tc>
          <w:tcPr/>
          <w:p>
            <w:pPr>
              <w:pStyle w:val="Compact"/>
            </w:pPr>
            <w:r>
              <w:rPr>
                <w:b/>
                <w:bCs/>
              </w:rPr>
              <w:t xml:space="preserve">Argentina</w:t>
            </w:r>
          </w:p>
        </w:tc>
        <w:tc>
          <w:tcPr/>
          <w:p>
            <w:pPr>
              <w:pStyle w:val="Compact"/>
            </w:pPr>
            <w:r>
              <w:t xml:space="preserve">1.0</w:t>
            </w:r>
          </w:p>
        </w:tc>
        <w:tc>
          <w:tcPr/>
          <w:p>
            <w:pPr>
              <w:pStyle w:val="Compact"/>
            </w:pPr>
            <w:r>
              <w:t xml:space="preserve">Law 27,669 + Decree 405/2023</w:t>
            </w:r>
          </w:p>
        </w:tc>
        <w:tc>
          <w:tcPr/>
          <w:p>
            <w:pPr>
              <w:pStyle w:val="Compact"/>
            </w:pPr>
            <w:r>
              <w:t xml:space="preserve">2022</w:t>
            </w:r>
          </w:p>
        </w:tc>
        <w:tc>
          <w:tcPr/>
          <w:p>
            <w:pPr>
              <w:pStyle w:val="Compact"/>
            </w:pPr>
            <w:r>
              <w:t xml:space="preserve">Comprehensive framework for industrial hemp.</w:t>
            </w:r>
          </w:p>
        </w:tc>
      </w:tr>
      <w:tr>
        <w:tc>
          <w:tcPr/>
          <w:p>
            <w:pPr>
              <w:pStyle w:val="Compact"/>
            </w:pPr>
            <w:r>
              <w:rPr>
                <w:b/>
                <w:bCs/>
              </w:rPr>
              <w:t xml:space="preserve">Chile</w:t>
            </w:r>
          </w:p>
        </w:tc>
        <w:tc>
          <w:tcPr/>
          <w:p>
            <w:pPr>
              <w:pStyle w:val="Compact"/>
            </w:pPr>
            <w:r>
              <w:t xml:space="preserve">≤1.0%</w:t>
            </w:r>
          </w:p>
        </w:tc>
        <w:tc>
          <w:tcPr/>
          <w:p>
            <w:pPr>
              <w:pStyle w:val="Compact"/>
            </w:pPr>
            <w:r>
              <w:t xml:space="preserve">Law 20,000 + SAG/ISP criteria</w:t>
            </w:r>
          </w:p>
        </w:tc>
        <w:tc>
          <w:tcPr/>
          <w:p>
            <w:pPr>
              <w:pStyle w:val="Compact"/>
            </w:pPr>
            <w:r>
              <w:t xml:space="preserve">2021</w:t>
            </w:r>
          </w:p>
        </w:tc>
        <w:tc>
          <w:tcPr/>
          <w:p>
            <w:pPr>
              <w:pStyle w:val="Compact"/>
            </w:pPr>
            <w:r>
              <w:t xml:space="preserve">Exclusion from narcotics control.</w:t>
            </w:r>
          </w:p>
        </w:tc>
      </w:tr>
      <w:tr>
        <w:tc>
          <w:tcPr/>
          <w:p>
            <w:pPr>
              <w:pStyle w:val="Compact"/>
            </w:pPr>
            <w:r>
              <w:rPr>
                <w:b/>
                <w:bCs/>
              </w:rPr>
              <w:t xml:space="preserve">Paraguay</w:t>
            </w:r>
          </w:p>
        </w:tc>
        <w:tc>
          <w:tcPr/>
          <w:p>
            <w:pPr>
              <w:pStyle w:val="Compact"/>
            </w:pPr>
            <w:r>
              <w:t xml:space="preserve">≤1.0%</w:t>
            </w:r>
          </w:p>
        </w:tc>
        <w:tc>
          <w:tcPr/>
          <w:p>
            <w:pPr>
              <w:pStyle w:val="Compact"/>
            </w:pPr>
            <w:r>
              <w:t xml:space="preserve">Decree 2725/2019</w:t>
            </w:r>
          </w:p>
        </w:tc>
        <w:tc>
          <w:tcPr/>
          <w:p>
            <w:pPr>
              <w:pStyle w:val="Compact"/>
            </w:pPr>
            <w:r>
              <w:t xml:space="preserve">2019</w:t>
            </w:r>
          </w:p>
        </w:tc>
        <w:tc>
          <w:tcPr/>
          <w:p>
            <w:pPr>
              <w:pStyle w:val="Compact"/>
            </w:pPr>
            <w:r>
              <w:t xml:space="preserve">Industrial hemp.</w:t>
            </w:r>
          </w:p>
        </w:tc>
      </w:tr>
      <w:tr>
        <w:tc>
          <w:tcPr/>
          <w:p>
            <w:pPr>
              <w:pStyle w:val="Compact"/>
            </w:pPr>
            <w:r>
              <w:rPr>
                <w:b/>
                <w:bCs/>
              </w:rPr>
              <w:t xml:space="preserve">Colombia</w:t>
            </w:r>
          </w:p>
        </w:tc>
        <w:tc>
          <w:tcPr/>
          <w:p>
            <w:pPr>
              <w:pStyle w:val="Compact"/>
            </w:pPr>
            <w:r>
              <w:t xml:space="preserve">1.0</w:t>
            </w:r>
          </w:p>
        </w:tc>
        <w:tc>
          <w:tcPr/>
          <w:p>
            <w:pPr>
              <w:pStyle w:val="Compact"/>
            </w:pPr>
            <w:r>
              <w:t xml:space="preserve">Law 1787/2016 + Decree 613/2017</w:t>
            </w:r>
          </w:p>
        </w:tc>
        <w:tc>
          <w:tcPr/>
          <w:p>
            <w:pPr>
              <w:pStyle w:val="Compact"/>
            </w:pPr>
            <w:r>
              <w:t xml:space="preserve">2016-2017</w:t>
            </w:r>
          </w:p>
        </w:tc>
        <w:tc>
          <w:tcPr/>
          <w:p>
            <w:pPr>
              <w:pStyle w:val="Compact"/>
            </w:pPr>
            <w:r>
              <w:t xml:space="preserve">Export powerhouse for CBD derivatives.</w:t>
            </w:r>
          </w:p>
        </w:tc>
      </w:tr>
      <w:tr>
        <w:tc>
          <w:tcPr/>
          <w:p>
            <w:pPr>
              <w:pStyle w:val="Compact"/>
            </w:pPr>
            <w:r>
              <w:rPr>
                <w:b/>
                <w:bCs/>
              </w:rPr>
              <w:t xml:space="preserve">Ecuador</w:t>
            </w:r>
          </w:p>
        </w:tc>
        <w:tc>
          <w:tcPr/>
          <w:p>
            <w:pPr>
              <w:pStyle w:val="Compact"/>
            </w:pPr>
            <w:r>
              <w:t xml:space="preserve">1.0</w:t>
            </w:r>
          </w:p>
        </w:tc>
        <w:tc>
          <w:tcPr/>
          <w:p>
            <w:pPr>
              <w:pStyle w:val="Compact"/>
            </w:pPr>
            <w:r>
              <w:t xml:space="preserve">Ministerial Agreement 109-2020</w:t>
            </w:r>
          </w:p>
        </w:tc>
        <w:tc>
          <w:tcPr/>
          <w:p>
            <w:pPr>
              <w:pStyle w:val="Compact"/>
            </w:pPr>
            <w:r>
              <w:t xml:space="preserve">2020</w:t>
            </w:r>
          </w:p>
        </w:tc>
        <w:tc>
          <w:tcPr/>
          <w:p>
            <w:pPr>
              <w:pStyle w:val="Compact"/>
            </w:pPr>
            <w:r>
              <w:t xml:space="preserve">Non-psychoactive cannabis.</w:t>
            </w:r>
          </w:p>
        </w:tc>
      </w:tr>
      <w:tr>
        <w:tc>
          <w:tcPr/>
          <w:p>
            <w:pPr>
              <w:pStyle w:val="Compact"/>
            </w:pPr>
            <w:r>
              <w:rPr>
                <w:b/>
                <w:bCs/>
              </w:rPr>
              <w:t xml:space="preserve">Peru</w:t>
            </w:r>
          </w:p>
        </w:tc>
        <w:tc>
          <w:tcPr/>
          <w:p>
            <w:pPr>
              <w:pStyle w:val="Compact"/>
            </w:pPr>
            <w:r>
              <w:t xml:space="preserve">1.0</w:t>
            </w:r>
          </w:p>
        </w:tc>
        <w:tc>
          <w:tcPr/>
          <w:p>
            <w:pPr>
              <w:pStyle w:val="Compact"/>
            </w:pPr>
            <w:r>
              <w:t xml:space="preserve">Law 32195</w:t>
            </w:r>
          </w:p>
        </w:tc>
        <w:tc>
          <w:tcPr/>
          <w:p>
            <w:pPr>
              <w:pStyle w:val="Compact"/>
            </w:pPr>
            <w:r>
              <w:t xml:space="preserve">Dec 2024</w:t>
            </w:r>
          </w:p>
        </w:tc>
        <w:tc>
          <w:tcPr/>
          <w:p>
            <w:pPr>
              <w:pStyle w:val="Compact"/>
            </w:pPr>
            <w:r>
              <w:t xml:space="preserve">Industrial hemp.</w:t>
            </w:r>
          </w:p>
        </w:tc>
      </w:tr>
      <w:tr>
        <w:tc>
          <w:tcPr/>
          <w:p>
            <w:pPr>
              <w:pStyle w:val="Compact"/>
            </w:pPr>
            <w:r>
              <w:rPr>
                <w:b/>
                <w:bCs/>
              </w:rPr>
              <w:t xml:space="preserve">Mexico</w:t>
            </w:r>
          </w:p>
        </w:tc>
        <w:tc>
          <w:tcPr/>
          <w:p>
            <w:pPr>
              <w:pStyle w:val="Compact"/>
            </w:pPr>
            <w:r>
              <w:t xml:space="preserve">1.0</w:t>
            </w:r>
          </w:p>
        </w:tc>
        <w:tc>
          <w:tcPr/>
          <w:p>
            <w:pPr>
              <w:pStyle w:val="Compact"/>
            </w:pPr>
            <w:r>
              <w:t xml:space="preserve">General Health Law Art. 245</w:t>
            </w:r>
          </w:p>
        </w:tc>
        <w:tc>
          <w:tcPr/>
          <w:p>
            <w:pPr>
              <w:pStyle w:val="Compact"/>
            </w:pPr>
            <w:r>
              <w:t xml:space="preserve">2017</w:t>
            </w:r>
          </w:p>
        </w:tc>
        <w:tc>
          <w:tcPr/>
          <w:p>
            <w:pPr>
              <w:pStyle w:val="Compact"/>
            </w:pPr>
            <w:r>
              <w:t xml:space="preserve">Industrial products.</w:t>
            </w:r>
          </w:p>
        </w:tc>
      </w:tr>
      <w:tr>
        <w:tc>
          <w:tcPr/>
          <w:p>
            <w:pPr>
              <w:pStyle w:val="Compact"/>
            </w:pPr>
            <w:r>
              <w:rPr>
                <w:b/>
                <w:bCs/>
              </w:rPr>
              <w:t xml:space="preserve">Costa Rica</w:t>
            </w:r>
          </w:p>
        </w:tc>
        <w:tc>
          <w:tcPr/>
          <w:p>
            <w:pPr>
              <w:pStyle w:val="Compact"/>
            </w:pPr>
            <w:r>
              <w:t xml:space="preserve">1.0</w:t>
            </w:r>
          </w:p>
        </w:tc>
        <w:tc>
          <w:tcPr/>
          <w:p>
            <w:pPr>
              <w:pStyle w:val="Compact"/>
            </w:pPr>
            <w:r>
              <w:t xml:space="preserve">Law 10113 + RTCR 515:2024</w:t>
            </w:r>
          </w:p>
        </w:tc>
        <w:tc>
          <w:tcPr/>
          <w:p>
            <w:pPr>
              <w:pStyle w:val="Compact"/>
            </w:pPr>
            <w:r>
              <w:t xml:space="preserve">2022</w:t>
            </w:r>
          </w:p>
        </w:tc>
        <w:tc>
          <w:tcPr/>
          <w:p>
            <w:pPr>
              <w:pStyle w:val="Compact"/>
            </w:pPr>
            <w:r>
              <w:t xml:space="preserve">Complete technical framework.</w:t>
            </w:r>
          </w:p>
        </w:tc>
      </w:tr>
      <w:tr>
        <w:tc>
          <w:tcPr/>
          <w:p>
            <w:pPr>
              <w:pStyle w:val="Compact"/>
            </w:pPr>
            <w:r>
              <w:rPr>
                <w:b/>
                <w:bCs/>
              </w:rPr>
              <w:t xml:space="preserve">Panama</w:t>
            </w:r>
          </w:p>
        </w:tc>
        <w:tc>
          <w:tcPr/>
          <w:p>
            <w:pPr>
              <w:pStyle w:val="Compact"/>
            </w:pPr>
            <w:r>
              <w:t xml:space="preserve">1.0</w:t>
            </w:r>
          </w:p>
        </w:tc>
        <w:tc>
          <w:tcPr/>
          <w:p>
            <w:pPr>
              <w:pStyle w:val="Compact"/>
            </w:pPr>
            <w:r>
              <w:t xml:space="preserve">Law 464</w:t>
            </w:r>
          </w:p>
        </w:tc>
        <w:tc>
          <w:tcPr/>
          <w:p>
            <w:pPr>
              <w:pStyle w:val="Compact"/>
            </w:pPr>
            <w:r>
              <w:t xml:space="preserve">Mar 2025</w:t>
            </w:r>
          </w:p>
        </w:tc>
        <w:tc>
          <w:tcPr/>
          <w:p>
            <w:pPr>
              <w:pStyle w:val="Compact"/>
            </w:pPr>
            <w:r>
              <w:t xml:space="preserve">Industrial hemp.</w:t>
            </w:r>
          </w:p>
        </w:tc>
      </w:tr>
      <w:tr>
        <w:tc>
          <w:tcPr/>
          <w:p>
            <w:pPr>
              <w:pStyle w:val="Compact"/>
            </w:pPr>
            <w:r>
              <w:rPr>
                <w:b/>
                <w:bCs/>
              </w:rPr>
              <w:t xml:space="preserve">Jamaica</w:t>
            </w:r>
          </w:p>
        </w:tc>
        <w:tc>
          <w:tcPr/>
          <w:p>
            <w:pPr>
              <w:pStyle w:val="Compact"/>
            </w:pPr>
            <w:r>
              <w:t xml:space="preserve">≤1.0%</w:t>
            </w:r>
          </w:p>
        </w:tc>
        <w:tc>
          <w:tcPr/>
          <w:p>
            <w:pPr>
              <w:pStyle w:val="Compact"/>
            </w:pPr>
            <w:r>
              <w:t xml:space="preserve">Dangerous Drugs Amendment Act</w:t>
            </w:r>
          </w:p>
        </w:tc>
        <w:tc>
          <w:tcPr/>
          <w:p>
            <w:pPr>
              <w:pStyle w:val="Compact"/>
            </w:pPr>
            <w:r>
              <w:t xml:space="preserve">Apr 2015</w:t>
            </w:r>
          </w:p>
        </w:tc>
        <w:tc>
          <w:tcPr/>
          <w:p>
            <w:pPr>
              <w:pStyle w:val="Compact"/>
            </w:pPr>
            <w:r>
              <w:t xml:space="preserve">Legal definition of hemp.</w:t>
            </w:r>
          </w:p>
        </w:tc>
      </w:tr>
    </w:tbl>
    <w:bookmarkEnd w:id="27"/>
    <w:bookmarkStart w:name="c.3-asia-pacífico-y-áfrica" w:id="28"/>
    <w:p>
      <w:pPr>
        <w:pStyle w:val="Heading3"/>
      </w:pPr>
      <w:r>
        <w:t xml:space="preserve">C.3 Asia-Pacific and Africa</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64"/>
        <w:gridCol w:w="1584"/>
        <w:gridCol w:w="1872"/>
        <w:gridCol w:w="1440"/>
        <w:gridCol w:w="2160"/>
      </w:tblGrid>
      <w:tr>
        <w:trPr>
          <w:tblHeader w:val="on"/>
        </w:trPr>
        <w:tc>
          <w:tcPr/>
          <w:p>
            <w:pPr>
              <w:pStyle w:val="Compact"/>
            </w:pPr>
            <w:r>
              <w:t xml:space="preserve">Country</w:t>
            </w:r>
          </w:p>
        </w:tc>
        <w:tc>
          <w:tcPr/>
          <w:p>
            <w:pPr>
              <w:pStyle w:val="Compact"/>
            </w:pPr>
            <w:r>
              <w:t xml:space="preserve">THC limit</w:t>
            </w:r>
          </w:p>
        </w:tc>
        <w:tc>
          <w:tcPr/>
          <w:p>
            <w:pPr>
              <w:pStyle w:val="Compact"/>
            </w:pPr>
            <w:r>
              <w:t xml:space="preserve">Legal framework</w:t>
            </w:r>
          </w:p>
        </w:tc>
        <w:tc>
          <w:tcPr/>
          <w:p>
            <w:pPr>
              <w:pStyle w:val="Compact"/>
            </w:pPr>
            <w:r>
              <w:t xml:space="preserve">Validity</w:t>
            </w:r>
          </w:p>
        </w:tc>
        <w:tc>
          <w:tcPr/>
          <w:p>
            <w:pPr>
              <w:pStyle w:val="Compact"/>
            </w:pPr>
            <w:r>
              <w:t xml:space="preserve">Comments</w:t>
            </w:r>
          </w:p>
        </w:tc>
      </w:tr>
      <w:tr>
        <w:tc>
          <w:tcPr/>
          <w:p>
            <w:pPr>
              <w:pStyle w:val="Compact"/>
            </w:pPr>
            <w:r>
              <w:rPr>
                <w:b/>
                <w:bCs/>
              </w:rPr>
              <w:t xml:space="preserve">New Zealand</w:t>
            </w:r>
          </w:p>
        </w:tc>
        <w:tc>
          <w:tcPr/>
          <w:p>
            <w:pPr>
              <w:pStyle w:val="Compact"/>
            </w:pPr>
            <w:r>
              <w:t xml:space="preserve">≤1.0%</w:t>
            </w:r>
          </w:p>
        </w:tc>
        <w:tc>
          <w:tcPr/>
          <w:p>
            <w:pPr>
              <w:pStyle w:val="Compact"/>
            </w:pPr>
            <w:r>
              <w:t xml:space="preserve">Regulatory reform</w:t>
            </w:r>
          </w:p>
        </w:tc>
        <w:tc>
          <w:tcPr/>
          <w:p>
            <w:pPr>
              <w:pStyle w:val="Compact"/>
            </w:pPr>
            <w:r>
              <w:t xml:space="preserve">Dec 2025</w:t>
            </w:r>
          </w:p>
        </w:tc>
        <w:tc>
          <w:tcPr/>
          <w:p>
            <w:pPr>
              <w:pStyle w:val="Compact"/>
            </w:pPr>
            <w:r>
              <w:t xml:space="preserve">Crop and products.</w:t>
            </w:r>
          </w:p>
        </w:tc>
      </w:tr>
      <w:tr>
        <w:tc>
          <w:tcPr/>
          <w:p>
            <w:pPr>
              <w:pStyle w:val="Compact"/>
            </w:pPr>
            <w:r>
              <w:rPr>
                <w:b/>
                <w:bCs/>
              </w:rPr>
              <w:t xml:space="preserve">Fiji</w:t>
            </w:r>
          </w:p>
        </w:tc>
        <w:tc>
          <w:tcPr/>
          <w:p>
            <w:pPr>
              <w:pStyle w:val="Compact"/>
            </w:pPr>
            <w:r>
              <w:t xml:space="preserve">1.0</w:t>
            </w:r>
          </w:p>
        </w:tc>
        <w:tc>
          <w:tcPr/>
          <w:p>
            <w:pPr>
              <w:pStyle w:val="Compact"/>
            </w:pPr>
            <w:r>
              <w:t xml:space="preserve">Illicit Drugs Control Act 2022</w:t>
            </w:r>
          </w:p>
        </w:tc>
        <w:tc>
          <w:tcPr/>
          <w:p>
            <w:pPr>
              <w:pStyle w:val="Compact"/>
            </w:pPr>
            <w:r>
              <w:t xml:space="preserve">July 2022</w:t>
            </w:r>
          </w:p>
        </w:tc>
        <w:tc>
          <w:tcPr/>
          <w:p>
            <w:pPr>
              <w:pStyle w:val="Compact"/>
            </w:pPr>
            <w:r>
              <w:t xml:space="preserve">Cultivation and products.</w:t>
            </w:r>
          </w:p>
        </w:tc>
      </w:tr>
      <w:tr>
        <w:tc>
          <w:tcPr/>
          <w:p>
            <w:pPr>
              <w:pStyle w:val="Compact"/>
            </w:pPr>
            <w:r>
              <w:rPr>
                <w:b/>
                <w:bCs/>
              </w:rPr>
              <w:t xml:space="preserve">Australia</w:t>
            </w:r>
          </w:p>
        </w:tc>
        <w:tc>
          <w:tcPr/>
          <w:p>
            <w:pPr>
              <w:pStyle w:val="Compact"/>
            </w:pPr>
            <w:r>
              <w:t xml:space="preserve">1.0</w:t>
            </w:r>
          </w:p>
        </w:tc>
        <w:tc>
          <w:tcPr/>
          <w:p>
            <w:pPr>
              <w:pStyle w:val="Compact"/>
            </w:pPr>
            <w:r>
              <w:t xml:space="preserve">State legislation</w:t>
            </w:r>
          </w:p>
        </w:tc>
        <w:tc>
          <w:tcPr/>
          <w:p>
            <w:pPr>
              <w:pStyle w:val="Compact"/>
            </w:pPr>
            <w:r>
              <w:t xml:space="preserve">Variable</w:t>
            </w:r>
          </w:p>
        </w:tc>
        <w:tc>
          <w:tcPr/>
          <w:p>
            <w:pPr>
              <w:pStyle w:val="Compact"/>
            </w:pPr>
            <w:r>
              <w:t xml:space="preserve">Harvest threshold recognises natural crop fluctuation.</w:t>
            </w:r>
          </w:p>
        </w:tc>
      </w:tr>
      <w:tr>
        <w:tc>
          <w:tcPr/>
          <w:p>
            <w:pPr>
              <w:pStyle w:val="Compact"/>
            </w:pPr>
            <w:r>
              <w:rPr>
                <w:b/>
                <w:bCs/>
              </w:rPr>
              <w:t xml:space="preserve">Morocco</w:t>
            </w:r>
          </w:p>
        </w:tc>
        <w:tc>
          <w:tcPr/>
          <w:p>
            <w:pPr>
              <w:pStyle w:val="Compact"/>
            </w:pPr>
            <w:r>
              <w:t xml:space="preserve">1.0</w:t>
            </w:r>
          </w:p>
        </w:tc>
        <w:tc>
          <w:tcPr/>
          <w:p>
            <w:pPr>
              <w:pStyle w:val="Compact"/>
            </w:pPr>
            <w:r>
              <w:t xml:space="preserve">Law 13-21 + ANRAC</w:t>
            </w:r>
          </w:p>
        </w:tc>
        <w:tc>
          <w:tcPr/>
          <w:p>
            <w:pPr>
              <w:pStyle w:val="Compact"/>
            </w:pPr>
            <w:r>
              <w:t xml:space="preserve">2021</w:t>
            </w:r>
          </w:p>
        </w:tc>
        <w:tc>
          <w:tcPr/>
          <w:p>
            <w:pPr>
              <w:pStyle w:val="Compact"/>
            </w:pPr>
            <w:r>
              <w:t xml:space="preserve">Neighbouring country and EU trading partner.</w:t>
            </w:r>
          </w:p>
        </w:tc>
      </w:tr>
      <w:tr>
        <w:tc>
          <w:tcPr/>
          <w:p>
            <w:pPr>
              <w:pStyle w:val="Compact"/>
            </w:pPr>
            <w:r>
              <w:rPr>
                <w:b/>
                <w:bCs/>
              </w:rPr>
              <w:t xml:space="preserve">Lebanon</w:t>
            </w:r>
          </w:p>
        </w:tc>
        <w:tc>
          <w:tcPr/>
          <w:p>
            <w:pPr>
              <w:pStyle w:val="Compact"/>
            </w:pPr>
            <w:r>
              <w:t xml:space="preserve">≤1.0%</w:t>
            </w:r>
          </w:p>
        </w:tc>
        <w:tc>
          <w:tcPr/>
          <w:p>
            <w:pPr>
              <w:pStyle w:val="Compact"/>
            </w:pPr>
            <w:r>
              <w:t xml:space="preserve">Law 178/2020</w:t>
            </w:r>
          </w:p>
        </w:tc>
        <w:tc>
          <w:tcPr/>
          <w:p>
            <w:pPr>
              <w:pStyle w:val="Compact"/>
            </w:pPr>
            <w:r>
              <w:t xml:space="preserve">Apr 2020</w:t>
            </w:r>
          </w:p>
        </w:tc>
        <w:tc>
          <w:tcPr/>
          <w:p>
            <w:pPr>
              <w:pStyle w:val="Compact"/>
            </w:pPr>
            <w:r>
              <w:t xml:space="preserve">Industrial cannabis.</w:t>
            </w:r>
          </w:p>
        </w:tc>
      </w:tr>
      <w:tr>
        <w:tc>
          <w:tcPr/>
          <w:p>
            <w:pPr>
              <w:pStyle w:val="Compact"/>
            </w:pPr>
            <w:r>
              <w:rPr>
                <w:b/>
                <w:bCs/>
              </w:rPr>
              <w:t xml:space="preserve">Malawi</w:t>
            </w:r>
          </w:p>
        </w:tc>
        <w:tc>
          <w:tcPr/>
          <w:p>
            <w:pPr>
              <w:pStyle w:val="Compact"/>
            </w:pPr>
            <w:r>
              <w:t xml:space="preserve">1.0</w:t>
            </w:r>
          </w:p>
        </w:tc>
        <w:tc>
          <w:tcPr/>
          <w:p>
            <w:pPr>
              <w:pStyle w:val="Compact"/>
            </w:pPr>
            <w:r>
              <w:t xml:space="preserve">Cannabis Regulation Act 2020</w:t>
            </w:r>
          </w:p>
        </w:tc>
        <w:tc>
          <w:tcPr/>
          <w:p>
            <w:pPr>
              <w:pStyle w:val="Compact"/>
            </w:pPr>
            <w:r>
              <w:t xml:space="preserve">May 2020</w:t>
            </w:r>
          </w:p>
        </w:tc>
        <w:tc>
          <w:tcPr/>
          <w:p>
            <w:pPr>
              <w:pStyle w:val="Compact"/>
            </w:pPr>
            <w:r>
              <w:t xml:space="preserve">Industrial hemp.</w:t>
            </w:r>
          </w:p>
        </w:tc>
      </w:tr>
      <w:tr>
        <w:tc>
          <w:tcPr/>
          <w:p>
            <w:pPr>
              <w:pStyle w:val="Compact"/>
            </w:pPr>
            <w:r>
              <w:rPr>
                <w:b/>
                <w:bCs/>
              </w:rPr>
              <w:t xml:space="preserve">Zimbabwe</w:t>
            </w:r>
          </w:p>
        </w:tc>
        <w:tc>
          <w:tcPr/>
          <w:p>
            <w:pPr>
              <w:pStyle w:val="Compact"/>
            </w:pPr>
            <w:r>
              <w:t xml:space="preserve">1.0</w:t>
            </w:r>
          </w:p>
        </w:tc>
        <w:tc>
          <w:tcPr/>
          <w:p>
            <w:pPr>
              <w:pStyle w:val="Compact"/>
            </w:pPr>
            <w:r>
              <w:t xml:space="preserve">Criminal Law Amendment Bill</w:t>
            </w:r>
          </w:p>
        </w:tc>
        <w:tc>
          <w:tcPr/>
          <w:p>
            <w:pPr>
              <w:pStyle w:val="Compact"/>
            </w:pPr>
            <w:r>
              <w:t xml:space="preserve">February 2023</w:t>
            </w:r>
          </w:p>
        </w:tc>
        <w:tc>
          <w:tcPr/>
          <w:p>
            <w:pPr>
              <w:pStyle w:val="Compact"/>
            </w:pPr>
            <w:r>
              <w:t xml:space="preserve">Industrial hemp.</w:t>
            </w:r>
          </w:p>
        </w:tc>
      </w:tr>
      <w:tr>
        <w:tc>
          <w:tcPr/>
          <w:p>
            <w:pPr>
              <w:pStyle w:val="Compact"/>
            </w:pPr>
            <w:r>
              <w:rPr>
                <w:b/>
                <w:bCs/>
              </w:rPr>
              <w:t xml:space="preserve">South Africa</w:t>
            </w:r>
          </w:p>
        </w:tc>
        <w:tc>
          <w:tcPr/>
          <w:p>
            <w:pPr>
              <w:pStyle w:val="Compact"/>
            </w:pPr>
            <w:r>
              <w:rPr>
                <w:b/>
                <w:bCs/>
              </w:rPr>
              <w:t xml:space="preserve">2.0</w:t>
            </w:r>
          </w:p>
        </w:tc>
        <w:tc>
          <w:tcPr/>
          <w:p>
            <w:pPr>
              <w:pStyle w:val="Compact"/>
            </w:pPr>
            <w:r>
              <w:t xml:space="preserve">Cannabis for Private Purposes Act</w:t>
            </w:r>
          </w:p>
        </w:tc>
        <w:tc>
          <w:tcPr/>
          <w:p>
            <w:pPr>
              <w:pStyle w:val="Compact"/>
            </w:pPr>
            <w:r>
              <w:t xml:space="preserve">Dec 2025</w:t>
            </w:r>
          </w:p>
        </w:tc>
        <w:tc>
          <w:tcPr/>
          <w:p>
            <w:pPr>
              <w:pStyle w:val="Compact"/>
            </w:pPr>
            <w:r>
              <w:t xml:space="preserve">Upper threshold justified by climatic conditions.</w:t>
            </w:r>
          </w:p>
        </w:tc>
      </w:tr>
    </w:tbl>
    <w:bookmarkEnd w:id="28"/>
    <w:bookmarkStart w:name="c.4-nota-sobre-china" w:id="29"/>
    <w:p>
      <w:pPr>
        <w:pStyle w:val="Heading3"/>
      </w:pPr>
      <w:r>
        <w:t xml:space="preserve">C.4 Note on China</w:t>
      </w:r>
    </w:p>
    <w:p>
      <w:pPr>
        <w:pStyle w:val="FirstParagraph"/>
      </w:pPr>
      <w:r>
        <w:t xml:space="preserve">China does not set a specific THC limit for industrial hemp, but its genetic improvement programmes have never artificially restricted this cannabinoid. The documented yield data are:</w:t>
      </w:r>
    </w:p>
    <w:tbl>
      <w:tblPr>
        <w:tblW w:w="5000" w:type="pct"/>
        <w:tblStyle w:val="Table"/>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0"/>
        <w:gridCol w:w="1980"/>
        <w:gridCol w:w="1980"/>
        <w:gridCol w:w="1980"/>
      </w:tblGrid>
      <w:tr>
        <w:trPr>
          <w:tblHeader w:val="on"/>
        </w:trPr>
        <w:tc>
          <w:tcPr/>
          <w:p>
            <w:pPr>
              <w:pStyle w:val="Compact"/>
            </w:pPr>
            <w:r>
              <w:t xml:space="preserve">Variety</w:t>
            </w:r>
          </w:p>
        </w:tc>
        <w:tc>
          <w:tcPr/>
          <w:p>
            <w:pPr>
              <w:pStyle w:val="Compact"/>
            </w:pPr>
            <w:r>
              <w:t xml:space="preserve">THC (%)</w:t>
            </w:r>
          </w:p>
        </w:tc>
        <w:tc>
          <w:tcPr/>
          <w:p>
            <w:pPr>
              <w:pStyle w:val="Compact"/>
            </w:pPr>
            <w:r>
              <w:t xml:space="preserve">Dry stalk yield (t/ha)</w:t>
            </w:r>
          </w:p>
        </w:tc>
        <w:tc>
          <w:tcPr/>
          <w:p>
            <w:pPr>
              <w:pStyle w:val="Compact"/>
            </w:pPr>
            <w:r>
              <w:t xml:space="preserve">Ratio vs EU</w:t>
            </w:r>
          </w:p>
        </w:tc>
      </w:tr>
      <w:tr>
        <w:tc>
          <w:tcPr/>
          <w:p>
            <w:pPr>
              <w:pStyle w:val="Compact"/>
            </w:pPr>
            <w:r>
              <w:rPr>
                <w:b/>
                <w:bCs/>
              </w:rPr>
              <w:t xml:space="preserve">Yuma</w:t>
            </w:r>
          </w:p>
        </w:tc>
        <w:tc>
          <w:tcPr/>
          <w:p>
            <w:pPr>
              <w:pStyle w:val="Compact"/>
            </w:pPr>
            <w:r>
              <w:t xml:space="preserve">0.723</w:t>
            </w:r>
          </w:p>
        </w:tc>
        <w:tc>
          <w:tcPr/>
          <w:p>
            <w:pPr>
              <w:pStyle w:val="Compact"/>
            </w:pPr>
            <w:r>
              <w:t xml:space="preserve">35.1</w:t>
            </w:r>
          </w:p>
        </w:tc>
        <w:tc>
          <w:tcPr/>
          <w:p>
            <w:pPr>
              <w:pStyle w:val="Compact"/>
            </w:pPr>
            <w:r>
              <w:t xml:space="preserve">×7.6</w:t>
            </w:r>
          </w:p>
        </w:tc>
      </w:tr>
      <w:tr>
        <w:tc>
          <w:tcPr/>
          <w:p>
            <w:pPr>
              <w:pStyle w:val="Compact"/>
            </w:pPr>
            <w:r>
              <w:rPr>
                <w:b/>
                <w:bCs/>
              </w:rPr>
              <w:t xml:space="preserve">Bama</w:t>
            </w:r>
          </w:p>
        </w:tc>
        <w:tc>
          <w:tcPr/>
          <w:p>
            <w:pPr>
              <w:pStyle w:val="Compact"/>
            </w:pPr>
            <w:r>
              <w:t xml:space="preserve">0.506</w:t>
            </w:r>
          </w:p>
        </w:tc>
        <w:tc>
          <w:tcPr/>
          <w:p>
            <w:pPr>
              <w:pStyle w:val="Compact"/>
            </w:pPr>
            <w:r>
              <w:t xml:space="preserve">22.3</w:t>
            </w:r>
          </w:p>
        </w:tc>
        <w:tc>
          <w:tcPr/>
          <w:p>
            <w:pPr>
              <w:pStyle w:val="Compact"/>
            </w:pPr>
            <w:r>
              <w:t xml:space="preserve">×4.8</w:t>
            </w:r>
          </w:p>
        </w:tc>
      </w:tr>
      <w:tr>
        <w:tc>
          <w:tcPr/>
          <w:p>
            <w:pPr>
              <w:pStyle w:val="Compact"/>
            </w:pPr>
            <w:r>
              <w:rPr>
                <w:i/>
                <w:iCs/>
              </w:rPr>
              <w:t xml:space="preserve">EU baseline</w:t>
            </w:r>
          </w:p>
        </w:tc>
        <w:tc>
          <w:tcPr/>
          <w:p>
            <w:pPr>
              <w:pStyle w:val="Compact"/>
            </w:pPr>
            <w:r>
              <w:t xml:space="preserve">&lt;0.3</w:t>
            </w:r>
          </w:p>
        </w:tc>
        <w:tc>
          <w:tcPr/>
          <w:p>
            <w:pPr>
              <w:pStyle w:val="Compact"/>
            </w:pPr>
            <w:r>
              <w:t xml:space="preserve">~4.6</w:t>
            </w:r>
          </w:p>
        </w:tc>
        <w:tc>
          <w:tcPr/>
          <w:p>
            <w:pPr>
              <w:pStyle w:val="Compact"/>
            </w:pPr>
            <w:r>
              <w:t xml:space="preserve">—</w:t>
            </w:r>
          </w:p>
        </w:tc>
      </w:tr>
    </w:tbl>
    <w:p>
      <w:pPr>
        <w:pStyle w:val="BlockText"/>
      </w:pPr>
      <w:r>
        <w:rPr>
          <w:b/>
          <w:bCs/>
        </w:rPr>
        <w:t xml:space="preserve">Sources</w:t>
      </w:r>
      <w:r>
        <w:t xml:space="preserve">: Halker et al. (2024) [5], </w:t>
      </w:r>
      <w:r>
        <w:rPr>
          <w:i/>
          <w:iCs/>
        </w:rPr>
        <w:t xml:space="preserve">Agrosystems, Geosciences &amp; Environment</w:t>
      </w:r>
      <w:r>
        <w:t xml:space="preserve">; Brym et al. (2020) [18], </w:t>
      </w:r>
      <w:r>
        <w:rPr>
          <w:i/>
          <w:iCs/>
        </w:rPr>
        <w:t xml:space="preserve">Genetics</w:t>
      </w:r>
      <w:r>
        <w:t xml:space="preserve">. The trials confirmed that all high-yielding Chinese varieties exceeded 0.3% when grown to harvest.</w:t>
      </w:r>
    </w:p>
    <w:p>
      <w:r>
        <w:pict>
          <v:rect style="width:0;height:1.5pt" o:hr="t" o:hrstd="t" o:hralign="center"/>
        </w:pict>
      </w:r>
    </w:p>
    <w:bookmarkEnd w:id="29"/>
    <w:bookmarkEnd w:id="30"/>
    <w:bookmarkStart w:name="X00a4ea08ad369f285dc02423b7f1e708c196c03" w:id="38"/>
    <w:p>
      <w:pPr>
        <w:pStyle w:val="Heading2"/>
      </w:pPr>
      <w:r>
        <w:t xml:space="preserve">ANNEX D: LEGAL BASIS — Principle of legitimate expectations and Kanavape doctrine</w:t>
      </w:r>
    </w:p>
    <w:p>
      <w:pPr>
        <w:pStyle w:val="FirstParagraph"/>
      </w:pPr>
      <w:r>
        <w:t xml:space="preserve">This section develops the legal analysis supporting the conclusion that setting a threshold of 0.3% THC — which is more restrictive than established commercial practice — raises significant issues in terms of legitimate expectations and the free movement of goods.</w:t>
      </w:r>
    </w:p>
    <w:bookmarkStart w:name="X51fb2cd7f4b58bef1bff4a0062444f3bb4db8fe" w:id="31"/>
    <w:p>
      <w:pPr>
        <w:pStyle w:val="Heading3"/>
      </w:pPr>
      <w:r>
        <w:t xml:space="preserve">D.1 Decisive precedent: the Kanavape case (C-663/18)</w:t>
      </w:r>
    </w:p>
    <w:p>
      <w:pPr>
        <w:pStyle w:val="FirstParagraph"/>
      </w:pPr>
      <w:r>
        <w:t xml:space="preserve">The landmark case that defines the current legal framework was </w:t>
      </w:r>
      <w:r>
        <w:rPr>
          <w:b/>
          <w:bCs/>
        </w:rPr>
        <w:t xml:space="preserve">France v Kanavape </w:t>
      </w:r>
      <w:r>
        <w:t xml:space="preserve">[39]. The French authorities prosecuted distributors of a CBD product on the grounds that, as it was derived from flowers, it constituted a narcotic.</w:t>
      </w:r>
    </w:p>
    <w:p>
      <w:pPr>
        <w:pStyle w:val="BodyText"/>
      </w:pPr>
      <w:r>
        <w:t xml:space="preserve">The Court of Justice of the EU ruled on the matter in its judgment of 19 November 2020:</w:t>
      </w:r>
    </w:p>
    <w:p>
      <w:pPr>
        <w:pStyle w:val="BlockText"/>
      </w:pPr>
      <w:r>
        <w:t xml:space="preserve">CBD extracted from the whole hemp plant, including the flowers, </w:t>
      </w:r>
      <w:r>
        <w:rPr>
          <w:b/>
          <w:bCs/>
        </w:rPr>
        <w:t xml:space="preserve">is not a narcotic </w:t>
      </w:r>
      <w:r>
        <w:t xml:space="preserve">under EU law, provided that it does not produce psychoactive effects.</w:t>
      </w:r>
    </w:p>
    <w:p>
      <w:pPr>
        <w:pStyle w:val="FirstParagraph"/>
      </w:pPr>
      <w:r>
        <w:t xml:space="preserve">The ruling established three fundamental principles:</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89"/>
        <w:gridCol w:w="2489"/>
        <w:gridCol w:w="2941"/>
      </w:tblGrid>
      <w:tr>
        <w:trPr>
          <w:tblHeader w:val="on"/>
        </w:trPr>
        <w:tc>
          <w:tcPr/>
          <w:p>
            <w:pPr>
              <w:pStyle w:val="Compact"/>
            </w:pPr>
            <w:r>
              <w:t xml:space="preserve">Principle</w:t>
            </w:r>
          </w:p>
        </w:tc>
        <w:tc>
          <w:tcPr/>
          <w:p>
            <w:pPr>
              <w:pStyle w:val="Compact"/>
            </w:pPr>
            <w:r>
              <w:t xml:space="preserve">Content</w:t>
            </w:r>
          </w:p>
        </w:tc>
        <w:tc>
          <w:tcPr/>
          <w:p>
            <w:pPr>
              <w:pStyle w:val="Compact"/>
            </w:pPr>
            <w:r>
              <w:t xml:space="preserve">Implication</w:t>
            </w:r>
          </w:p>
        </w:tc>
      </w:tr>
      <w:tr>
        <w:tc>
          <w:tcPr/>
          <w:p>
            <w:pPr>
              <w:pStyle w:val="Compact"/>
            </w:pPr>
            <w:r>
              <w:rPr>
                <w:b/>
                <w:bCs/>
              </w:rPr>
              <w:t xml:space="preserve">Teleological interpretation of the 1961 Convention</w:t>
            </w:r>
          </w:p>
        </w:tc>
        <w:tc>
          <w:tcPr/>
          <w:p>
            <w:pPr>
              <w:pStyle w:val="Compact"/>
            </w:pPr>
            <w:r>
              <w:t xml:space="preserve">The Convention does not control cannabis products intended for non-narcotic uses</w:t>
            </w:r>
          </w:p>
        </w:tc>
        <w:tc>
          <w:tcPr/>
          <w:p>
            <w:pPr>
              <w:pStyle w:val="Compact"/>
            </w:pPr>
            <w:r>
              <w:t xml:space="preserve">All parts of the plant are excluded from the narcotics regime if they have no psychoactive effect</w:t>
            </w:r>
          </w:p>
        </w:tc>
      </w:tr>
      <w:tr>
        <w:tc>
          <w:tcPr/>
          <w:p>
            <w:pPr>
              <w:pStyle w:val="Compact"/>
            </w:pPr>
            <w:r>
              <w:rPr>
                <w:b/>
                <w:bCs/>
              </w:rPr>
              <w:t xml:space="preserve">Burden of proof</w:t>
            </w:r>
          </w:p>
        </w:tc>
        <w:tc>
          <w:tcPr/>
          <w:p>
            <w:pPr>
              <w:pStyle w:val="Compact"/>
            </w:pPr>
            <w:r>
              <w:t xml:space="preserve">The restricting State must demonstrate actual risk</w:t>
            </w:r>
          </w:p>
        </w:tc>
        <w:tc>
          <w:tcPr/>
          <w:p>
            <w:pPr>
              <w:pStyle w:val="Compact"/>
            </w:pPr>
            <w:r>
              <w:t xml:space="preserve">Preventive prohibitions without scientific evidence are contrary to EU law</w:t>
            </w:r>
          </w:p>
        </w:tc>
      </w:tr>
      <w:tr>
        <w:tc>
          <w:tcPr/>
          <w:p>
            <w:pPr>
              <w:pStyle w:val="Compact"/>
            </w:pPr>
            <w:r>
              <w:rPr>
                <w:b/>
                <w:bCs/>
              </w:rPr>
              <w:t xml:space="preserve">Proportionality</w:t>
            </w:r>
          </w:p>
        </w:tc>
        <w:tc>
          <w:tcPr/>
          <w:p>
            <w:pPr>
              <w:pStyle w:val="Compact"/>
            </w:pPr>
            <w:r>
              <w:t xml:space="preserve">Restrictive measures must be necessary and appropriate</w:t>
            </w:r>
          </w:p>
        </w:tc>
        <w:tc>
          <w:tcPr/>
          <w:p>
            <w:pPr>
              <w:pStyle w:val="Compact"/>
            </w:pPr>
            <w:r>
              <w:t xml:space="preserve">Prohibiting something that causes no harm violates the principle of proportionality</w:t>
            </w:r>
          </w:p>
        </w:tc>
      </w:tr>
    </w:tbl>
    <w:p>
      <w:pPr>
        <w:pStyle w:val="BodyText"/>
      </w:pPr>
      <w:r>
        <w:t xml:space="preserve">Following this ruling, </w:t>
      </w:r>
      <w:r>
        <w:rPr>
          <w:b/>
          <w:bCs/>
        </w:rPr>
        <w:t xml:space="preserve">France amended its legislation </w:t>
      </w:r>
      <w:r>
        <w:t xml:space="preserve">to allow the cultivation of hemp for flowers and the extraction of CBD, bringing it into line with the rest of the Union.</w:t>
      </w:r>
    </w:p>
    <w:bookmarkEnd w:id="31"/>
    <w:bookmarkStart w:name="X6b49d882f82d40f0ba44312daf4b318ce084528" w:id="32"/>
    <w:p>
      <w:pPr>
        <w:pStyle w:val="Heading3"/>
      </w:pPr>
      <w:r>
        <w:t xml:space="preserve">D.2 The critical change: from eligibility to trade barrier</w:t>
      </w:r>
    </w:p>
    <w:p>
      <w:pPr>
        <w:pStyle w:val="FirstParagraph"/>
      </w:pPr>
      <w:r>
        <w:t xml:space="preserve">The new CMO proposal (COM(2025) 553) [29] </w:t>
      </w:r>
      <w:r>
        <w:rPr>
          <w:b/>
          <w:bCs/>
        </w:rPr>
        <w:t xml:space="preserve">codifies the Kanavape doctrine </w:t>
      </w:r>
      <w:r>
        <w:t xml:space="preserve">by including CN code 1211 90 86 (</w:t>
      </w:r>
      <w:r>
        <w:t xml:space="preserve">"other parts of the hemp plant"</w:t>
      </w:r>
      <w:r>
        <w:t xml:space="preserve">) </w:t>
      </w:r>
      <w:r>
        <w:t xml:space="preserve">for the first time</w:t>
      </w:r>
      <w:r>
        <w:t xml:space="preserve">, enabling flowers and biomass for the European internal market.</w:t>
      </w:r>
    </w:p>
    <w:p>
      <w:pPr>
        <w:pStyle w:val="BodyText"/>
      </w:pPr>
      <w:r>
        <w:t xml:space="preserve">However, </w:t>
      </w:r>
      <w:r>
        <w:rPr>
          <w:b/>
          <w:bCs/>
        </w:rPr>
        <w:t xml:space="preserve">the proposal introduces an element that requires legal analysis</w:t>
      </w:r>
      <w:r>
        <w:t xml:space="preserve">:</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86"/>
        <w:gridCol w:w="5133"/>
      </w:tblGrid>
      <w:tr>
        <w:trPr>
          <w:tblHeader w:val="on"/>
        </w:trPr>
        <w:tc>
          <w:tcPr/>
          <w:p>
            <w:pPr>
              <w:pStyle w:val="Compact"/>
            </w:pPr>
            <w:r>
              <w:t xml:space="preserve">Regulatory framework</w:t>
            </w:r>
          </w:p>
        </w:tc>
        <w:tc>
          <w:tcPr/>
          <w:p>
            <w:pPr>
              <w:pStyle w:val="Compact"/>
            </w:pPr>
            <w:r>
              <w:t xml:space="preserve">Effect of exceeding the THC threshold</w:t>
            </w:r>
          </w:p>
        </w:tc>
      </w:tr>
      <w:tr>
        <w:tc>
          <w:tcPr/>
          <w:p>
            <w:pPr>
              <w:pStyle w:val="Compact"/>
            </w:pPr>
            <w:r>
              <w:rPr>
                <w:b/>
                <w:bCs/>
              </w:rPr>
              <w:t xml:space="preserve">Previous CAP </w:t>
            </w:r>
            <w:r>
              <w:t xml:space="preserve">[33]</w:t>
            </w:r>
          </w:p>
        </w:tc>
        <w:tc>
          <w:tcPr/>
          <w:p>
            <w:pPr>
              <w:pStyle w:val="Compact"/>
            </w:pPr>
            <w:r>
              <w:t xml:space="preserve">Not eligible for CAP aid</w:t>
            </w:r>
          </w:p>
        </w:tc>
      </w:tr>
      <w:tr>
        <w:tc>
          <w:tcPr/>
          <w:p>
            <w:pPr>
              <w:pStyle w:val="Compact"/>
            </w:pPr>
            <w:r>
              <w:rPr>
                <w:b/>
                <w:bCs/>
              </w:rPr>
              <w:t xml:space="preserve">New proposed CMO</w:t>
            </w:r>
          </w:p>
        </w:tc>
        <w:tc>
          <w:tcPr/>
          <w:p>
            <w:pPr>
              <w:pStyle w:val="Compact"/>
            </w:pPr>
            <w:r>
              <w:rPr>
                <w:b/>
                <w:bCs/>
              </w:rPr>
              <w:t xml:space="preserve">Production, marketing and importation prohibited</w:t>
            </w:r>
          </w:p>
        </w:tc>
      </w:tr>
    </w:tbl>
    <w:p>
      <w:pPr>
        <w:pStyle w:val="BodyText"/>
      </w:pPr>
      <w:r>
        <w:t xml:space="preserve">The THC threshold goes from being an eligibility criterion for aid to becoming a </w:t>
      </w:r>
      <w:r>
        <w:rPr>
          <w:b/>
          <w:bCs/>
        </w:rPr>
        <w:t xml:space="preserve">barrier to access to the internal market</w:t>
      </w:r>
      <w:r>
        <w:t xml:space="preserve">. This transformation has direct legal consequences for operators who have been marketing their products for years under the previous framework.</w:t>
      </w:r>
    </w:p>
    <w:bookmarkEnd w:id="32"/>
    <w:bookmarkStart w:name="X94e4e8e959994927dd00c265fb4b3db02f6e2e5" w:id="33"/>
    <w:p>
      <w:pPr>
        <w:pStyle w:val="Heading3"/>
      </w:pPr>
      <w:r>
        <w:t xml:space="preserve">D.3 Regulatory framework: free movement of goods</w:t>
      </w:r>
    </w:p>
    <w:p>
      <w:pPr>
        <w:pStyle w:val="FirstParagraph"/>
      </w:pPr>
      <w:r>
        <w:t xml:space="preserve">Articles 34-36 TFEU [38] establish the principle of free movement of goods in the internal market. Quantitative restrictions on imports and measures having equivalent effect are prohibited between Member States, unless justified on grounds of public policy, public security or the protection of health.</w:t>
      </w:r>
    </w:p>
    <w:p>
      <w:pPr>
        <w:pStyle w:val="BodyText"/>
      </w:pPr>
      <w:r>
        <w:t xml:space="preserve">The principle of </w:t>
      </w:r>
      <w:r>
        <w:rPr>
          <w:b/>
          <w:bCs/>
        </w:rPr>
        <w:t xml:space="preserve">mutual recognition </w:t>
      </w:r>
      <w:r>
        <w:t xml:space="preserve">— developed since </w:t>
      </w:r>
      <w:r>
        <w:rPr>
          <w:i/>
          <w:iCs/>
        </w:rPr>
        <w:t xml:space="preserve">Cassis de Dijon </w:t>
      </w:r>
      <w:r>
        <w:t xml:space="preserve">(C-120/78) [81] — implies that a product lawfully marketed in one Member State must be able to circulate freely in the others, unless there are compelling reasons of general interest justifying the restriction.</w:t>
      </w:r>
    </w:p>
    <w:bookmarkEnd w:id="33"/>
    <w:bookmarkStart w:name="Xcdbde869319144fc1d85384a00b26aa06720143" w:id="34"/>
    <w:p>
      <w:pPr>
        <w:pStyle w:val="Heading3"/>
      </w:pPr>
      <w:r>
        <w:t xml:space="preserve">D.4 Applicable case law of the CJEU: legitimate expectations</w:t>
      </w:r>
    </w:p>
    <w:p>
      <w:pPr>
        <w:pStyle w:val="FirstParagraph"/>
      </w:pPr>
      <w:r>
        <w:t xml:space="preserve">The principle of </w:t>
      </w:r>
      <w:r>
        <w:rPr>
          <w:b/>
          <w:bCs/>
        </w:rPr>
        <w:t xml:space="preserve">legitimate expectations </w:t>
      </w:r>
      <w:r>
        <w:t xml:space="preserve">protects economic operators who have acted in good faith under a regulatory framework tolerated or encouraged by the authorities. The CJEU has developed this principle in cases relevant to the agricultural sector:</w:t>
      </w:r>
    </w:p>
    <w:tbl>
      <w:tblPr>
        <w:tblW w:w="5000" w:type="pct"/>
        <w:tblStyle w:val="Table"/>
        <w:tblLayout w:type="fixed"/>
        <w:tblLook w:val="002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8"/>
        <w:gridCol w:w="2376"/>
        <w:gridCol w:w="4356"/>
      </w:tblGrid>
      <w:tr>
        <w:trPr>
          <w:tblHeader w:val="on"/>
        </w:trPr>
        <w:tc>
          <w:tcPr/>
          <w:p>
            <w:pPr>
              <w:pStyle w:val="Compact"/>
            </w:pPr>
            <w:r>
              <w:t xml:space="preserve">Case</w:t>
            </w:r>
          </w:p>
        </w:tc>
        <w:tc>
          <w:tcPr/>
          <w:p>
            <w:pPr>
              <w:pStyle w:val="Compact"/>
            </w:pPr>
            <w:r>
              <w:t xml:space="preserve">Reference</w:t>
            </w:r>
          </w:p>
        </w:tc>
        <w:tc>
          <w:tcPr/>
          <w:p>
            <w:pPr>
              <w:pStyle w:val="Compact"/>
            </w:pPr>
            <w:r>
              <w:t xml:space="preserve">Principle established</w:t>
            </w:r>
          </w:p>
        </w:tc>
      </w:tr>
      <w:tr>
        <w:tc>
          <w:tcPr/>
          <w:p>
            <w:pPr>
              <w:pStyle w:val="Compact"/>
            </w:pPr>
            <w:r>
              <w:rPr>
                <w:b/>
                <w:bCs/>
              </w:rPr>
              <w:t xml:space="preserve">Mulder</w:t>
            </w:r>
          </w:p>
        </w:tc>
        <w:tc>
          <w:tcPr/>
          <w:p>
            <w:pPr>
              <w:pStyle w:val="Compact"/>
            </w:pPr>
            <w:r>
              <w:t xml:space="preserve">C-120/86, EU:C:1988:213 [40]</w:t>
            </w:r>
          </w:p>
        </w:tc>
        <w:tc>
          <w:tcPr/>
          <w:p>
            <w:pPr>
              <w:pStyle w:val="Compact"/>
            </w:pPr>
            <w:r>
              <w:t xml:space="preserve">Protection of operators in the agricultural sector who have made investments in good faith</w:t>
            </w:r>
          </w:p>
        </w:tc>
      </w:tr>
      <w:tr>
        <w:tc>
          <w:tcPr/>
          <w:p>
            <w:pPr>
              <w:pStyle w:val="Compact"/>
            </w:pPr>
            <w:r>
              <w:rPr>
                <w:b/>
                <w:bCs/>
              </w:rPr>
              <w:t xml:space="preserve">CNTA</w:t>
            </w:r>
          </w:p>
        </w:tc>
        <w:tc>
          <w:tcPr/>
          <w:p>
            <w:pPr>
              <w:pStyle w:val="Compact"/>
            </w:pPr>
            <w:r>
              <w:t xml:space="preserve">C-74/74, EU:C:1975:59 [41]</w:t>
            </w:r>
          </w:p>
        </w:tc>
        <w:tc>
          <w:tcPr/>
          <w:p>
            <w:pPr>
              <w:pStyle w:val="Compact"/>
            </w:pPr>
            <w:r>
              <w:rPr>
                <w:i/>
                <w:iCs/>
              </w:rPr>
              <w:t xml:space="preserve">“Where the previous situation has been tolerated or even encouraged by the authorities, the protection of legitimate expectations prevails.”</w:t>
            </w:r>
          </w:p>
        </w:tc>
      </w:tr>
      <w:tr>
        <w:tc>
          <w:tcPr/>
          <w:p>
            <w:pPr>
              <w:pStyle w:val="Compact"/>
            </w:pPr>
            <w:r>
              <w:rPr>
                <w:b/>
                <w:bCs/>
              </w:rPr>
              <w:t xml:space="preserve">Sofrimport</w:t>
            </w:r>
          </w:p>
        </w:tc>
        <w:tc>
          <w:tcPr/>
          <w:p>
            <w:pPr>
              <w:pStyle w:val="Compact"/>
            </w:pPr>
            <w:r>
              <w:t xml:space="preserve">C-152/88, EU:C:1990:259 [42]</w:t>
            </w:r>
          </w:p>
        </w:tc>
        <w:tc>
          <w:tcPr/>
          <w:p>
            <w:pPr>
              <w:pStyle w:val="Compact"/>
            </w:pPr>
            <w:r>
              <w:t xml:space="preserve">Protection of operators who have committed financial resources in good faith</w:t>
            </w:r>
          </w:p>
        </w:tc>
      </w:tr>
      <w:tr>
        <w:tc>
          <w:tcPr/>
          <w:p>
            <w:pPr>
              <w:pStyle w:val="Compact"/>
            </w:pPr>
            <w:r>
              <w:rPr>
                <w:b/>
                <w:bCs/>
              </w:rPr>
              <w:t xml:space="preserve">Plantanol</w:t>
            </w:r>
          </w:p>
        </w:tc>
        <w:tc>
          <w:tcPr/>
          <w:p>
            <w:pPr>
              <w:pStyle w:val="Compact"/>
            </w:pPr>
            <w:r>
              <w:t xml:space="preserve">C-201/08, EU:C:2009:539 [43]</w:t>
            </w:r>
          </w:p>
        </w:tc>
        <w:tc>
          <w:tcPr/>
          <w:p>
            <w:pPr>
              <w:pStyle w:val="Compact"/>
            </w:pPr>
            <w:r>
              <w:t xml:space="preserve">Abrupt regulatory changes require appropriate transitional measures</w:t>
            </w:r>
          </w:p>
        </w:tc>
      </w:tr>
    </w:tbl>
    <w:bookmarkEnd w:id="34"/>
    <w:bookmarkStart w:name="Xe9c6c689acc9623f3402312325a6ebd5f95fdf1" w:id="35"/>
    <w:p>
      <w:pPr>
        <w:pStyle w:val="Heading3"/>
      </w:pPr>
      <w:r>
        <w:t xml:space="preserve">D.5 Application to the case of industrial hemp</w:t>
      </w:r>
    </w:p>
    <w:p>
      <w:pPr>
        <w:pStyle w:val="FirstParagraph"/>
      </w:pPr>
      <w:r>
        <w:t xml:space="preserve">European operators have been </w:t>
      </w:r>
      <w:r>
        <w:t xml:space="preserve">marketing industrial hemp with THC thresholds of up to 1% </w:t>
      </w:r>
      <w:r>
        <w:rPr>
          <w:b/>
          <w:bCs/>
        </w:rPr>
        <w:t xml:space="preserve">for more than 15 years</w:t>
      </w:r>
      <w:r>
        <w:t xml:space="preserve">, relying on:</w:t>
      </w:r>
    </w:p>
    <w:p>
      <w:pPr>
        <w:numPr>
          <w:ilvl w:val="0"/>
          <w:numId w:val="1004"/>
        </w:numPr>
      </w:pPr>
      <w:r>
        <w:rPr>
          <w:b/>
          <w:bCs/>
        </w:rPr>
        <w:t xml:space="preserve">Tolerance by the authorities</w:t>
      </w:r>
      <w:r>
        <w:t xml:space="preserve">: Several Member States have permitted or actively regulated this marketing (Luxembourg, Czech Republic, Italy, Austria, Belgium, etc.).</w:t>
      </w:r>
    </w:p>
    <w:p>
      <w:pPr>
        <w:numPr>
          <w:ilvl w:val="0"/>
          <w:numId w:val="1004"/>
        </w:numPr>
      </w:pPr>
      <w:r>
        <w:rPr>
          <w:b/>
          <w:bCs/>
        </w:rPr>
        <w:t xml:space="preserve">Principle of mutual recognition</w:t>
      </w:r>
      <w:r>
        <w:t xml:space="preserve">: Products legally marketed in Switzerland (since 2011) or Luxembourg (since 2023) have circulated in the internal market.</w:t>
      </w:r>
    </w:p>
    <w:p>
      <w:pPr>
        <w:numPr>
          <w:ilvl w:val="0"/>
          <w:numId w:val="1004"/>
        </w:numPr>
      </w:pPr>
      <w:r>
        <w:rPr>
          <w:b/>
          <w:bCs/>
        </w:rPr>
        <w:t xml:space="preserve">Kanavape doctrine </w:t>
      </w:r>
      <w:r>
        <w:t xml:space="preserve">(C-663/18) [39]: The CJEU confirmed that CBD extracted from the whole hemp plant, including the flowers, is not a narcotic under EU law, preventing bans without proof of actual risk to public health.</w:t>
      </w:r>
    </w:p>
    <w:bookmarkEnd w:id="35"/>
    <w:bookmarkStart w:name="Xd2d4474bc796b3acb423a25365e7f4fb3cef27b" w:id="36"/>
    <w:p>
      <w:pPr>
        <w:pStyle w:val="Heading3"/>
      </w:pPr>
      <w:r>
        <w:t xml:space="preserve">D.6 Implications for the CMO proposal</w:t>
      </w:r>
    </w:p>
    <w:p>
      <w:pPr>
        <w:pStyle w:val="FirstParagraph"/>
      </w:pPr>
      <w:r>
        <w:t xml:space="preserve">Setting a threshold of 0.3% THC in the new CMO —more restrictive than established practice— would raise the following legal issues:</w:t>
      </w:r>
    </w:p>
    <w:p>
      <w:pPr>
        <w:pStyle w:val="BodyText"/>
      </w:pPr>
      <w:r>
        <w:rPr>
          <w:b/>
          <w:bCs/>
        </w:rPr>
        <w:t xml:space="preserve">1. Breach of legitimate expectations</w:t>
      </w:r>
      <w:r>
        <w:t xml:space="preserve">: Operators who have invested for years in value chains based on higher thresholds (recognised by Member States) would see their legitimate expectations frustrated without proportionate justification.</w:t>
      </w:r>
    </w:p>
    <w:p>
      <w:pPr>
        <w:pStyle w:val="BodyText"/>
      </w:pPr>
      <w:r>
        <w:rPr>
          <w:b/>
          <w:bCs/>
        </w:rPr>
        <w:t xml:space="preserve">2. Contradiction with Kanavape</w:t>
      </w:r>
      <w:r>
        <w:t xml:space="preserve">: CJEU doctrine requires proof of actual risk to restrict free movement. Scientific evidence (see Annex A) shows that hemp with 1% THC does not present a risk of abuse.</w:t>
      </w:r>
    </w:p>
    <w:p>
      <w:pPr>
        <w:pStyle w:val="BodyText"/>
      </w:pPr>
      <w:r>
        <w:rPr>
          <w:b/>
          <w:bCs/>
        </w:rPr>
        <w:t xml:space="preserve">3. Exposure to claims</w:t>
      </w:r>
      <w:r>
        <w:t xml:space="preserve">: The Union could face liability claims for damages caused to operators who acted in good faith under a tolerated framework.</w:t>
      </w:r>
    </w:p>
    <w:p>
      <w:pPr>
        <w:pStyle w:val="BodyText"/>
      </w:pPr>
      <w:r>
        <w:rPr>
          <w:b/>
          <w:bCs/>
        </w:rPr>
        <w:t xml:space="preserve">4. Proportionality test</w:t>
      </w:r>
      <w:r>
        <w:t xml:space="preserve">: Any restriction must be necessary and proportionate to the legitimate objective pursued. When 18+ jurisdictions operate with 1% THC without public safety incidents, a threshold of 0.3% hardly passes this test.</w:t>
      </w:r>
    </w:p>
    <w:bookmarkEnd w:id="36"/>
    <w:bookmarkStart w:name="d.7-conclusión-del-análisis-jurídico" w:id="37"/>
    <w:p>
      <w:pPr>
        <w:pStyle w:val="Heading3"/>
      </w:pPr>
      <w:r>
        <w:t xml:space="preserve">D.7 Conclusion of the legal analysis</w:t>
      </w:r>
    </w:p>
    <w:p>
      <w:pPr>
        <w:pStyle w:val="FirstParagraph"/>
      </w:pPr>
      <w:r>
        <w:t xml:space="preserve">The European legal framework — free movement of goods, mutual recognition, legitimate expectations and the Kanavape doctrine — supports a harmonised threshold that recognises established commercial practice.</w:t>
      </w:r>
    </w:p>
    <w:p>
      <w:pPr>
        <w:pStyle w:val="BodyText"/>
      </w:pPr>
      <w:r>
        <w:t xml:space="preserve">Setting the threshold at</w:t>
      </w:r>
      <w:r>
        <w:rPr>
          <w:b/>
          <w:bCs/>
        </w:rPr>
        <w:t xml:space="preserve"> 1% THC </w:t>
      </w:r>
      <w:r>
        <w:t xml:space="preserve">is not only scientifically justified (Annex A), but also represents the most legally secure option: it harmonises at the level that practice, science and case law have validated for more than a decade.</w:t>
      </w:r>
    </w:p>
    <w:p>
      <w:r>
        <w:pict>
          <v:rect style="width:0;height:1.5pt" o:hr="t" o:hrstd="t" o:hralign="center"/>
        </w:pict>
      </w:r>
    </w:p>
    <w:p>
      <w:r>
        <w:pict>
          <v:rect style="width:0;height:1.5pt" o:hr="t" o:hrstd="t" o:hralign="center"/>
        </w:pict>
      </w:r>
    </w:p>
    <w:p>
      <w:pPr>
        <w:pStyle w:val="BlockText"/>
      </w:pPr>
      <w:r>
        <w:rPr>
          <w:b/>
          <w:bCs/>
        </w:rPr>
        <w:t xml:space="preserve">Complete bibliography available at </w:t>
      </w:r>
      <w:hyperlink r:id="rId9">
        <w:r>
          <w:rPr>
            <w:rStyle w:val="Hyperlink"/>
            <w:b/>
            <w:bCs/>
          </w:rPr>
          <w:t xml:space="preserve">PAPER_PRINCIPAL.md</w:t>
        </w:r>
      </w:hyperlink>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PAPER_PRINCIPAL.md"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PAPER_PRINCIPA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docId:69A4D3BA8A1FA478F086651D126DD756</keywords>
  <dcterms:created xsi:type="dcterms:W3CDTF">2026-01-26T00:15:19.0000000Z</dcterms:created>
  <dcterms:modified xsi:type="dcterms:W3CDTF">2026-01-26T00:15:19.0000000Z</dcterms:modified>
</coreProperties>
</file>

<file path=docProps/custom.xml><?xml version="1.0" encoding="utf-8"?>
<Properties xmlns="http://schemas.openxmlformats.org/officeDocument/2006/custom-properties" xmlns:vt="http://schemas.openxmlformats.org/officeDocument/2006/docPropsVTypes"/>
</file>