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nexos-técnicos-position-paper"/>
    <w:p>
      <w:pPr>
        <w:pStyle w:val="Heading1"/>
      </w:pPr>
      <w:r>
        <w:t xml:space="preserve">ANEXOS TÉCNICOS — POSITION PAPER</w:t>
      </w:r>
    </w:p>
    <w:bookmarkStart w:id="11" w:name="X66a494432ae5a7bba20dae3e2ec51d2a611517d"/>
    <w:p>
      <w:pPr>
        <w:pStyle w:val="Heading2"/>
      </w:pPr>
      <w:r>
        <w:t xml:space="preserve">Propuesta del sector del cáñamo para la PAC 2028–2034</w:t>
      </w:r>
    </w:p>
    <w:bookmarkStart w:id="10" w:name="X4e21c70344a2a2158a17670617d1c767a95c163"/>
    <w:p>
      <w:pPr>
        <w:pStyle w:val="Heading3"/>
      </w:pPr>
      <w:r>
        <w:t xml:space="preserve">Alineación con estándares internacionales de THC</w:t>
      </w:r>
    </w:p>
    <w:p>
      <w:pPr>
        <w:pStyle w:val="FirstParagraph"/>
      </w:pPr>
      <w:r>
        <w:rPr>
          <w:b/>
          <w:bCs/>
        </w:rPr>
        <w:t xml:space="preserve">Cannabis Hub — Enero 2026</w:t>
      </w:r>
    </w:p>
    <w:p>
      <w:pPr>
        <w:pStyle w:val="BlockText"/>
      </w:pPr>
      <w:r>
        <w:rPr>
          <w:b/>
          <w:bCs/>
        </w:rPr>
        <w:t xml:space="preserve">Este documento contiene los anexos técnicos del Position Paper.</w:t>
      </w:r>
      <w:r>
        <w:br/>
      </w:r>
      <w:r>
        <w:t xml:space="preserve">Ver documento principal con bibliografía completa:</w:t>
      </w:r>
      <w:r>
        <w:t xml:space="preserve"> </w:t>
      </w:r>
      <w:hyperlink r:id="rId9">
        <w:r>
          <w:rPr>
            <w:rStyle w:val="Hyperlink"/>
          </w:rPr>
          <w:t xml:space="preserve">PAPER_PRINCIPAL.md</w:t>
        </w:r>
      </w:hyperlink>
    </w:p>
    <w:p>
      <w:r>
        <w:pict>
          <v:rect style="width:0;height:1.5pt" o:hralign="center" o:hrstd="t" o:hr="t"/>
        </w:pict>
      </w:r>
    </w:p>
    <w:bookmarkEnd w:id="10"/>
    <w:bookmarkEnd w:id="11"/>
    <w:bookmarkEnd w:id="12"/>
    <w:bookmarkStart w:id="39" w:name="anexo"/>
    <w:p>
      <w:pPr>
        <w:pStyle w:val="Heading1"/>
      </w:pPr>
      <w:r>
        <w:t xml:space="preserve">ANEXO</w:t>
      </w:r>
    </w:p>
    <w:bookmarkStart w:id="19" w:name="X90f0a3b90a990766c3e2bf54a7fcdbed20017b4"/>
    <w:p>
      <w:pPr>
        <w:pStyle w:val="Heading2"/>
      </w:pPr>
      <w:r>
        <w:t xml:space="preserve">ANEXO A: METODOLOGÍA FARMACOCINÉTICA — Análisis de seguridad del cáñamo al 1% THC inhalado</w:t>
      </w:r>
    </w:p>
    <w:p>
      <w:pPr>
        <w:pStyle w:val="FirstParagraph"/>
      </w:pPr>
      <w:r>
        <w:t xml:space="preserve">Esta sección desarrolla el análisis cuantitativo que respalda la conclusión de que el cáñamo industrial al 1% THC no presenta potencial de abuso por inhalación.</w:t>
      </w:r>
    </w:p>
    <w:bookmarkStart w:id="13" w:name="X11ae4ba18b6ade796f8bc62bf21406068dd1a12"/>
    <w:p>
      <w:pPr>
        <w:pStyle w:val="Heading3"/>
      </w:pPr>
      <w:r>
        <w:t xml:space="preserve">A.1 Marco de referencia toxicológico (EFSA)</w:t>
      </w:r>
    </w:p>
    <w:p>
      <w:pPr>
        <w:pStyle w:val="FirstParagraph"/>
      </w:pPr>
      <w:r>
        <w:t xml:space="preserve">El Panel CONTAM de la EFSA estableció en 2015 los siguientes valores de referencia para Δ9-THC:</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10"/>
        <w:gridCol w:w="1788"/>
        <w:gridCol w:w="3321"/>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Significado</w:t>
            </w:r>
          </w:p>
        </w:tc>
      </w:tr>
      <w:tr>
        <w:tc>
          <w:tcPr/>
          <w:p>
            <w:pPr>
              <w:pStyle w:val="Compact"/>
            </w:pPr>
            <w:r>
              <w:rPr>
                <w:b/>
                <w:bCs/>
              </w:rPr>
              <w:t xml:space="preserve">LOAEL</w:t>
            </w:r>
          </w:p>
        </w:tc>
        <w:tc>
          <w:tcPr/>
          <w:p>
            <w:pPr>
              <w:pStyle w:val="Compact"/>
            </w:pPr>
            <w:r>
              <w:t xml:space="preserve">2,5 mg Δ9-THC/día</w:t>
            </w:r>
          </w:p>
        </w:tc>
        <w:tc>
          <w:tcPr/>
          <w:p>
            <w:pPr>
              <w:pStyle w:val="Compact"/>
            </w:pPr>
            <w:r>
              <w:t xml:space="preserve">Nivel más bajo con efecto adverso observable (alteración del ánimo, sedación)</w:t>
            </w:r>
          </w:p>
        </w:tc>
      </w:tr>
      <w:tr>
        <w:tc>
          <w:tcPr/>
          <w:p>
            <w:pPr>
              <w:pStyle w:val="Compact"/>
            </w:pPr>
            <w:r>
              <w:rPr>
                <w:b/>
                <w:bCs/>
              </w:rPr>
              <w:t xml:space="preserve">ARfD</w:t>
            </w:r>
          </w:p>
        </w:tc>
        <w:tc>
          <w:tcPr/>
          <w:p>
            <w:pPr>
              <w:pStyle w:val="Compact"/>
            </w:pPr>
            <w:r>
              <w:t xml:space="preserve">1 µg/kg b.w.</w:t>
            </w:r>
          </w:p>
        </w:tc>
        <w:tc>
          <w:tcPr/>
          <w:p>
            <w:pPr>
              <w:pStyle w:val="Compact"/>
            </w:pPr>
            <w:r>
              <w:t xml:space="preserve">Dosis de referencia aguda (aplicando factor de incertidumbre ×30)</w:t>
            </w:r>
          </w:p>
        </w:tc>
      </w:tr>
      <w:tr>
        <w:tc>
          <w:tcPr/>
          <w:p>
            <w:pPr>
              <w:pStyle w:val="Compact"/>
            </w:pPr>
            <w:r>
              <w:rPr>
                <w:b/>
                <w:bCs/>
              </w:rPr>
              <w:t xml:space="preserve">“Desired high”</w:t>
            </w:r>
          </w:p>
        </w:tc>
        <w:tc>
          <w:tcPr/>
          <w:p>
            <w:pPr>
              <w:pStyle w:val="Compact"/>
            </w:pPr>
            <w:r>
              <w:t xml:space="preserve">3,1 ± 0,9 mg sistémico</w:t>
            </w:r>
          </w:p>
        </w:tc>
        <w:tc>
          <w:tcPr/>
          <w:p>
            <w:pPr>
              <w:pStyle w:val="Compact"/>
            </w:pPr>
            <w:r>
              <w:t xml:space="preserve">Umbral para efectos psicoactivos perceptibles (Perez-Reyes, 1972) [20]</w:t>
            </w:r>
          </w:p>
        </w:tc>
      </w:tr>
    </w:tbl>
    <w:p>
      <w:pPr>
        <w:pStyle w:val="BlockText"/>
      </w:pPr>
      <w:r>
        <w:rPr>
          <w:i/>
          <w:iCs/>
        </w:rPr>
        <w:t xml:space="preserve">Fuente: EFSA CONTAM Panel (2015) [4], EFSA Journal 13(6):4141</w:t>
      </w:r>
    </w:p>
    <w:bookmarkEnd w:id="13"/>
    <w:bookmarkStart w:id="14" w:name="X25eb318d99511b09dc0dafc1c3adf02e57daec3"/>
    <w:p>
      <w:pPr>
        <w:pStyle w:val="Heading3"/>
      </w:pPr>
      <w:r>
        <w:t xml:space="preserve">A.2 Parámetros farmacocinéticos de inhalación</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50"/>
        <w:gridCol w:w="2132"/>
        <w:gridCol w:w="2436"/>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Fuente</w:t>
            </w:r>
          </w:p>
        </w:tc>
      </w:tr>
      <w:tr>
        <w:tc>
          <w:tcPr/>
          <w:p>
            <w:pPr>
              <w:pStyle w:val="Compact"/>
            </w:pPr>
            <w:r>
              <w:rPr>
                <w:b/>
                <w:bCs/>
              </w:rPr>
              <w:t xml:space="preserve">Transfer a mainstream smoke</w:t>
            </w:r>
          </w:p>
        </w:tc>
        <w:tc>
          <w:tcPr/>
          <w:p>
            <w:pPr>
              <w:pStyle w:val="Compact"/>
            </w:pPr>
            <w:r>
              <w:t xml:space="preserve">12,6% (rango 7,2-28,0%)</w:t>
            </w:r>
          </w:p>
        </w:tc>
        <w:tc>
          <w:tcPr/>
          <w:p>
            <w:pPr>
              <w:pStyle w:val="Compact"/>
            </w:pPr>
            <w:r>
              <w:t xml:space="preserve">Sheehan et al. (2019) [13],</w:t>
            </w:r>
            <w:r>
              <w:t xml:space="preserve"> </w:t>
            </w:r>
            <w:r>
              <w:rPr>
                <w:i/>
                <w:iCs/>
              </w:rPr>
              <w:t xml:space="preserve">J. Anal. Toxicol.</w:t>
            </w:r>
          </w:p>
        </w:tc>
      </w:tr>
      <w:tr>
        <w:tc>
          <w:tcPr/>
          <w:p>
            <w:pPr>
              <w:pStyle w:val="Compact"/>
            </w:pPr>
            <w:r>
              <w:rPr>
                <w:b/>
                <w:bCs/>
              </w:rPr>
              <w:t xml:space="preserve">Biodisponibilidad pulmonar</w:t>
            </w:r>
          </w:p>
        </w:tc>
        <w:tc>
          <w:tcPr/>
          <w:p>
            <w:pPr>
              <w:pStyle w:val="Compact"/>
            </w:pPr>
            <w:r>
              <w:t xml:space="preserve">28,7 ± 8,2% (vs i.v.)</w:t>
            </w:r>
          </w:p>
        </w:tc>
        <w:tc>
          <w:tcPr/>
          <w:p>
            <w:pPr>
              <w:pStyle w:val="Compact"/>
            </w:pPr>
            <w:r>
              <w:t xml:space="preserve">Naef et al. (2004) [14],</w:t>
            </w:r>
            <w:r>
              <w:t xml:space="preserve"> </w:t>
            </w:r>
            <w:r>
              <w:rPr>
                <w:i/>
                <w:iCs/>
              </w:rPr>
              <w:t xml:space="preserve">J. Pharm. Sci.</w:t>
            </w:r>
          </w:p>
        </w:tc>
      </w:tr>
      <w:tr>
        <w:tc>
          <w:tcPr/>
          <w:p>
            <w:pPr>
              <w:pStyle w:val="Compact"/>
            </w:pPr>
            <w:r>
              <w:rPr>
                <w:b/>
                <w:bCs/>
              </w:rPr>
              <w:t xml:space="preserve">Rango general biodisponibilidad fumado</w:t>
            </w:r>
          </w:p>
        </w:tc>
        <w:tc>
          <w:tcPr/>
          <w:p>
            <w:pPr>
              <w:pStyle w:val="Compact"/>
            </w:pPr>
            <w:r>
              <w:t xml:space="preserve">10-35% (media ~30%)</w:t>
            </w:r>
          </w:p>
        </w:tc>
        <w:tc>
          <w:tcPr/>
          <w:p>
            <w:pPr>
              <w:pStyle w:val="Compact"/>
            </w:pPr>
            <w:r>
              <w:t xml:space="preserve">Grotenhermen (2003) [24],</w:t>
            </w:r>
            <w:r>
              <w:t xml:space="preserve"> </w:t>
            </w:r>
            <w:r>
              <w:rPr>
                <w:i/>
                <w:iCs/>
              </w:rPr>
              <w:t xml:space="preserve">Clin. Pharmacokinet.</w:t>
            </w:r>
          </w:p>
        </w:tc>
      </w:tr>
    </w:tbl>
    <w:bookmarkEnd w:id="14"/>
    <w:bookmarkStart w:id="15" w:name="X26df7f17c9aa9199d46fa8e28d29303a8f0a991"/>
    <w:p>
      <w:pPr>
        <w:pStyle w:val="Heading3"/>
      </w:pPr>
      <w:r>
        <w:t xml:space="preserve">A.3 Cálculo de dosis sistémica: escenario desfavorable</w:t>
      </w:r>
    </w:p>
    <w:p>
      <w:pPr>
        <w:pStyle w:val="FirstParagraph"/>
      </w:pPr>
      <w:r>
        <w:rPr>
          <w:b/>
          <w:bCs/>
        </w:rPr>
        <w:t xml:space="preserve">Supuesto</w:t>
      </w:r>
      <w:r>
        <w:t xml:space="preserve">: Combustión completa de 1 gramo de cáñamo al 1% THC (escenario extremo)</w:t>
      </w:r>
    </w:p>
    <w:tbl>
      <w:tblPr>
        <w:tblW w:w="5000" w:type="pct"/>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Paso</w:t>
            </w:r>
          </w:p>
        </w:tc>
        <w:tc>
          <w:tcPr/>
          <w:p>
            <w:pPr>
              <w:pStyle w:val="Compact"/>
            </w:pPr>
            <w:r>
              <w:t xml:space="preserve">Cálculo</w:t>
            </w:r>
          </w:p>
        </w:tc>
        <w:tc>
          <w:tcPr/>
          <w:p>
            <w:pPr>
              <w:pStyle w:val="Compact"/>
            </w:pPr>
            <w:r>
              <w:t xml:space="preserve">Resultado</w:t>
            </w:r>
          </w:p>
        </w:tc>
      </w:tr>
      <w:tr>
        <w:tc>
          <w:tcPr/>
          <w:p>
            <w:pPr>
              <w:pStyle w:val="Compact"/>
            </w:pPr>
            <w:r>
              <w:t xml:space="preserve">THC total en material</w:t>
            </w:r>
          </w:p>
        </w:tc>
        <w:tc>
          <w:tcPr/>
          <w:p>
            <w:pPr>
              <w:pStyle w:val="Compact"/>
            </w:pPr>
            <w:r>
              <w:t xml:space="preserve">1.000 mg × 1%</w:t>
            </w:r>
          </w:p>
        </w:tc>
        <w:tc>
          <w:tcPr/>
          <w:p>
            <w:pPr>
              <w:pStyle w:val="Compact"/>
            </w:pPr>
            <w:r>
              <w:rPr>
                <w:b/>
                <w:bCs/>
              </w:rPr>
              <w:t xml:space="preserve">10 mg</w:t>
            </w:r>
          </w:p>
        </w:tc>
      </w:tr>
      <w:tr>
        <w:tc>
          <w:tcPr/>
          <w:p>
            <w:pPr>
              <w:pStyle w:val="Compact"/>
            </w:pPr>
            <w:r>
              <w:t xml:space="preserve">THC transferido a mainstream (12,6%)</w:t>
            </w:r>
          </w:p>
        </w:tc>
        <w:tc>
          <w:tcPr/>
          <w:p>
            <w:pPr>
              <w:pStyle w:val="Compact"/>
            </w:pPr>
            <w:r>
              <w:t xml:space="preserve">10 mg × 0,126</w:t>
            </w:r>
          </w:p>
        </w:tc>
        <w:tc>
          <w:tcPr/>
          <w:p>
            <w:pPr>
              <w:pStyle w:val="Compact"/>
            </w:pPr>
            <w:r>
              <w:rPr>
                <w:b/>
                <w:bCs/>
              </w:rPr>
              <w:t xml:space="preserve">1,26 mg</w:t>
            </w:r>
          </w:p>
        </w:tc>
      </w:tr>
      <w:tr>
        <w:tc>
          <w:tcPr/>
          <w:p>
            <w:pPr>
              <w:pStyle w:val="Compact"/>
            </w:pPr>
            <w:r>
              <w:t xml:space="preserve">THC absorbido sistémicamente (28,7%)</w:t>
            </w:r>
          </w:p>
        </w:tc>
        <w:tc>
          <w:tcPr/>
          <w:p>
            <w:pPr>
              <w:pStyle w:val="Compact"/>
            </w:pPr>
            <w:r>
              <w:t xml:space="preserve">1,26 mg × 0,287</w:t>
            </w:r>
          </w:p>
        </w:tc>
        <w:tc>
          <w:tcPr/>
          <w:p>
            <w:pPr>
              <w:pStyle w:val="Compact"/>
            </w:pPr>
            <w:r>
              <w:rPr>
                <w:b/>
                <w:bCs/>
              </w:rPr>
              <w:t xml:space="preserve">0,36 mg</w:t>
            </w:r>
          </w:p>
        </w:tc>
      </w:tr>
    </w:tbl>
    <w:p>
      <w:pPr>
        <w:pStyle w:val="BodyText"/>
      </w:pPr>
      <w:r>
        <w:rPr>
          <w:b/>
          <w:bCs/>
        </w:rPr>
        <w:t xml:space="preserve">Margen de seguridad vs umbral psicoactivo (3,1 mg)</w:t>
      </w:r>
      <w:r>
        <w:t xml:space="preserve">:</w:t>
      </w:r>
    </w:p>
    <w:tbl>
      <w:tblPr>
        <w:tblW w:w="5000" w:type="pct"/>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Escenario</w:t>
            </w:r>
          </w:p>
        </w:tc>
        <w:tc>
          <w:tcPr/>
          <w:p>
            <w:pPr>
              <w:pStyle w:val="Compact"/>
            </w:pPr>
            <w:r>
              <w:t xml:space="preserve">THC sistémico</w:t>
            </w:r>
          </w:p>
        </w:tc>
        <w:tc>
          <w:tcPr/>
          <w:p>
            <w:pPr>
              <w:pStyle w:val="Compact"/>
            </w:pPr>
            <w:r>
              <w:t xml:space="preserve">Margen vs</w:t>
            </w:r>
            <w:r>
              <w:t xml:space="preserve"> </w:t>
            </w:r>
            <w:r>
              <w:t xml:space="preserve">“desired high”</w:t>
            </w:r>
          </w:p>
        </w:tc>
      </w:tr>
      <w:tr>
        <w:tc>
          <w:tcPr/>
          <w:p>
            <w:pPr>
              <w:pStyle w:val="Compact"/>
            </w:pPr>
            <w:r>
              <w:t xml:space="preserve">Conservador (1g @ 1% THC)</w:t>
            </w:r>
          </w:p>
        </w:tc>
        <w:tc>
          <w:tcPr/>
          <w:p>
            <w:pPr>
              <w:pStyle w:val="Compact"/>
            </w:pPr>
            <w:r>
              <w:t xml:space="preserve">0,36 mg</w:t>
            </w:r>
          </w:p>
        </w:tc>
        <w:tc>
          <w:tcPr/>
          <w:p>
            <w:pPr>
              <w:pStyle w:val="Compact"/>
            </w:pPr>
            <w:r>
              <w:rPr>
                <w:b/>
                <w:bCs/>
              </w:rPr>
              <w:t xml:space="preserve">×8,6</w:t>
            </w:r>
          </w:p>
        </w:tc>
      </w:tr>
      <w:tr>
        <w:tc>
          <w:tcPr/>
          <w:p>
            <w:pPr>
              <w:pStyle w:val="Compact"/>
            </w:pPr>
            <w:r>
              <w:t xml:space="preserve">Típico (0,5g @ 1% THC)</w:t>
            </w:r>
          </w:p>
        </w:tc>
        <w:tc>
          <w:tcPr/>
          <w:p>
            <w:pPr>
              <w:pStyle w:val="Compact"/>
            </w:pPr>
            <w:r>
              <w:t xml:space="preserve">0,18 mg</w:t>
            </w:r>
          </w:p>
        </w:tc>
        <w:tc>
          <w:tcPr/>
          <w:p>
            <w:pPr>
              <w:pStyle w:val="Compact"/>
            </w:pPr>
            <w:r>
              <w:rPr>
                <w:b/>
                <w:bCs/>
              </w:rPr>
              <w:t xml:space="preserve">×17,2</w:t>
            </w:r>
          </w:p>
        </w:tc>
      </w:tr>
      <w:tr>
        <w:tc>
          <w:tcPr/>
          <w:p>
            <w:pPr>
              <w:pStyle w:val="Compact"/>
            </w:pPr>
            <w:r>
              <w:t xml:space="preserve">Peor caso (parámetros máximos)</w:t>
            </w:r>
          </w:p>
        </w:tc>
        <w:tc>
          <w:tcPr/>
          <w:p>
            <w:pPr>
              <w:pStyle w:val="Compact"/>
            </w:pPr>
            <w:r>
              <w:t xml:space="preserve">0,80 mg</w:t>
            </w:r>
          </w:p>
        </w:tc>
        <w:tc>
          <w:tcPr/>
          <w:p>
            <w:pPr>
              <w:pStyle w:val="Compact"/>
            </w:pPr>
            <w:r>
              <w:rPr>
                <w:b/>
                <w:bCs/>
              </w:rPr>
              <w:t xml:space="preserve">×3,9</w:t>
            </w:r>
          </w:p>
        </w:tc>
      </w:tr>
    </w:tbl>
    <w:p>
      <w:pPr>
        <w:pStyle w:val="BlockText"/>
      </w:pPr>
      <w:r>
        <w:rPr>
          <w:b/>
          <w:bCs/>
        </w:rPr>
        <w:t xml:space="preserve">Conclusión cuantitativa</w:t>
      </w:r>
      <w:r>
        <w:t xml:space="preserve">: Incluso en el escenario más desfavorable (1g completo, parámetros de transferencia y biodisponibilidad en el límite superior), la dosis sistémica queda casi</w:t>
      </w:r>
      <w:r>
        <w:t xml:space="preserve"> </w:t>
      </w:r>
      <w:r>
        <w:rPr>
          <w:b/>
          <w:bCs/>
        </w:rPr>
        <w:t xml:space="preserve">4 veces por debajo</w:t>
      </w:r>
      <w:r>
        <w:t xml:space="preserve"> </w:t>
      </w:r>
      <w:r>
        <w:t xml:space="preserve">del umbral de efectos psicoactivos perceptibles. En escenarios realistas, el margen supera</w:t>
      </w:r>
      <w:r>
        <w:t xml:space="preserve"> </w:t>
      </w:r>
      <w:r>
        <w:rPr>
          <w:b/>
          <w:bCs/>
        </w:rPr>
        <w:t xml:space="preserve">×8-17</w:t>
      </w:r>
      <w:r>
        <w:t xml:space="preserve">.</w:t>
      </w:r>
    </w:p>
    <w:bookmarkEnd w:id="15"/>
    <w:bookmarkStart w:id="16" w:name="X2407ee22a6a0fff818a805726d2b366f4fd7458"/>
    <w:p>
      <w:pPr>
        <w:pStyle w:val="Heading3"/>
      </w:pPr>
      <w:r>
        <w:t xml:space="preserve">A.4 Validación clínica directa: ensayos con cannabis CBD-dominante</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20"/>
        <w:gridCol w:w="440"/>
        <w:gridCol w:w="1466"/>
        <w:gridCol w:w="1613"/>
        <w:gridCol w:w="3080"/>
      </w:tblGrid>
      <w:tr>
        <w:trPr>
          <w:tblHeader w:val="on"/>
        </w:trPr>
        <w:tc>
          <w:tcPr/>
          <w:p>
            <w:pPr>
              <w:pStyle w:val="Compact"/>
            </w:pPr>
            <w:r>
              <w:t xml:space="preserve">Estudio</w:t>
            </w:r>
          </w:p>
        </w:tc>
        <w:tc>
          <w:tcPr/>
          <w:p>
            <w:pPr>
              <w:pStyle w:val="Compact"/>
            </w:pPr>
            <w:r>
              <w:t xml:space="preserve">N</w:t>
            </w:r>
          </w:p>
        </w:tc>
        <w:tc>
          <w:tcPr/>
          <w:p>
            <w:pPr>
              <w:pStyle w:val="Compact"/>
            </w:pPr>
            <w:r>
              <w:t xml:space="preserve">Producto</w:t>
            </w:r>
          </w:p>
        </w:tc>
        <w:tc>
          <w:tcPr/>
          <w:p>
            <w:pPr>
              <w:pStyle w:val="Compact"/>
            </w:pPr>
            <w:r>
              <w:t xml:space="preserve">Dosis THC</w:t>
            </w:r>
          </w:p>
        </w:tc>
        <w:tc>
          <w:tcPr/>
          <w:p>
            <w:pPr>
              <w:pStyle w:val="Compact"/>
            </w:pPr>
            <w:r>
              <w:t xml:space="preserve">Resultado principal</w:t>
            </w:r>
          </w:p>
        </w:tc>
      </w:tr>
      <w:tr>
        <w:tc>
          <w:tcPr/>
          <w:p>
            <w:pPr>
              <w:pStyle w:val="Compact"/>
            </w:pPr>
            <w:r>
              <w:rPr>
                <w:b/>
                <w:bCs/>
              </w:rPr>
              <w:t xml:space="preserve">Arkell et al. (2020)</w:t>
            </w:r>
            <w:r>
              <w:t xml:space="preserve"> </w:t>
            </w:r>
            <w:r>
              <w:t xml:space="preserve">[21],</w:t>
            </w:r>
            <w:r>
              <w:t xml:space="preserve"> </w:t>
            </w:r>
            <w:r>
              <w:rPr>
                <w:i/>
                <w:iCs/>
              </w:rPr>
              <w:t xml:space="preserve">JAMA</w:t>
            </w:r>
            <w:r>
              <w:t xml:space="preserve"> </w:t>
            </w:r>
            <w:r>
              <w:t xml:space="preserve">324(21):2177</w:t>
            </w:r>
          </w:p>
        </w:tc>
        <w:tc>
          <w:tcPr/>
          <w:p>
            <w:pPr>
              <w:pStyle w:val="Compact"/>
            </w:pPr>
            <w:r>
              <w:t xml:space="preserve">26</w:t>
            </w:r>
          </w:p>
        </w:tc>
        <w:tc>
          <w:tcPr/>
          <w:p>
            <w:pPr>
              <w:pStyle w:val="Compact"/>
            </w:pPr>
            <w:r>
              <w:t xml:space="preserve">CBD-dominante vaporizado (&lt;1% THC)</w:t>
            </w:r>
          </w:p>
        </w:tc>
        <w:tc>
          <w:tcPr/>
          <w:p>
            <w:pPr>
              <w:pStyle w:val="Compact"/>
            </w:pPr>
            <w:r>
              <w:t xml:space="preserve">13,75 mg CBD</w:t>
            </w:r>
          </w:p>
        </w:tc>
        <w:tc>
          <w:tcPr/>
          <w:p>
            <w:pPr>
              <w:pStyle w:val="Compact"/>
            </w:pPr>
            <w:r>
              <w:t xml:space="preserve">SDLP (desviación lateral)</w:t>
            </w:r>
            <w:r>
              <w:t xml:space="preserve"> </w:t>
            </w:r>
            <w:r>
              <w:rPr>
                <w:b/>
                <w:bCs/>
              </w:rPr>
              <w:t xml:space="preserve">sin diferencia vs placebo</w:t>
            </w:r>
            <w:r>
              <w:t xml:space="preserve"> </w:t>
            </w:r>
            <w:r>
              <w:t xml:space="preserve">a 40-100 min ni 240-300 min</w:t>
            </w:r>
          </w:p>
        </w:tc>
      </w:tr>
      <w:tr>
        <w:tc>
          <w:tcPr/>
          <w:p>
            <w:pPr>
              <w:pStyle w:val="Compact"/>
            </w:pPr>
            <w:r>
              <w:rPr>
                <w:b/>
                <w:bCs/>
              </w:rPr>
              <w:t xml:space="preserve">Egloff et al. (2023)</w:t>
            </w:r>
            <w:r>
              <w:t xml:space="preserve"> </w:t>
            </w:r>
            <w:r>
              <w:t xml:space="preserve">[22],</w:t>
            </w:r>
            <w:r>
              <w:t xml:space="preserve"> </w:t>
            </w:r>
            <w:r>
              <w:rPr>
                <w:i/>
                <w:iCs/>
              </w:rPr>
              <w:t xml:space="preserve">Int. J. Legal Med.</w:t>
            </w:r>
            <w:r>
              <w:t xml:space="preserve"> </w:t>
            </w:r>
            <w:r>
              <w:t xml:space="preserve">137:1713</w:t>
            </w:r>
          </w:p>
        </w:tc>
        <w:tc>
          <w:tcPr/>
          <w:p>
            <w:pPr>
              <w:pStyle w:val="Compact"/>
            </w:pPr>
            <w:r>
              <w:t xml:space="preserve">27</w:t>
            </w:r>
          </w:p>
        </w:tc>
        <w:tc>
          <w:tcPr/>
          <w:p>
            <w:pPr>
              <w:pStyle w:val="Compact"/>
            </w:pPr>
            <w:r>
              <w:t xml:space="preserve">&lt;1% THC vaporizado (Volcano)</w:t>
            </w:r>
          </w:p>
        </w:tc>
        <w:tc>
          <w:tcPr/>
          <w:p>
            <w:pPr>
              <w:pStyle w:val="Compact"/>
            </w:pPr>
            <w:r>
              <w:t xml:space="preserve">1,8 mg / 0,6 mg</w:t>
            </w:r>
          </w:p>
        </w:tc>
        <w:tc>
          <w:tcPr/>
          <w:p>
            <w:pPr>
              <w:pStyle w:val="Compact"/>
            </w:pPr>
            <w:r>
              <w:rPr>
                <w:b/>
                <w:bCs/>
              </w:rPr>
              <w:t xml:space="preserve">0% participantes</w:t>
            </w:r>
            <w:r>
              <w:t xml:space="preserve"> </w:t>
            </w:r>
            <w:r>
              <w:t xml:space="preserve">alcanzaron umbral legal suizo (2,2 µg/L); conducción</w:t>
            </w:r>
            <w:r>
              <w:t xml:space="preserve"> </w:t>
            </w:r>
            <w:r>
              <w:rPr>
                <w:b/>
                <w:bCs/>
              </w:rPr>
              <w:t xml:space="preserve">normal vs placebo</w:t>
            </w:r>
          </w:p>
        </w:tc>
      </w:tr>
      <w:tr>
        <w:tc>
          <w:tcPr/>
          <w:p>
            <w:pPr>
              <w:pStyle w:val="Compact"/>
            </w:pPr>
            <w:r>
              <w:rPr>
                <w:b/>
                <w:bCs/>
              </w:rPr>
              <w:t xml:space="preserve">Spindle et al. (2020)</w:t>
            </w:r>
            <w:r>
              <w:t xml:space="preserve"> </w:t>
            </w:r>
            <w:r>
              <w:t xml:space="preserve">[23],</w:t>
            </w:r>
            <w:r>
              <w:t xml:space="preserve"> </w:t>
            </w:r>
            <w:r>
              <w:rPr>
                <w:i/>
                <w:iCs/>
              </w:rPr>
              <w:t xml:space="preserve">Drug Alcohol Depend.</w:t>
            </w:r>
            <w:r>
              <w:t xml:space="preserve"> </w:t>
            </w:r>
            <w:r>
              <w:t xml:space="preserve">211:107937</w:t>
            </w:r>
          </w:p>
        </w:tc>
        <w:tc>
          <w:tcPr/>
          <w:p>
            <w:pPr>
              <w:pStyle w:val="Compact"/>
            </w:pPr>
            <w:r>
              <w:t xml:space="preserve">18</w:t>
            </w:r>
          </w:p>
        </w:tc>
        <w:tc>
          <w:tcPr/>
          <w:p>
            <w:pPr>
              <w:pStyle w:val="Compact"/>
            </w:pPr>
            <w:r>
              <w:t xml:space="preserve">CBD-dominante (100mg CBD + 3,7mg THC)</w:t>
            </w:r>
          </w:p>
        </w:tc>
        <w:tc>
          <w:tcPr/>
          <w:p>
            <w:pPr>
              <w:pStyle w:val="Compact"/>
            </w:pPr>
            <w:r>
              <w:t xml:space="preserve">3,7 mg</w:t>
            </w:r>
          </w:p>
        </w:tc>
        <w:tc>
          <w:tcPr/>
          <w:p>
            <w:pPr>
              <w:pStyle w:val="Compact"/>
            </w:pPr>
            <w:r>
              <w:rPr>
                <w:b/>
                <w:bCs/>
              </w:rPr>
              <w:t xml:space="preserve">Sin deterioro</w:t>
            </w:r>
            <w:r>
              <w:t xml:space="preserve"> </w:t>
            </w:r>
            <w:r>
              <w:t xml:space="preserve">en DSST, DAT ni PASAT vs placebo</w:t>
            </w:r>
          </w:p>
        </w:tc>
      </w:tr>
    </w:tbl>
    <w:bookmarkEnd w:id="16"/>
    <w:bookmarkStart w:id="17" w:name="a.5-efecto-modulador-del-cbd"/>
    <w:p>
      <w:pPr>
        <w:pStyle w:val="Heading3"/>
      </w:pPr>
      <w:r>
        <w:t xml:space="preserve">A.5 Efecto modulador del CBD</w:t>
      </w:r>
    </w:p>
    <w:p>
      <w:pPr>
        <w:pStyle w:val="FirstParagraph"/>
      </w:pPr>
      <w:r>
        <w:t xml:space="preserve">El cáñamo industrial presenta ratios CBD:THC típicas de 2:1 a 17:1. El CBD actúa como modulador alostérico negativo del receptor CB1, reduciendo la eficacia del THC:</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10"/>
        <w:gridCol w:w="2043"/>
        <w:gridCol w:w="3065"/>
      </w:tblGrid>
      <w:tr>
        <w:trPr>
          <w:tblHeader w:val="on"/>
        </w:trPr>
        <w:tc>
          <w:tcPr/>
          <w:p>
            <w:pPr>
              <w:pStyle w:val="Compact"/>
            </w:pPr>
            <w:r>
              <w:t xml:space="preserve">Mecanismo</w:t>
            </w:r>
          </w:p>
        </w:tc>
        <w:tc>
          <w:tcPr/>
          <w:p>
            <w:pPr>
              <w:pStyle w:val="Compact"/>
            </w:pPr>
            <w:r>
              <w:t xml:space="preserve">Efecto</w:t>
            </w:r>
          </w:p>
        </w:tc>
        <w:tc>
          <w:tcPr/>
          <w:p>
            <w:pPr>
              <w:pStyle w:val="Compact"/>
            </w:pPr>
            <w:r>
              <w:t xml:space="preserve">Referencia</w:t>
            </w:r>
          </w:p>
        </w:tc>
      </w:tr>
      <w:tr>
        <w:tc>
          <w:tcPr/>
          <w:p>
            <w:pPr>
              <w:pStyle w:val="Compact"/>
            </w:pPr>
            <w:r>
              <w:t xml:space="preserve">Antagonismo alostérico CB1</w:t>
            </w:r>
          </w:p>
        </w:tc>
        <w:tc>
          <w:tcPr/>
          <w:p>
            <w:pPr>
              <w:pStyle w:val="Compact"/>
            </w:pPr>
            <w:r>
              <w:t xml:space="preserve">Reduce</w:t>
            </w:r>
            <w:r>
              <w:t xml:space="preserve"> </w:t>
            </w:r>
            <w:r>
              <w:t xml:space="preserve">“high”</w:t>
            </w:r>
            <w:r>
              <w:t xml:space="preserve"> </w:t>
            </w:r>
            <w:r>
              <w:t xml:space="preserve">subjetivo</w:t>
            </w:r>
          </w:p>
        </w:tc>
        <w:tc>
          <w:tcPr/>
          <w:p>
            <w:pPr>
              <w:pStyle w:val="Compact"/>
            </w:pPr>
            <w:r>
              <w:t xml:space="preserve">Zuardi et al. (1982) [25]; Dalton et al. (1976) [26]</w:t>
            </w:r>
          </w:p>
        </w:tc>
      </w:tr>
      <w:tr>
        <w:tc>
          <w:tcPr/>
          <w:p>
            <w:pPr>
              <w:pStyle w:val="Compact"/>
            </w:pPr>
            <w:r>
              <w:t xml:space="preserve">Inhibición CYP2C9</w:t>
            </w:r>
          </w:p>
        </w:tc>
        <w:tc>
          <w:tcPr/>
          <w:p>
            <w:pPr>
              <w:pStyle w:val="Compact"/>
            </w:pPr>
            <w:r>
              <w:t xml:space="preserve">Reduce conversión a 11-OH-THC (metabolito activo)</w:t>
            </w:r>
          </w:p>
        </w:tc>
        <w:tc>
          <w:tcPr/>
          <w:p>
            <w:pPr>
              <w:pStyle w:val="Compact"/>
            </w:pPr>
            <w:r>
              <w:t xml:space="preserve">OMS (2018) [48]</w:t>
            </w:r>
          </w:p>
        </w:tc>
      </w:tr>
      <w:tr>
        <w:tc>
          <w:tcPr/>
          <w:p>
            <w:pPr>
              <w:pStyle w:val="Compact"/>
            </w:pPr>
            <w:r>
              <w:t xml:space="preserve">Modulación ansiedad</w:t>
            </w:r>
          </w:p>
        </w:tc>
        <w:tc>
          <w:tcPr/>
          <w:p>
            <w:pPr>
              <w:pStyle w:val="Compact"/>
            </w:pPr>
            <w:r>
              <w:t xml:space="preserve">Contrarresta ansiedad inducida por THC</w:t>
            </w:r>
          </w:p>
        </w:tc>
        <w:tc>
          <w:tcPr/>
          <w:p>
            <w:pPr>
              <w:pStyle w:val="Compact"/>
            </w:pPr>
            <w:r>
              <w:t xml:space="preserve">Freeman et al. (2019) [27],</w:t>
            </w:r>
            <w:r>
              <w:t xml:space="preserve"> </w:t>
            </w:r>
            <w:r>
              <w:rPr>
                <w:i/>
                <w:iCs/>
              </w:rPr>
              <w:t xml:space="preserve">Neurosci. Biobehav. Rev.</w:t>
            </w:r>
          </w:p>
        </w:tc>
      </w:tr>
    </w:tbl>
    <w:p>
      <w:pPr>
        <w:pStyle w:val="BlockText"/>
      </w:pPr>
      <w:r>
        <w:rPr>
          <w:b/>
          <w:bCs/>
        </w:rPr>
        <w:t xml:space="preserve">Implicación</w:t>
      </w:r>
      <w:r>
        <w:t xml:space="preserve">: Los estudios citados en A.4, realizados con productos CBD-dominantes, ya incorporan este efecto modulador. Los resultados negativos en deterioro cognitivo/psicomotor reflejan la realidad del cáñamo industrial, no THC aislado.</w:t>
      </w:r>
    </w:p>
    <w:bookmarkEnd w:id="17"/>
    <w:bookmarkStart w:id="18" w:name="a.6-conclusión-del-análisis"/>
    <w:p>
      <w:pPr>
        <w:pStyle w:val="Heading3"/>
      </w:pPr>
      <w:r>
        <w:t xml:space="preserve">A.6 Conclusión del análisis</w:t>
      </w:r>
    </w:p>
    <w:p>
      <w:pPr>
        <w:pStyle w:val="FirstParagraph"/>
      </w:pPr>
      <w:r>
        <w:t xml:space="preserve">La convergencia de evidencia —análisis farmacocinético cuantitativo y ensayos clínicos directos— demuestra que:</w:t>
      </w:r>
    </w:p>
    <w:p>
      <w:pPr>
        <w:numPr>
          <w:ilvl w:val="0"/>
          <w:numId w:val="1001"/>
        </w:numPr>
      </w:pPr>
      <w:r>
        <w:rPr>
          <w:b/>
          <w:bCs/>
        </w:rPr>
        <w:t xml:space="preserve">La dosis sistémica máxima</w:t>
      </w:r>
      <w:r>
        <w:t xml:space="preserve"> </w:t>
      </w:r>
      <w:r>
        <w:t xml:space="preserve">de THC al fumar cáñamo al 1% (0,36-0,80 mg) queda</w:t>
      </w:r>
      <w:r>
        <w:t xml:space="preserve"> </w:t>
      </w:r>
      <w:r>
        <w:rPr>
          <w:b/>
          <w:bCs/>
        </w:rPr>
        <w:t xml:space="preserve">×4-17 por debajo</w:t>
      </w:r>
      <w:r>
        <w:t xml:space="preserve"> </w:t>
      </w:r>
      <w:r>
        <w:t xml:space="preserve">del umbral psicoactivo documentado.</w:t>
      </w:r>
    </w:p>
    <w:p>
      <w:pPr>
        <w:numPr>
          <w:ilvl w:val="0"/>
          <w:numId w:val="1001"/>
        </w:numPr>
      </w:pPr>
      <w:r>
        <w:rPr>
          <w:b/>
          <w:bCs/>
        </w:rPr>
        <w:t xml:space="preserve">Los ensayos clínicos</w:t>
      </w:r>
      <w:r>
        <w:t xml:space="preserve"> </w:t>
      </w:r>
      <w:r>
        <w:t xml:space="preserve">con productos CBD-dominantes (&lt;1% THC) no detectan diferencias significativas respecto a placebo en conducción real, rendimiento cognitivo ni función psicomotora.</w:t>
      </w:r>
    </w:p>
    <w:p>
      <w:pPr>
        <w:numPr>
          <w:ilvl w:val="0"/>
          <w:numId w:val="1001"/>
        </w:numPr>
      </w:pPr>
      <w:r>
        <w:rPr>
          <w:b/>
          <w:bCs/>
        </w:rPr>
        <w:t xml:space="preserve">El efecto modulador del CBD</w:t>
      </w:r>
      <w:r>
        <w:t xml:space="preserve"> </w:t>
      </w:r>
      <w:r>
        <w:t xml:space="preserve">presente en el cáñamo industrial reduce adicionalmente cualquier impacto potencial del THC residual.</w:t>
      </w:r>
    </w:p>
    <w:p>
      <w:pPr>
        <w:pStyle w:val="FirstParagraph"/>
      </w:pPr>
      <w:r>
        <w:t xml:space="preserve">Este análisis respalda la conclusión de que el umbral del 1% THC para cáñamo industrial no presenta riesgo realista de abuso por inhalación.</w:t>
      </w:r>
    </w:p>
    <w:p>
      <w:pPr>
        <w:pStyle w:val="BlockText"/>
      </w:pPr>
      <w:r>
        <w:rPr>
          <w:b/>
          <w:bCs/>
        </w:rPr>
        <w:t xml:space="preserve">Nota</w:t>
      </w:r>
      <w:r>
        <w:t xml:space="preserve">: La comparativa internacional detallada se encuentra en la</w:t>
      </w:r>
      <w:r>
        <w:t xml:space="preserve"> </w:t>
      </w:r>
      <w:r>
        <w:rPr>
          <w:b/>
          <w:bCs/>
        </w:rPr>
        <w:t xml:space="preserve">Sección 2.3</w:t>
      </w:r>
      <w:r>
        <w:t xml:space="preserve"> </w:t>
      </w:r>
      <w:r>
        <w:t xml:space="preserve">del documento principal. El texto completo de las enmiendas propuestas se recoge en la</w:t>
      </w:r>
      <w:r>
        <w:t xml:space="preserve"> </w:t>
      </w:r>
      <w:r>
        <w:rPr>
          <w:b/>
          <w:bCs/>
        </w:rPr>
        <w:t xml:space="preserve">Sección 3.2</w:t>
      </w:r>
      <w:r>
        <w:t xml:space="preserve">.</w:t>
      </w:r>
    </w:p>
    <w:p>
      <w:r>
        <w:pict>
          <v:rect style="width:0;height:1.5pt" o:hralign="center" o:hrstd="t" o:hr="t"/>
        </w:pict>
      </w:r>
    </w:p>
    <w:bookmarkEnd w:id="18"/>
    <w:bookmarkEnd w:id="19"/>
    <w:bookmarkStart w:id="25" w:name="Xc9a0067c1699c4dcd081f3aff1f86b7eb350d10"/>
    <w:p>
      <w:pPr>
        <w:pStyle w:val="Heading2"/>
      </w:pPr>
      <w:r>
        <w:t xml:space="preserve">ANEXO B: EVIDENCIA AGRONÓMICA DETALLADA — Rendimiento y coste de oportunidad</w:t>
      </w:r>
    </w:p>
    <w:p>
      <w:pPr>
        <w:pStyle w:val="FirstParagraph"/>
      </w:pPr>
      <w:r>
        <w:t xml:space="preserve">Esta sección desarrolla la evidencia científica que respalda la conclusión de que el umbral del 0,3% THC excluye sistemáticamente las variedades más productivas.</w:t>
      </w:r>
    </w:p>
    <w:bookmarkStart w:id="20" w:name="X893168af65f8aaf91c0ff3576fcd736ebbdeed0"/>
    <w:p>
      <w:pPr>
        <w:pStyle w:val="Heading3"/>
      </w:pPr>
      <w:r>
        <w:t xml:space="preserve">B.1 Base científica: mecanismos biológicos</w:t>
      </w:r>
    </w:p>
    <w:p>
      <w:pPr>
        <w:pStyle w:val="FirstParagraph"/>
      </w:pPr>
      <w:r>
        <w:t xml:space="preserve">La correlación entre contenido de cannabinoides y rendimiento de biomasa responde a tres mecanismos documentados:</w:t>
      </w:r>
    </w:p>
    <w:p>
      <w:pPr>
        <w:pStyle w:val="BodyText"/>
      </w:pPr>
      <w:r>
        <w:rPr>
          <w:b/>
          <w:bCs/>
        </w:rPr>
        <w:t xml:space="preserve">1. Selección para cumplimiento = pérdida de productividad.</w:t>
      </w:r>
      <w:r>
        <w:t xml:space="preserve"> </w:t>
      </w:r>
      <w:r>
        <w:t xml:space="preserve">Las variedades de cáñamo desarrolladas para cumplir umbrales ultra-bajos de THC han sacrificado rendimiento. El programa húngaro de mejoramiento (1994-2019) documentó que las variedades seleccionadas para estabilidad química rinden</w:t>
      </w:r>
      <w:r>
        <w:t xml:space="preserve"> </w:t>
      </w:r>
      <w:r>
        <w:rPr>
          <w:b/>
          <w:bCs/>
        </w:rPr>
        <w:t xml:space="preserve">10-20% menos</w:t>
      </w:r>
      <w:r>
        <w:t xml:space="preserve"> </w:t>
      </w:r>
      <w:r>
        <w:t xml:space="preserve">que las variedades tradicionales de mayor diversidad genética [7,8].</w:t>
      </w:r>
    </w:p>
    <w:p>
      <w:pPr>
        <w:pStyle w:val="BodyText"/>
      </w:pPr>
      <w:r>
        <w:rPr>
          <w:b/>
          <w:bCs/>
        </w:rPr>
        <w:t xml:space="preserve">2. Rutas metabólicas compartidas.</w:t>
      </w:r>
      <w:r>
        <w:t xml:space="preserve"> </w:t>
      </w:r>
      <w:r>
        <w:t xml:space="preserve">La biosíntesis de cannabinoides y terpenoides comparte precursores comunes. Las plantas con mayor capacidad fotosintética canalizan excedentes hacia metabolismo secundario, produciendo simultáneamente</w:t>
      </w:r>
      <w:r>
        <w:t xml:space="preserve"> </w:t>
      </w:r>
      <w:r>
        <w:rPr>
          <w:b/>
          <w:bCs/>
        </w:rPr>
        <w:t xml:space="preserve">más biomasa y más cannabinoides</w:t>
      </w:r>
      <w:r>
        <w:t xml:space="preserve"> </w:t>
      </w:r>
      <w:r>
        <w:t xml:space="preserve">[9].</w:t>
      </w:r>
    </w:p>
    <w:p>
      <w:pPr>
        <w:pStyle w:val="BodyText"/>
      </w:pPr>
      <w:r>
        <w:rPr>
          <w:b/>
          <w:bCs/>
        </w:rPr>
        <w:t xml:space="preserve">3. Ciclo fenológico extendido.</w:t>
      </w:r>
      <w:r>
        <w:t xml:space="preserve"> </w:t>
      </w:r>
      <w:r>
        <w:t xml:space="preserve">Las variedades de floración tardía maximizan el período vegetativo y la acumulación de biomasa, pero también expresan mayor síntesis de THC pre-cosecha [10]. Restringir el THC implica restringir estas variedades de alto rendimiento.</w:t>
      </w:r>
    </w:p>
    <w:bookmarkEnd w:id="20"/>
    <w:bookmarkStart w:id="21" w:name="Xc373ec95744f92cf89ce4518c7b5b8008030e7b"/>
    <w:p>
      <w:pPr>
        <w:pStyle w:val="Heading3"/>
      </w:pPr>
      <w:r>
        <w:t xml:space="preserve">B.2 Evidencia europea: ensayos de campo controlados</w:t>
      </w:r>
    </w:p>
    <w:p>
      <w:pPr>
        <w:pStyle w:val="FirstParagraph"/>
      </w:pPr>
      <w:r>
        <w:t xml:space="preserve">Rahemi et al. [6] documentaron en ensayos multianuales en condiciones europeas los siguientes resultados:</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20"/>
        <w:gridCol w:w="1933"/>
        <w:gridCol w:w="1381"/>
        <w:gridCol w:w="2486"/>
        <w:gridCol w:w="1197"/>
      </w:tblGrid>
      <w:tr>
        <w:trPr>
          <w:tblHeader w:val="on"/>
        </w:trPr>
        <w:tc>
          <w:tcPr/>
          <w:p>
            <w:pPr>
              <w:pStyle w:val="Compact"/>
            </w:pPr>
            <w:r>
              <w:t xml:space="preserve">Variedad</w:t>
            </w:r>
          </w:p>
        </w:tc>
        <w:tc>
          <w:tcPr/>
          <w:p>
            <w:pPr>
              <w:pStyle w:val="Compact"/>
            </w:pPr>
            <w:r>
              <w:t xml:space="preserve">Sistema reproductivo</w:t>
            </w:r>
          </w:p>
        </w:tc>
        <w:tc>
          <w:tcPr/>
          <w:p>
            <w:pPr>
              <w:pStyle w:val="Compact"/>
            </w:pPr>
            <w:r>
              <w:t xml:space="preserve">THC histórico</w:t>
            </w:r>
          </w:p>
        </w:tc>
        <w:tc>
          <w:tcPr/>
          <w:p>
            <w:pPr>
              <w:pStyle w:val="Compact"/>
            </w:pPr>
            <w:r>
              <w:t xml:space="preserve">Biomasa tallo seco (t/ha)</w:t>
            </w:r>
          </w:p>
        </w:tc>
        <w:tc>
          <w:tcPr/>
          <w:p>
            <w:pPr>
              <w:pStyle w:val="Compact"/>
            </w:pPr>
            <w:r>
              <w:t xml:space="preserve">Diferencial</w:t>
            </w:r>
          </w:p>
        </w:tc>
      </w:tr>
      <w:tr>
        <w:tc>
          <w:tcPr/>
          <w:p>
            <w:pPr>
              <w:pStyle w:val="Compact"/>
            </w:pPr>
            <w:r>
              <w:rPr>
                <w:b/>
                <w:bCs/>
              </w:rPr>
              <w:t xml:space="preserve">Carmagnola</w:t>
            </w:r>
          </w:p>
        </w:tc>
        <w:tc>
          <w:tcPr/>
          <w:p>
            <w:pPr>
              <w:pStyle w:val="Compact"/>
            </w:pPr>
            <w:r>
              <w:t xml:space="preserve">Dioica italiana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Monoica francesa</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Monoica francesa</w:t>
            </w:r>
          </w:p>
        </w:tc>
        <w:tc>
          <w:tcPr/>
          <w:p>
            <w:pPr>
              <w:pStyle w:val="Compact"/>
            </w:pPr>
            <w:r>
              <w:t xml:space="preserve">&lt;0,2%</w:t>
            </w:r>
          </w:p>
        </w:tc>
        <w:tc>
          <w:tcPr/>
          <w:p>
            <w:pPr>
              <w:pStyle w:val="Compact"/>
            </w:pPr>
            <w:r>
              <w:t xml:space="preserve">4,35</w:t>
            </w:r>
          </w:p>
        </w:tc>
        <w:tc>
          <w:tcPr/>
          <w:p>
            <w:pPr>
              <w:pStyle w:val="Compact"/>
            </w:pPr>
            <w:r>
              <w:t xml:space="preserve">-5,4%</w:t>
            </w:r>
          </w:p>
        </w:tc>
      </w:tr>
    </w:tbl>
    <w:p>
      <w:pPr>
        <w:pStyle w:val="BodyText"/>
      </w:pPr>
      <w:r>
        <w:rPr>
          <w:b/>
          <w:bCs/>
        </w:rPr>
        <w:t xml:space="preserve">Carmagnola</w:t>
      </w:r>
      <w:r>
        <w:t xml:space="preserve">, la variedad dioica tradicional del Piamonte con contenido histórico de THC 0,4-0,6%, produce</w:t>
      </w:r>
      <w:r>
        <w:t xml:space="preserve"> </w:t>
      </w:r>
      <w:r>
        <w:rPr>
          <w:b/>
          <w:bCs/>
        </w:rPr>
        <w:t xml:space="preserve">8,62 toneladas por hectárea</w:t>
      </w:r>
      <w:r>
        <w:t xml:space="preserve"> </w:t>
      </w:r>
      <w:r>
        <w:t xml:space="preserve">—prácticamente el doble que las monoicas francesas conformes. Sin embargo, esta variedad está</w:t>
      </w:r>
      <w:r>
        <w:t xml:space="preserve"> </w:t>
      </w:r>
      <w:r>
        <w:rPr>
          <w:b/>
          <w:bCs/>
        </w:rPr>
        <w:t xml:space="preserve">funcionalmente excluida del mercado europeo</w:t>
      </w:r>
      <w:r>
        <w:t xml:space="preserve"> </w:t>
      </w:r>
      <w:r>
        <w:t xml:space="preserve">por exceder el umbral del 0,3%.</w:t>
      </w:r>
    </w:p>
    <w:p>
      <w:pPr>
        <w:pStyle w:val="BodyText"/>
      </w:pPr>
      <w:r>
        <w:t xml:space="preserve">El programa húngaro de mejoramiento dirigido por Bócsa (1994-2019) cuantificó adicionalmente el coste sistemático del sistema monoico:</w:t>
      </w:r>
    </w:p>
    <w:p>
      <w:pPr>
        <w:pStyle w:val="BlockText"/>
      </w:pPr>
      <w:r>
        <w:rPr>
          <w:i/>
          <w:iCs/>
        </w:rPr>
        <w:t xml:space="preserve">“All monoecious cultivars yielded 10 to 20% less than dioecious cultivars due to inbreeding depression from self-pollination.”</w:t>
      </w:r>
    </w:p>
    <w:p>
      <w:pPr>
        <w:pStyle w:val="FirstParagraph"/>
      </w:pPr>
      <w:r>
        <w:t xml:space="preserve">Este diferencial de 10-20% representa el</w:t>
      </w:r>
      <w:r>
        <w:t xml:space="preserve"> </w:t>
      </w:r>
      <w:r>
        <w:rPr>
          <w:b/>
          <w:bCs/>
        </w:rPr>
        <w:t xml:space="preserve">precio agronómico</w:t>
      </w:r>
      <w:r>
        <w:t xml:space="preserve"> </w:t>
      </w:r>
      <w:r>
        <w:t xml:space="preserve">de la estabilidad química exigida por umbrales restrictivos. Europa sacrifica sistemáticamente entre</w:t>
      </w:r>
      <w:r>
        <w:t xml:space="preserve"> </w:t>
      </w:r>
      <w:r>
        <w:rPr>
          <w:b/>
          <w:bCs/>
        </w:rPr>
        <w:t xml:space="preserve">2-4 toneladas de biomasa por hectárea</w:t>
      </w:r>
      <w:r>
        <w:t xml:space="preserve"> </w:t>
      </w:r>
      <w:r>
        <w:t xml:space="preserve">por motivos exclusivamente regulatorios.</w:t>
      </w:r>
    </w:p>
    <w:bookmarkEnd w:id="21"/>
    <w:bookmarkStart w:id="22" w:name="X5379f3157f78d7000f04cfce4becfed0c605b59"/>
    <w:p>
      <w:pPr>
        <w:pStyle w:val="Heading3"/>
      </w:pPr>
      <w:r>
        <w:t xml:space="preserve">B.3 Benchmarking internacional: germoplasma chino</w:t>
      </w:r>
    </w:p>
    <w:p>
      <w:pPr>
        <w:pStyle w:val="FirstParagraph"/>
      </w:pPr>
      <w:r>
        <w:t xml:space="preserve">Los ensayos de la Universidad Estatal de Carolina del Norte con accesiones chinas revelan la magnitud del</w:t>
      </w:r>
      <w:r>
        <w:t xml:space="preserve"> </w:t>
      </w:r>
      <w:r>
        <w:rPr>
          <w:b/>
          <w:bCs/>
        </w:rPr>
        <w:t xml:space="preserve">coste competitivo</w:t>
      </w:r>
      <w:r>
        <w:t xml:space="preserve"> </w:t>
      </w:r>
      <w:r>
        <w:t xml:space="preserve">del umbral europeo. Halker et al. [5] evaluaron variedades de fibra en condiciones controladas:</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2079"/>
        <w:gridCol w:w="2970"/>
        <w:gridCol w:w="1881"/>
      </w:tblGrid>
      <w:tr>
        <w:trPr>
          <w:tblHeader w:val="on"/>
        </w:trPr>
        <w:tc>
          <w:tcPr/>
          <w:p>
            <w:pPr>
              <w:pStyle w:val="Compact"/>
            </w:pPr>
            <w:r>
              <w:t xml:space="preserve">Accesión</w:t>
            </w:r>
          </w:p>
        </w:tc>
        <w:tc>
          <w:tcPr/>
          <w:p>
            <w:pPr>
              <w:pStyle w:val="Compact"/>
            </w:pPr>
            <w:r>
              <w:t xml:space="preserve">THC documentado (%)</w:t>
            </w:r>
          </w:p>
        </w:tc>
        <w:tc>
          <w:tcPr/>
          <w:p>
            <w:pPr>
              <w:pStyle w:val="Compact"/>
            </w:pPr>
            <w:r>
              <w:t xml:space="preserve">Rendimiento tallo seco (t/ha)</w:t>
            </w:r>
          </w:p>
        </w:tc>
        <w:tc>
          <w:tcPr/>
          <w:p>
            <w:pPr>
              <w:pStyle w:val="Compact"/>
            </w:pPr>
            <w:r>
              <w:t xml:space="preserve">Ratio vs UE actual</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Los resultados son sistemáticos y reproducibles: las variedades</w:t>
      </w:r>
      <w:r>
        <w:t xml:space="preserve"> </w:t>
      </w:r>
      <w:r>
        <w:rPr>
          <w:b/>
          <w:bCs/>
        </w:rPr>
        <w:t xml:space="preserve">Yuma</w:t>
      </w:r>
      <w:r>
        <w:t xml:space="preserve"> </w:t>
      </w:r>
      <w:r>
        <w:t xml:space="preserve">(0,723% THC) y</w:t>
      </w:r>
      <w:r>
        <w:t xml:space="preserve"> </w:t>
      </w:r>
      <w:r>
        <w:rPr>
          <w:b/>
          <w:bCs/>
        </w:rPr>
        <w:t xml:space="preserve">Bama</w:t>
      </w:r>
      <w:r>
        <w:t xml:space="preserve"> </w:t>
      </w:r>
      <w:r>
        <w:t xml:space="preserve">(0,506% THC) alcanzan rendimientos de</w:t>
      </w:r>
      <w:r>
        <w:t xml:space="preserve"> </w:t>
      </w:r>
      <w:r>
        <w:rPr>
          <w:b/>
          <w:bCs/>
        </w:rPr>
        <w:t xml:space="preserve">35,1 y 22,3 t/ha</w:t>
      </w:r>
      <w:r>
        <w:t xml:space="preserve"> </w:t>
      </w:r>
      <w:r>
        <w:t xml:space="preserve">respectivamente —entre</w:t>
      </w:r>
      <w:r>
        <w:t xml:space="preserve"> </w:t>
      </w:r>
      <w:r>
        <w:rPr>
          <w:b/>
          <w:bCs/>
        </w:rPr>
        <w:t xml:space="preserve">4,8 y 7,6 veces superiores</w:t>
      </w:r>
      <w:r>
        <w:t xml:space="preserve"> </w:t>
      </w:r>
      <w:r>
        <w:t xml:space="preserve">a las variedades europeas actuales.</w:t>
      </w:r>
    </w:p>
    <w:p>
      <w:pPr>
        <w:pStyle w:val="BodyText"/>
      </w:pPr>
      <w:r>
        <w:t xml:space="preserve">Halker et al. [5] concluyeron que las variedades chinas de alto rendimiento, con niveles de THC entre</w:t>
      </w:r>
      <w:r>
        <w:t xml:space="preserve"> </w:t>
      </w:r>
      <w:r>
        <w:rPr>
          <w:b/>
          <w:bCs/>
        </w:rPr>
        <w:t xml:space="preserve">0,4% y 0,9%</w:t>
      </w:r>
      <w:r>
        <w:t xml:space="preserve">, son</w:t>
      </w:r>
      <w:r>
        <w:t xml:space="preserve"> </w:t>
      </w:r>
      <w:r>
        <w:rPr>
          <w:b/>
          <w:bCs/>
        </w:rPr>
        <w:t xml:space="preserve">inviables para el mercado europeo</w:t>
      </w:r>
      <w:r>
        <w:t xml:space="preserve"> </w:t>
      </w:r>
      <w:r>
        <w:t xml:space="preserve">bajo el umbral actual del 0,3%. Europa renuncia deliberadamente al germoplasma más productivo del mundo por una restricción regulatoria sin base científica sólida.</w:t>
      </w:r>
    </w:p>
    <w:p>
      <w:pPr>
        <w:pStyle w:val="BodyText"/>
      </w:pPr>
      <w:r>
        <w:t xml:space="preserve">Los ensayos de Brym et al. [18] confirmaron este patrón:</w:t>
      </w:r>
      <w:r>
        <w:t xml:space="preserve"> </w:t>
      </w:r>
      <w:r>
        <w:rPr>
          <w:b/>
          <w:bCs/>
        </w:rPr>
        <w:t xml:space="preserve">todas las variedades chinas de alto rendimiento superaron el 0,3%</w:t>
      </w:r>
      <w:r>
        <w:t xml:space="preserve"> </w:t>
      </w:r>
      <w:r>
        <w:t xml:space="preserve">al cultivarse hasta cosecha.</w:t>
      </w:r>
    </w:p>
    <w:bookmarkEnd w:id="22"/>
    <w:bookmarkStart w:id="23" w:name="b.4-cuantificación-del-coste-climático"/>
    <w:p>
      <w:pPr>
        <w:pStyle w:val="Heading3"/>
      </w:pPr>
      <w:r>
        <w:t xml:space="preserve">B.4 Cuantificación del coste climático</w:t>
      </w:r>
    </w:p>
    <w:p>
      <w:pPr>
        <w:pStyle w:val="FirstParagraph"/>
      </w:pPr>
      <w:r>
        <w:t xml:space="preserve">Utilizando la conversión estequiométrica estándar (1 kg biomasa seca = 1,62 kg CO₂ absorbido) [60] y la superficie actual de cáñamo europeo (~40.000 ha) [35]:</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2"/>
        <w:gridCol w:w="1092"/>
        <w:gridCol w:w="1820"/>
        <w:gridCol w:w="1820"/>
        <w:gridCol w:w="1183"/>
      </w:tblGrid>
      <w:tr>
        <w:trPr>
          <w:tblHeader w:val="on"/>
        </w:trPr>
        <w:tc>
          <w:tcPr/>
          <w:p>
            <w:pPr>
              <w:pStyle w:val="Compact"/>
            </w:pPr>
            <w:r>
              <w:t xml:space="preserve">Escenario regulatorio</w:t>
            </w:r>
          </w:p>
        </w:tc>
        <w:tc>
          <w:tcPr/>
          <w:p>
            <w:pPr>
              <w:pStyle w:val="Compact"/>
            </w:pPr>
            <w:r>
              <w:t xml:space="preserve">THC máximo</w:t>
            </w:r>
          </w:p>
        </w:tc>
        <w:tc>
          <w:tcPr/>
          <w:p>
            <w:pPr>
              <w:pStyle w:val="Compact"/>
            </w:pPr>
            <w:r>
              <w:t xml:space="preserve">Biomasa total anual</w:t>
            </w:r>
          </w:p>
        </w:tc>
        <w:tc>
          <w:tcPr/>
          <w:p>
            <w:pPr>
              <w:pStyle w:val="Compact"/>
            </w:pPr>
            <w:r>
              <w:t xml:space="preserve">CO₂ secuestrado anual</w:t>
            </w:r>
          </w:p>
        </w:tc>
        <w:tc>
          <w:tcPr/>
          <w:p>
            <w:pPr>
              <w:pStyle w:val="Compact"/>
            </w:pPr>
            <w:r>
              <w:t xml:space="preserve">Diferencial</w:t>
            </w:r>
          </w:p>
        </w:tc>
      </w:tr>
      <w:tr>
        <w:tc>
          <w:tcPr/>
          <w:p>
            <w:pPr>
              <w:pStyle w:val="Compact"/>
            </w:pPr>
            <w:r>
              <w:rPr>
                <w:b/>
                <w:bCs/>
              </w:rPr>
              <w:t xml:space="preserve">Status quo UE</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rPr>
                <w:i/>
                <w:iCs/>
              </w:rPr>
              <w:t xml:space="preserve">baseline</w:t>
            </w:r>
          </w:p>
        </w:tc>
      </w:tr>
      <w:tr>
        <w:tc>
          <w:tcPr/>
          <w:p>
            <w:pPr>
              <w:pStyle w:val="Compact"/>
            </w:pPr>
            <w:r>
              <w:rPr>
                <w:b/>
                <w:bCs/>
              </w:rPr>
              <w:t xml:space="preserve">Carmagnola (histórico)</w:t>
            </w:r>
          </w:p>
        </w:tc>
        <w:tc>
          <w:tcPr/>
          <w:p>
            <w:pPr>
              <w:pStyle w:val="Compact"/>
            </w:pPr>
            <w:r>
              <w:t xml:space="preserve">0,5%</w:t>
            </w:r>
          </w:p>
        </w:tc>
        <w:tc>
          <w:tcPr/>
          <w:p>
            <w:pPr>
              <w:pStyle w:val="Compact"/>
            </w:pPr>
            <w:r>
              <w:t xml:space="preserve">344.800 t</w:t>
            </w:r>
          </w:p>
        </w:tc>
        <w:tc>
          <w:tcPr/>
          <w:p>
            <w:pPr>
              <w:pStyle w:val="Compact"/>
            </w:pPr>
            <w:r>
              <w:t xml:space="preserve">558.576 t</w:t>
            </w:r>
          </w:p>
        </w:tc>
        <w:tc>
          <w:tcPr/>
          <w:p>
            <w:pPr>
              <w:pStyle w:val="Compact"/>
            </w:pPr>
            <w:r>
              <w:rPr>
                <w:b/>
                <w:bCs/>
              </w:rPr>
              <w:t xml:space="preserve">+72%</w:t>
            </w:r>
          </w:p>
        </w:tc>
      </w:tr>
      <w:tr>
        <w:tc>
          <w:tcPr/>
          <w:p>
            <w:pPr>
              <w:pStyle w:val="Compact"/>
            </w:pPr>
            <w:r>
              <w:rPr>
                <w:b/>
                <w:bCs/>
              </w:rPr>
              <w:t xml:space="preserve">Germoplasma asiático</w:t>
            </w:r>
          </w:p>
        </w:tc>
        <w:tc>
          <w:tcPr/>
          <w:p>
            <w:pPr>
              <w:pStyle w:val="Compact"/>
            </w:pPr>
            <w:r>
              <w:t xml:space="preserve">0,7-1,0%</w:t>
            </w:r>
          </w:p>
        </w:tc>
        <w:tc>
          <w:tcPr/>
          <w:p>
            <w:pPr>
              <w:pStyle w:val="Compact"/>
            </w:pPr>
            <w:r>
              <w:t xml:space="preserve">1.000.000 t</w:t>
            </w:r>
          </w:p>
        </w:tc>
        <w:tc>
          <w:tcPr/>
          <w:p>
            <w:pPr>
              <w:pStyle w:val="Compact"/>
            </w:pPr>
            <w:r>
              <w:rPr>
                <w:b/>
                <w:bCs/>
              </w:rPr>
              <w:t xml:space="preserve">1.620.000 t</w:t>
            </w:r>
          </w:p>
        </w:tc>
        <w:tc>
          <w:tcPr/>
          <w:p>
            <w:pPr>
              <w:pStyle w:val="Compact"/>
            </w:pPr>
            <w:r>
              <w:rPr>
                <w:b/>
                <w:bCs/>
              </w:rPr>
              <w:t xml:space="preserve">+400%</w:t>
            </w:r>
          </w:p>
        </w:tc>
      </w:tr>
    </w:tbl>
    <w:p>
      <w:pPr>
        <w:pStyle w:val="BodyText"/>
      </w:pPr>
      <w:r>
        <w:rPr>
          <w:b/>
          <w:bCs/>
        </w:rPr>
        <w:t xml:space="preserve">Coste de oportunidad climático: 1.296.000 toneladas de CO₂ anuales no capturadas.</w:t>
      </w:r>
    </w:p>
    <w:p>
      <w:pPr>
        <w:pStyle w:val="BodyText"/>
      </w:pPr>
      <w:r>
        <w:t xml:space="preserve">Para contextualizar esta magnitud:</w:t>
      </w:r>
    </w:p>
    <w:p>
      <w:pPr>
        <w:pStyle w:val="Compact"/>
        <w:numPr>
          <w:ilvl w:val="0"/>
          <w:numId w:val="1002"/>
        </w:numPr>
      </w:pPr>
      <w:r>
        <w:rPr>
          <w:b/>
          <w:bCs/>
        </w:rPr>
        <w:t xml:space="preserve">Equivale a las emisiones anuales</w:t>
      </w:r>
      <w:r>
        <w:t xml:space="preserve"> </w:t>
      </w:r>
      <w:r>
        <w:t xml:space="preserve">de aproximadamente 300.000 automóviles europeos promedio (asumiendo ~4 t CO₂/vehículo/año según datos de la Agencia Europea de Medio Ambiente)</w:t>
      </w:r>
    </w:p>
    <w:p>
      <w:pPr>
        <w:pStyle w:val="Compact"/>
        <w:numPr>
          <w:ilvl w:val="0"/>
          <w:numId w:val="1002"/>
        </w:numPr>
      </w:pPr>
      <w:r>
        <w:rPr>
          <w:b/>
          <w:bCs/>
        </w:rPr>
        <w:t xml:space="preserve">Representa la capacidad de absorción</w:t>
      </w:r>
      <w:r>
        <w:t xml:space="preserve"> </w:t>
      </w:r>
      <w:r>
        <w:t xml:space="preserve">de cientos de miles de hectáreas de bosque (la selva tropical absorbe ~3-4 t CO₂/ha/año)</w:t>
      </w:r>
    </w:p>
    <w:p>
      <w:pPr>
        <w:pStyle w:val="FirstParagraph"/>
      </w:pPr>
      <w:r>
        <w:rPr>
          <w:b/>
          <w:bCs/>
        </w:rPr>
        <w:t xml:space="preserve">La paradoja regulatoria es evidente</w:t>
      </w:r>
      <w:r>
        <w:t xml:space="preserve">: mientras la UE invierte miles de millones en tecnologías de captura de carbono, simultáneamente restringe el acceso a germoplasma vegetal que podría quintuplicar la eficiencia de secuestro del sector cáñamo</w:t>
      </w:r>
      <w:r>
        <w:t xml:space="preserve"> </w:t>
      </w:r>
      <w:r>
        <w:rPr>
          <w:b/>
          <w:bCs/>
        </w:rPr>
        <w:t xml:space="preserve">sin coste adicional de superficie agrícola</w:t>
      </w:r>
      <w:r>
        <w:t xml:space="preserve">.</w:t>
      </w:r>
    </w:p>
    <w:bookmarkEnd w:id="23"/>
    <w:bookmarkStart w:id="24" w:name="b.5-conclusión-del-análisis-agronómico"/>
    <w:p>
      <w:pPr>
        <w:pStyle w:val="Heading3"/>
      </w:pPr>
      <w:r>
        <w:t xml:space="preserve">B.5 Conclusión del análisis agronómico</w:t>
      </w:r>
    </w:p>
    <w:p>
      <w:pPr>
        <w:pStyle w:val="FirstParagraph"/>
      </w:pPr>
      <w:r>
        <w:t xml:space="preserve">La evidencia empírica revela una</w:t>
      </w:r>
      <w:r>
        <w:t xml:space="preserve"> </w:t>
      </w:r>
      <w:r>
        <w:rPr>
          <w:b/>
          <w:bCs/>
        </w:rPr>
        <w:t xml:space="preserve">incongruencia fundamental</w:t>
      </w:r>
      <w:r>
        <w:t xml:space="preserve"> </w:t>
      </w:r>
      <w:r>
        <w:t xml:space="preserve">en el marco regulatorio europeo:</w:t>
      </w:r>
    </w:p>
    <w:p>
      <w:pPr>
        <w:pStyle w:val="Compact"/>
        <w:numPr>
          <w:ilvl w:val="0"/>
          <w:numId w:val="1003"/>
        </w:numPr>
      </w:pPr>
      <w:r>
        <w:rPr>
          <w:b/>
          <w:bCs/>
        </w:rPr>
        <w:t xml:space="preserve">Carmagnola</w:t>
      </w:r>
      <w:r>
        <w:t xml:space="preserve"> </w:t>
      </w:r>
      <w:r>
        <w:t xml:space="preserve">(+87% rendimiento) permanece excluida por 0,1-0,3 puntos porcentuales de THC</w:t>
      </w:r>
    </w:p>
    <w:p>
      <w:pPr>
        <w:pStyle w:val="Compact"/>
        <w:numPr>
          <w:ilvl w:val="0"/>
          <w:numId w:val="1003"/>
        </w:numPr>
      </w:pPr>
      <w:r>
        <w:rPr>
          <w:b/>
          <w:bCs/>
        </w:rPr>
        <w:t xml:space="preserve">Variedades asiáticas de élite</w:t>
      </w:r>
      <w:r>
        <w:t xml:space="preserve"> </w:t>
      </w:r>
      <w:r>
        <w:t xml:space="preserve">(×4-7 rendimiento superior) son inaccesibles bajo el umbral actual</w:t>
      </w:r>
    </w:p>
    <w:p>
      <w:pPr>
        <w:pStyle w:val="Compact"/>
        <w:numPr>
          <w:ilvl w:val="0"/>
          <w:numId w:val="1003"/>
        </w:numPr>
      </w:pPr>
      <w:r>
        <w:rPr>
          <w:b/>
          <w:bCs/>
        </w:rPr>
        <w:t xml:space="preserve">1.296.000 toneladas anuales de CO₂</w:t>
      </w:r>
      <w:r>
        <w:t xml:space="preserve"> </w:t>
      </w:r>
      <w:r>
        <w:t xml:space="preserve">no se capturan por restricciones regulatorias, no agronómicas</w:t>
      </w:r>
    </w:p>
    <w:p>
      <w:pPr>
        <w:pStyle w:val="FirstParagraph"/>
      </w:pPr>
      <w:r>
        <w:t xml:space="preserve">Las variedades de cáñamo con mayor potencial agronómico y medioambiental se sitúan sistemáticamente por encima del 0,5% de THC. Las genéticas de élite —tanto europeas tradicionales como asiáticas— expresan perfiles de THC en el rango 0,4-0,9%, incompatibles con cualquier umbral inferior al 1,0%.</w:t>
      </w:r>
    </w:p>
    <w:p>
      <w:pPr>
        <w:pStyle w:val="BodyText"/>
      </w:pPr>
      <w:r>
        <w:t xml:space="preserve">La cuestión central trasciende la química analítica:</w:t>
      </w:r>
      <w:r>
        <w:t xml:space="preserve"> </w:t>
      </w:r>
      <w:r>
        <w:rPr>
          <w:b/>
          <w:bCs/>
        </w:rPr>
        <w:t xml:space="preserve">¿debe la política agrícola europea optimizar para el cumplimiento de umbrales arbitrarios o para la maximización de beneficios agronómicos, ambientales y climáticos?</w:t>
      </w:r>
    </w:p>
    <w:p>
      <w:r>
        <w:pict>
          <v:rect style="width:0;height:1.5pt" o:hralign="center" o:hrstd="t" o:hr="t"/>
        </w:pict>
      </w:r>
    </w:p>
    <w:bookmarkEnd w:id="24"/>
    <w:bookmarkEnd w:id="25"/>
    <w:bookmarkStart w:id="30" w:name="X1a3a040dbacc2aafc3863d625e41fb10efbecc6"/>
    <w:p>
      <w:pPr>
        <w:pStyle w:val="Heading2"/>
      </w:pPr>
      <w:r>
        <w:t xml:space="preserve">ANEXO C: COMPARATIVA INTERNACIONAL DETALLADA — Jurisdicciones con umbral 1% THC</w:t>
      </w:r>
    </w:p>
    <w:p>
      <w:pPr>
        <w:pStyle w:val="FirstParagraph"/>
      </w:pPr>
      <w:r>
        <w:t xml:space="preserve">Esta sección recoge el detalle de marcos legales y vigencias de las jurisdicciones que operan con el umbral del 1% THC, referenciadas en la Sección 2.3.</w:t>
      </w:r>
    </w:p>
    <w:bookmarkStart w:id="26" w:name="c.1-zona-europea-y-espacio-económico"/>
    <w:p>
      <w:pPr>
        <w:pStyle w:val="Heading3"/>
      </w:pPr>
      <w:r>
        <w:t xml:space="preserve">C.1 Zona Europea y Espacio Económico</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Suiza</w:t>
            </w:r>
          </w:p>
        </w:tc>
        <w:tc>
          <w:tcPr/>
          <w:p>
            <w:pPr>
              <w:pStyle w:val="Compact"/>
            </w:pPr>
            <w:r>
              <w:t xml:space="preserve">1,0%</w:t>
            </w:r>
          </w:p>
        </w:tc>
        <w:tc>
          <w:tcPr/>
          <w:p>
            <w:pPr>
              <w:pStyle w:val="Compact"/>
            </w:pPr>
            <w:r>
              <w:t xml:space="preserve">Ley de Estupefacientes (LStup)</w:t>
            </w:r>
          </w:p>
        </w:tc>
        <w:tc>
          <w:tcPr/>
          <w:p>
            <w:pPr>
              <w:pStyle w:val="Compact"/>
            </w:pPr>
            <w:r>
              <w:t xml:space="preserve">2011</w:t>
            </w:r>
          </w:p>
        </w:tc>
        <w:tc>
          <w:tcPr/>
          <w:p>
            <w:pPr>
              <w:pStyle w:val="Compact"/>
            </w:pPr>
            <w:r>
              <w:t xml:space="preserve">Pionera europea. Comercializa en mercado UE &gt;10 años sin incidentes.</w:t>
            </w:r>
          </w:p>
        </w:tc>
      </w:tr>
      <w:tr>
        <w:tc>
          <w:tcPr/>
          <w:p>
            <w:pPr>
              <w:pStyle w:val="Compact"/>
            </w:pPr>
            <w:r>
              <w:rPr>
                <w:b/>
                <w:bCs/>
              </w:rPr>
              <w:t xml:space="preserve">Luxemburgo</w:t>
            </w:r>
          </w:p>
        </w:tc>
        <w:tc>
          <w:tcPr/>
          <w:p>
            <w:pPr>
              <w:pStyle w:val="Compact"/>
            </w:pPr>
            <w:r>
              <w:t xml:space="preserve">≤1,0%</w:t>
            </w:r>
          </w:p>
        </w:tc>
        <w:tc>
          <w:tcPr/>
          <w:p>
            <w:pPr>
              <w:pStyle w:val="Compact"/>
            </w:pPr>
            <w:r>
              <w:t xml:space="preserve">Tobacco Control Act</w:t>
            </w:r>
          </w:p>
        </w:tc>
        <w:tc>
          <w:tcPr/>
          <w:p>
            <w:pPr>
              <w:pStyle w:val="Compact"/>
            </w:pPr>
            <w:r>
              <w:t xml:space="preserve">2023</w:t>
            </w:r>
          </w:p>
        </w:tc>
        <w:tc>
          <w:tcPr/>
          <w:p>
            <w:pPr>
              <w:pStyle w:val="Compact"/>
            </w:pPr>
            <w:r>
              <w:t xml:space="preserve">Estado miembro UE. Productos sustitutos de tabaco registrados en EU-CEG.</w:t>
            </w:r>
          </w:p>
        </w:tc>
      </w:tr>
      <w:tr>
        <w:tc>
          <w:tcPr/>
          <w:p>
            <w:pPr>
              <w:pStyle w:val="Compact"/>
            </w:pPr>
            <w:r>
              <w:rPr>
                <w:b/>
                <w:bCs/>
              </w:rPr>
              <w:t xml:space="preserve">República Checa</w:t>
            </w:r>
          </w:p>
        </w:tc>
        <w:tc>
          <w:tcPr/>
          <w:p>
            <w:pPr>
              <w:pStyle w:val="Compact"/>
            </w:pPr>
            <w:r>
              <w:t xml:space="preserve">1,0%</w:t>
            </w:r>
          </w:p>
        </w:tc>
        <w:tc>
          <w:tcPr/>
          <w:p>
            <w:pPr>
              <w:pStyle w:val="Compact"/>
            </w:pPr>
            <w:r>
              <w:t xml:space="preserve">Act Col. 166/2024</w:t>
            </w:r>
          </w:p>
        </w:tc>
        <w:tc>
          <w:tcPr/>
          <w:p>
            <w:pPr>
              <w:pStyle w:val="Compact"/>
            </w:pPr>
            <w:r>
              <w:t xml:space="preserve">Ene 2025</w:t>
            </w:r>
          </w:p>
        </w:tc>
        <w:tc>
          <w:tcPr/>
          <w:p>
            <w:pPr>
              <w:pStyle w:val="Compact"/>
            </w:pPr>
            <w:r>
              <w:t xml:space="preserve">Acuerdos bilaterales con Uruguay para importación.</w:t>
            </w:r>
          </w:p>
        </w:tc>
      </w:tr>
      <w:tr>
        <w:tc>
          <w:tcPr/>
          <w:p>
            <w:pPr>
              <w:pStyle w:val="Compact"/>
            </w:pPr>
            <w:r>
              <w:rPr>
                <w:b/>
                <w:bCs/>
              </w:rPr>
              <w:t xml:space="preserve">Albania</w:t>
            </w:r>
          </w:p>
        </w:tc>
        <w:tc>
          <w:tcPr/>
          <w:p>
            <w:pPr>
              <w:pStyle w:val="Compact"/>
            </w:pPr>
            <w:r>
              <w:t xml:space="preserve">0,8%</w:t>
            </w:r>
          </w:p>
        </w:tc>
        <w:tc>
          <w:tcPr/>
          <w:p>
            <w:pPr>
              <w:pStyle w:val="Compact"/>
            </w:pPr>
            <w:r>
              <w:t xml:space="preserve">Cannabis Law 61/2023 [80]</w:t>
            </w:r>
          </w:p>
        </w:tc>
        <w:tc>
          <w:tcPr/>
          <w:p>
            <w:pPr>
              <w:pStyle w:val="Compact"/>
            </w:pPr>
            <w:r>
              <w:t xml:space="preserve">2023</w:t>
            </w:r>
          </w:p>
        </w:tc>
        <w:tc>
          <w:tcPr/>
          <w:p>
            <w:pPr>
              <w:pStyle w:val="Compact"/>
            </w:pPr>
            <w:r>
              <w:t xml:space="preserve">Cáñamo industrial.</w:t>
            </w:r>
          </w:p>
        </w:tc>
      </w:tr>
      <w:tr>
        <w:tc>
          <w:tcPr/>
          <w:p>
            <w:pPr>
              <w:pStyle w:val="Compact"/>
            </w:pPr>
            <w:r>
              <w:rPr>
                <w:b/>
                <w:bCs/>
              </w:rPr>
              <w:t xml:space="preserve">España</w:t>
            </w:r>
          </w:p>
        </w:tc>
        <w:tc>
          <w:tcPr/>
          <w:p>
            <w:pPr>
              <w:pStyle w:val="Compact"/>
            </w:pPr>
            <w:r>
              <w:t xml:space="preserve">1,0%</w:t>
            </w:r>
          </w:p>
        </w:tc>
        <w:tc>
          <w:tcPr/>
          <w:p>
            <w:pPr>
              <w:pStyle w:val="Compact"/>
            </w:pPr>
            <w:r>
              <w:t xml:space="preserve">PNL 161/004332</w:t>
            </w:r>
          </w:p>
        </w:tc>
        <w:tc>
          <w:tcPr/>
          <w:p>
            <w:pPr>
              <w:pStyle w:val="Compact"/>
            </w:pPr>
            <w:r>
              <w:t xml:space="preserve">Ene 2023</w:t>
            </w:r>
          </w:p>
        </w:tc>
        <w:tc>
          <w:tcPr/>
          <w:p>
            <w:pPr>
              <w:pStyle w:val="Compact"/>
            </w:pPr>
            <w:r>
              <w:t xml:space="preserve">Mandato parlamentario pendiente de implementación.</w:t>
            </w:r>
          </w:p>
        </w:tc>
      </w:tr>
      <w:tr>
        <w:tc>
          <w:tcPr/>
          <w:p>
            <w:pPr>
              <w:pStyle w:val="Compact"/>
            </w:pPr>
            <w:r>
              <w:rPr>
                <w:b/>
                <w:bCs/>
              </w:rPr>
              <w:t xml:space="preserve">Alemania</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r>
              <w:t xml:space="preserve">Monografía oficial define que por debajo del 1% no se considera medicinal.</w:t>
            </w:r>
          </w:p>
        </w:tc>
      </w:tr>
    </w:tbl>
    <w:bookmarkEnd w:id="26"/>
    <w:bookmarkStart w:id="27" w:name="c.2-bloque-mercosur-y-latinoamérica"/>
    <w:p>
      <w:pPr>
        <w:pStyle w:val="Heading3"/>
      </w:pPr>
      <w:r>
        <w:t xml:space="preserve">C.2 Bloque Mercosur y Latinoamérica</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Uruguay</w:t>
            </w:r>
          </w:p>
        </w:tc>
        <w:tc>
          <w:tcPr/>
          <w:p>
            <w:pPr>
              <w:pStyle w:val="Compact"/>
            </w:pPr>
            <w:r>
              <w:t xml:space="preserve">1,0%</w:t>
            </w:r>
          </w:p>
        </w:tc>
        <w:tc>
          <w:tcPr/>
          <w:p>
            <w:pPr>
              <w:pStyle w:val="Compact"/>
            </w:pPr>
            <w:r>
              <w:t xml:space="preserve">Ley 19.172 + Decreto 372/2014</w:t>
            </w:r>
          </w:p>
        </w:tc>
        <w:tc>
          <w:tcPr/>
          <w:p>
            <w:pPr>
              <w:pStyle w:val="Compact"/>
            </w:pPr>
            <w:r>
              <w:t xml:space="preserve">Dic 2013</w:t>
            </w:r>
          </w:p>
        </w:tc>
        <w:tc>
          <w:tcPr/>
          <w:p>
            <w:pPr>
              <w:pStyle w:val="Compact"/>
            </w:pPr>
            <w:r>
              <w:t xml:space="preserve">Pionero regional. Protocolos de exportación activos (MGAP,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Ley 27.669 + Decreto 405/2023</w:t>
            </w:r>
          </w:p>
        </w:tc>
        <w:tc>
          <w:tcPr/>
          <w:p>
            <w:pPr>
              <w:pStyle w:val="Compact"/>
            </w:pPr>
            <w:r>
              <w:t xml:space="preserve">2022-2023</w:t>
            </w:r>
          </w:p>
        </w:tc>
        <w:tc>
          <w:tcPr/>
          <w:p>
            <w:pPr>
              <w:pStyle w:val="Compact"/>
            </w:pPr>
            <w:r>
              <w:t xml:space="preserve">Marco integral cáñamo industrial.</w:t>
            </w:r>
          </w:p>
        </w:tc>
      </w:tr>
      <w:tr>
        <w:tc>
          <w:tcPr/>
          <w:p>
            <w:pPr>
              <w:pStyle w:val="Compact"/>
            </w:pPr>
            <w:r>
              <w:rPr>
                <w:b/>
                <w:bCs/>
              </w:rPr>
              <w:t xml:space="preserve">Chile</w:t>
            </w:r>
          </w:p>
        </w:tc>
        <w:tc>
          <w:tcPr/>
          <w:p>
            <w:pPr>
              <w:pStyle w:val="Compact"/>
            </w:pPr>
            <w:r>
              <w:t xml:space="preserve">≤1,0%</w:t>
            </w:r>
          </w:p>
        </w:tc>
        <w:tc>
          <w:tcPr/>
          <w:p>
            <w:pPr>
              <w:pStyle w:val="Compact"/>
            </w:pPr>
            <w:r>
              <w:t xml:space="preserve">Ley 20.000 + criterio SAG/ISP</w:t>
            </w:r>
          </w:p>
        </w:tc>
        <w:tc>
          <w:tcPr/>
          <w:p>
            <w:pPr>
              <w:pStyle w:val="Compact"/>
            </w:pPr>
            <w:r>
              <w:t xml:space="preserve">2021</w:t>
            </w:r>
          </w:p>
        </w:tc>
        <w:tc>
          <w:tcPr/>
          <w:p>
            <w:pPr>
              <w:pStyle w:val="Compact"/>
            </w:pPr>
            <w:r>
              <w:t xml:space="preserve">Exclusión control estupefacientes.</w:t>
            </w:r>
          </w:p>
        </w:tc>
      </w:tr>
      <w:tr>
        <w:tc>
          <w:tcPr/>
          <w:p>
            <w:pPr>
              <w:pStyle w:val="Compact"/>
            </w:pPr>
            <w:r>
              <w:rPr>
                <w:b/>
                <w:bCs/>
              </w:rPr>
              <w:t xml:space="preserve">Paraguay</w:t>
            </w:r>
          </w:p>
        </w:tc>
        <w:tc>
          <w:tcPr/>
          <w:p>
            <w:pPr>
              <w:pStyle w:val="Compact"/>
            </w:pPr>
            <w:r>
              <w:t xml:space="preserve">≤1,0%</w:t>
            </w:r>
          </w:p>
        </w:tc>
        <w:tc>
          <w:tcPr/>
          <w:p>
            <w:pPr>
              <w:pStyle w:val="Compact"/>
            </w:pPr>
            <w:r>
              <w:t xml:space="preserve">Decreto 2725/2019</w:t>
            </w:r>
          </w:p>
        </w:tc>
        <w:tc>
          <w:tcPr/>
          <w:p>
            <w:pPr>
              <w:pStyle w:val="Compact"/>
            </w:pPr>
            <w:r>
              <w:t xml:space="preserve">2019</w:t>
            </w:r>
          </w:p>
        </w:tc>
        <w:tc>
          <w:tcPr/>
          <w:p>
            <w:pPr>
              <w:pStyle w:val="Compact"/>
            </w:pPr>
            <w:r>
              <w:t xml:space="preserve">Cáñamo industrial.</w:t>
            </w:r>
          </w:p>
        </w:tc>
      </w:tr>
      <w:tr>
        <w:tc>
          <w:tcPr/>
          <w:p>
            <w:pPr>
              <w:pStyle w:val="Compact"/>
            </w:pPr>
            <w:r>
              <w:rPr>
                <w:b/>
                <w:bCs/>
              </w:rPr>
              <w:t xml:space="preserve">Colombia</w:t>
            </w:r>
          </w:p>
        </w:tc>
        <w:tc>
          <w:tcPr/>
          <w:p>
            <w:pPr>
              <w:pStyle w:val="Compact"/>
            </w:pPr>
            <w:r>
              <w:t xml:space="preserve">1,0%</w:t>
            </w:r>
          </w:p>
        </w:tc>
        <w:tc>
          <w:tcPr/>
          <w:p>
            <w:pPr>
              <w:pStyle w:val="Compact"/>
            </w:pPr>
            <w:r>
              <w:t xml:space="preserve">Ley 1787/2016 + Decreto 613/2017</w:t>
            </w:r>
          </w:p>
        </w:tc>
        <w:tc>
          <w:tcPr/>
          <w:p>
            <w:pPr>
              <w:pStyle w:val="Compact"/>
            </w:pPr>
            <w:r>
              <w:t xml:space="preserve">2016-2017</w:t>
            </w:r>
          </w:p>
        </w:tc>
        <w:tc>
          <w:tcPr/>
          <w:p>
            <w:pPr>
              <w:pStyle w:val="Compact"/>
            </w:pPr>
            <w:r>
              <w:t xml:space="preserve">Potencia exportadora de derivados CBD.</w:t>
            </w:r>
          </w:p>
        </w:tc>
      </w:tr>
      <w:tr>
        <w:tc>
          <w:tcPr/>
          <w:p>
            <w:pPr>
              <w:pStyle w:val="Compact"/>
            </w:pPr>
            <w:r>
              <w:rPr>
                <w:b/>
                <w:bCs/>
              </w:rPr>
              <w:t xml:space="preserve">Ecuador</w:t>
            </w:r>
          </w:p>
        </w:tc>
        <w:tc>
          <w:tcPr/>
          <w:p>
            <w:pPr>
              <w:pStyle w:val="Compact"/>
            </w:pPr>
            <w:r>
              <w:t xml:space="preserve">1,0%</w:t>
            </w:r>
          </w:p>
        </w:tc>
        <w:tc>
          <w:tcPr/>
          <w:p>
            <w:pPr>
              <w:pStyle w:val="Compact"/>
            </w:pPr>
            <w:r>
              <w:t xml:space="preserve">Acuerdo Ministerial 109-2020</w:t>
            </w:r>
          </w:p>
        </w:tc>
        <w:tc>
          <w:tcPr/>
          <w:p>
            <w:pPr>
              <w:pStyle w:val="Compact"/>
            </w:pPr>
            <w:r>
              <w:t xml:space="preserve">2020</w:t>
            </w:r>
          </w:p>
        </w:tc>
        <w:tc>
          <w:tcPr/>
          <w:p>
            <w:pPr>
              <w:pStyle w:val="Compact"/>
            </w:pPr>
            <w:r>
              <w:t xml:space="preserve">Cannabis no psicoactivo.</w:t>
            </w:r>
          </w:p>
        </w:tc>
      </w:tr>
      <w:tr>
        <w:tc>
          <w:tcPr/>
          <w:p>
            <w:pPr>
              <w:pStyle w:val="Compact"/>
            </w:pPr>
            <w:r>
              <w:rPr>
                <w:b/>
                <w:bCs/>
              </w:rPr>
              <w:t xml:space="preserve">Perú</w:t>
            </w:r>
          </w:p>
        </w:tc>
        <w:tc>
          <w:tcPr/>
          <w:p>
            <w:pPr>
              <w:pStyle w:val="Compact"/>
            </w:pPr>
            <w:r>
              <w:t xml:space="preserve">1,0%</w:t>
            </w:r>
          </w:p>
        </w:tc>
        <w:tc>
          <w:tcPr/>
          <w:p>
            <w:pPr>
              <w:pStyle w:val="Compact"/>
            </w:pPr>
            <w:r>
              <w:t xml:space="preserve">Ley 32195</w:t>
            </w:r>
          </w:p>
        </w:tc>
        <w:tc>
          <w:tcPr/>
          <w:p>
            <w:pPr>
              <w:pStyle w:val="Compact"/>
            </w:pPr>
            <w:r>
              <w:t xml:space="preserve">Dic 2024</w:t>
            </w:r>
          </w:p>
        </w:tc>
        <w:tc>
          <w:tcPr/>
          <w:p>
            <w:pPr>
              <w:pStyle w:val="Compact"/>
            </w:pPr>
            <w:r>
              <w:t xml:space="preserve">Cáñamo industrial.</w:t>
            </w:r>
          </w:p>
        </w:tc>
      </w:tr>
      <w:tr>
        <w:tc>
          <w:tcPr/>
          <w:p>
            <w:pPr>
              <w:pStyle w:val="Compact"/>
            </w:pPr>
            <w:r>
              <w:rPr>
                <w:b/>
                <w:bCs/>
              </w:rPr>
              <w:t xml:space="preserve">México</w:t>
            </w:r>
          </w:p>
        </w:tc>
        <w:tc>
          <w:tcPr/>
          <w:p>
            <w:pPr>
              <w:pStyle w:val="Compact"/>
            </w:pPr>
            <w:r>
              <w:t xml:space="preserve">1,0%</w:t>
            </w:r>
          </w:p>
        </w:tc>
        <w:tc>
          <w:tcPr/>
          <w:p>
            <w:pPr>
              <w:pStyle w:val="Compact"/>
            </w:pPr>
            <w:r>
              <w:t xml:space="preserve">Ley General de Salud Art. 245</w:t>
            </w:r>
          </w:p>
        </w:tc>
        <w:tc>
          <w:tcPr/>
          <w:p>
            <w:pPr>
              <w:pStyle w:val="Compact"/>
            </w:pPr>
            <w:r>
              <w:t xml:space="preserve">2017</w:t>
            </w:r>
          </w:p>
        </w:tc>
        <w:tc>
          <w:tcPr/>
          <w:p>
            <w:pPr>
              <w:pStyle w:val="Compact"/>
            </w:pPr>
            <w:r>
              <w:t xml:space="preserve">Productos industriales.</w:t>
            </w:r>
          </w:p>
        </w:tc>
      </w:tr>
      <w:tr>
        <w:tc>
          <w:tcPr/>
          <w:p>
            <w:pPr>
              <w:pStyle w:val="Compact"/>
            </w:pPr>
            <w:r>
              <w:rPr>
                <w:b/>
                <w:bCs/>
              </w:rPr>
              <w:t xml:space="preserve">Costa Rica</w:t>
            </w:r>
          </w:p>
        </w:tc>
        <w:tc>
          <w:tcPr/>
          <w:p>
            <w:pPr>
              <w:pStyle w:val="Compact"/>
            </w:pPr>
            <w:r>
              <w:t xml:space="preserve">1,0%</w:t>
            </w:r>
          </w:p>
        </w:tc>
        <w:tc>
          <w:tcPr/>
          <w:p>
            <w:pPr>
              <w:pStyle w:val="Compact"/>
            </w:pPr>
            <w:r>
              <w:t xml:space="preserve">Ley 10113 + RTCR 515:2024</w:t>
            </w:r>
          </w:p>
        </w:tc>
        <w:tc>
          <w:tcPr/>
          <w:p>
            <w:pPr>
              <w:pStyle w:val="Compact"/>
            </w:pPr>
            <w:r>
              <w:t xml:space="preserve">2022</w:t>
            </w:r>
          </w:p>
        </w:tc>
        <w:tc>
          <w:tcPr/>
          <w:p>
            <w:pPr>
              <w:pStyle w:val="Compact"/>
            </w:pPr>
            <w:r>
              <w:t xml:space="preserve">Marco técnico completo.</w:t>
            </w:r>
          </w:p>
        </w:tc>
      </w:tr>
      <w:tr>
        <w:tc>
          <w:tcPr/>
          <w:p>
            <w:pPr>
              <w:pStyle w:val="Compact"/>
            </w:pPr>
            <w:r>
              <w:rPr>
                <w:b/>
                <w:bCs/>
              </w:rPr>
              <w:t xml:space="preserve">Panamá</w:t>
            </w:r>
          </w:p>
        </w:tc>
        <w:tc>
          <w:tcPr/>
          <w:p>
            <w:pPr>
              <w:pStyle w:val="Compact"/>
            </w:pPr>
            <w:r>
              <w:t xml:space="preserve">1,0%</w:t>
            </w:r>
          </w:p>
        </w:tc>
        <w:tc>
          <w:tcPr/>
          <w:p>
            <w:pPr>
              <w:pStyle w:val="Compact"/>
            </w:pPr>
            <w:r>
              <w:t xml:space="preserve">Ley 464</w:t>
            </w:r>
          </w:p>
        </w:tc>
        <w:tc>
          <w:tcPr/>
          <w:p>
            <w:pPr>
              <w:pStyle w:val="Compact"/>
            </w:pPr>
            <w:r>
              <w:t xml:space="preserve">Mar 2025</w:t>
            </w:r>
          </w:p>
        </w:tc>
        <w:tc>
          <w:tcPr/>
          <w:p>
            <w:pPr>
              <w:pStyle w:val="Compact"/>
            </w:pPr>
            <w:r>
              <w:t xml:space="preserve">Cáñamo industrial.</w:t>
            </w:r>
          </w:p>
        </w:tc>
      </w:tr>
      <w:tr>
        <w:tc>
          <w:tcPr/>
          <w:p>
            <w:pPr>
              <w:pStyle w:val="Compact"/>
            </w:pPr>
            <w:r>
              <w:rPr>
                <w:b/>
                <w:bCs/>
              </w:rPr>
              <w:t xml:space="preserve">Jamaica</w:t>
            </w:r>
          </w:p>
        </w:tc>
        <w:tc>
          <w:tcPr/>
          <w:p>
            <w:pPr>
              <w:pStyle w:val="Compact"/>
            </w:pPr>
            <w:r>
              <w:t xml:space="preserve">≤1,0%</w:t>
            </w:r>
          </w:p>
        </w:tc>
        <w:tc>
          <w:tcPr/>
          <w:p>
            <w:pPr>
              <w:pStyle w:val="Compact"/>
            </w:pPr>
            <w:r>
              <w:t xml:space="preserve">Dangerous Drugs Amendment Act</w:t>
            </w:r>
          </w:p>
        </w:tc>
        <w:tc>
          <w:tcPr/>
          <w:p>
            <w:pPr>
              <w:pStyle w:val="Compact"/>
            </w:pPr>
            <w:r>
              <w:t xml:space="preserve">Abr 2015</w:t>
            </w:r>
          </w:p>
        </w:tc>
        <w:tc>
          <w:tcPr/>
          <w:p>
            <w:pPr>
              <w:pStyle w:val="Compact"/>
            </w:pPr>
            <w:r>
              <w:t xml:space="preserve">Definición legal hemp.</w:t>
            </w:r>
          </w:p>
        </w:tc>
      </w:tr>
    </w:tbl>
    <w:bookmarkEnd w:id="27"/>
    <w:bookmarkStart w:id="28" w:name="c.3-asia-pacífico-y-áfrica"/>
    <w:p>
      <w:pPr>
        <w:pStyle w:val="Heading3"/>
      </w:pPr>
      <w:r>
        <w:t xml:space="preserve">C.3 Asia-Pacífico y África</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Nueva Zelanda</w:t>
            </w:r>
          </w:p>
        </w:tc>
        <w:tc>
          <w:tcPr/>
          <w:p>
            <w:pPr>
              <w:pStyle w:val="Compact"/>
            </w:pPr>
            <w:r>
              <w:t xml:space="preserve">≤1,0%</w:t>
            </w:r>
          </w:p>
        </w:tc>
        <w:tc>
          <w:tcPr/>
          <w:p>
            <w:pPr>
              <w:pStyle w:val="Compact"/>
            </w:pPr>
            <w:r>
              <w:t xml:space="preserve">Reforma regulatoria</w:t>
            </w:r>
          </w:p>
        </w:tc>
        <w:tc>
          <w:tcPr/>
          <w:p>
            <w:pPr>
              <w:pStyle w:val="Compact"/>
            </w:pPr>
            <w:r>
              <w:t xml:space="preserve">Dic 2025</w:t>
            </w:r>
          </w:p>
        </w:tc>
        <w:tc>
          <w:tcPr/>
          <w:p>
            <w:pPr>
              <w:pStyle w:val="Compact"/>
            </w:pPr>
            <w:r>
              <w:t xml:space="preserve">Cultivo y productos.</w:t>
            </w:r>
          </w:p>
        </w:tc>
      </w:tr>
      <w:tr>
        <w:tc>
          <w:tcPr/>
          <w:p>
            <w:pPr>
              <w:pStyle w:val="Compact"/>
            </w:pPr>
            <w:r>
              <w:rPr>
                <w:b/>
                <w:bCs/>
              </w:rPr>
              <w:t xml:space="preserve">Fiyi</w:t>
            </w:r>
          </w:p>
        </w:tc>
        <w:tc>
          <w:tcPr/>
          <w:p>
            <w:pPr>
              <w:pStyle w:val="Compact"/>
            </w:pPr>
            <w:r>
              <w:t xml:space="preserve">1,0%</w:t>
            </w:r>
          </w:p>
        </w:tc>
        <w:tc>
          <w:tcPr/>
          <w:p>
            <w:pPr>
              <w:pStyle w:val="Compact"/>
            </w:pPr>
            <w:r>
              <w:t xml:space="preserve">Illicit Drugs Control Act 2022</w:t>
            </w:r>
          </w:p>
        </w:tc>
        <w:tc>
          <w:tcPr/>
          <w:p>
            <w:pPr>
              <w:pStyle w:val="Compact"/>
            </w:pPr>
            <w:r>
              <w:t xml:space="preserve">Jul 2022</w:t>
            </w:r>
          </w:p>
        </w:tc>
        <w:tc>
          <w:tcPr/>
          <w:p>
            <w:pPr>
              <w:pStyle w:val="Compact"/>
            </w:pPr>
            <w:r>
              <w:t xml:space="preserve">Cultivo y productos.</w:t>
            </w:r>
          </w:p>
        </w:tc>
      </w:tr>
      <w:tr>
        <w:tc>
          <w:tcPr/>
          <w:p>
            <w:pPr>
              <w:pStyle w:val="Compact"/>
            </w:pPr>
            <w:r>
              <w:rPr>
                <w:b/>
                <w:bCs/>
              </w:rPr>
              <w:t xml:space="preserve">Australia</w:t>
            </w:r>
          </w:p>
        </w:tc>
        <w:tc>
          <w:tcPr/>
          <w:p>
            <w:pPr>
              <w:pStyle w:val="Compact"/>
            </w:pPr>
            <w:r>
              <w:t xml:space="preserve">1,0%</w:t>
            </w:r>
          </w:p>
        </w:tc>
        <w:tc>
          <w:tcPr/>
          <w:p>
            <w:pPr>
              <w:pStyle w:val="Compact"/>
            </w:pPr>
            <w:r>
              <w:t xml:space="preserve">Legislación estatal</w:t>
            </w:r>
          </w:p>
        </w:tc>
        <w:tc>
          <w:tcPr/>
          <w:p>
            <w:pPr>
              <w:pStyle w:val="Compact"/>
            </w:pPr>
            <w:r>
              <w:t xml:space="preserve">Variable</w:t>
            </w:r>
          </w:p>
        </w:tc>
        <w:tc>
          <w:tcPr/>
          <w:p>
            <w:pPr>
              <w:pStyle w:val="Compact"/>
            </w:pPr>
            <w:r>
              <w:t xml:space="preserve">Umbral de cosecha reconoce fluctuación natural del cultivo.</w:t>
            </w:r>
          </w:p>
        </w:tc>
      </w:tr>
      <w:tr>
        <w:tc>
          <w:tcPr/>
          <w:p>
            <w:pPr>
              <w:pStyle w:val="Compact"/>
            </w:pPr>
            <w:r>
              <w:rPr>
                <w:b/>
                <w:bCs/>
              </w:rPr>
              <w:t xml:space="preserve">Marruecos</w:t>
            </w:r>
          </w:p>
        </w:tc>
        <w:tc>
          <w:tcPr/>
          <w:p>
            <w:pPr>
              <w:pStyle w:val="Compact"/>
            </w:pPr>
            <w:r>
              <w:t xml:space="preserve">1,0%</w:t>
            </w:r>
          </w:p>
        </w:tc>
        <w:tc>
          <w:tcPr/>
          <w:p>
            <w:pPr>
              <w:pStyle w:val="Compact"/>
            </w:pPr>
            <w:r>
              <w:t xml:space="preserve">Ley 13-21 + ANRAC</w:t>
            </w:r>
          </w:p>
        </w:tc>
        <w:tc>
          <w:tcPr/>
          <w:p>
            <w:pPr>
              <w:pStyle w:val="Compact"/>
            </w:pPr>
            <w:r>
              <w:t xml:space="preserve">2021</w:t>
            </w:r>
          </w:p>
        </w:tc>
        <w:tc>
          <w:tcPr/>
          <w:p>
            <w:pPr>
              <w:pStyle w:val="Compact"/>
            </w:pPr>
            <w:r>
              <w:t xml:space="preserve">País vecino y socio comercial UE.</w:t>
            </w:r>
          </w:p>
        </w:tc>
      </w:tr>
      <w:tr>
        <w:tc>
          <w:tcPr/>
          <w:p>
            <w:pPr>
              <w:pStyle w:val="Compact"/>
            </w:pPr>
            <w:r>
              <w:rPr>
                <w:b/>
                <w:bCs/>
              </w:rPr>
              <w:t xml:space="preserve">Líbano</w:t>
            </w:r>
          </w:p>
        </w:tc>
        <w:tc>
          <w:tcPr/>
          <w:p>
            <w:pPr>
              <w:pStyle w:val="Compact"/>
            </w:pPr>
            <w:r>
              <w:t xml:space="preserve">≤1,0%</w:t>
            </w:r>
          </w:p>
        </w:tc>
        <w:tc>
          <w:tcPr/>
          <w:p>
            <w:pPr>
              <w:pStyle w:val="Compact"/>
            </w:pPr>
            <w:r>
              <w:t xml:space="preserve">Ley 178/2020</w:t>
            </w:r>
          </w:p>
        </w:tc>
        <w:tc>
          <w:tcPr/>
          <w:p>
            <w:pPr>
              <w:pStyle w:val="Compact"/>
            </w:pPr>
            <w:r>
              <w:t xml:space="preserve">Abr 2020</w:t>
            </w:r>
          </w:p>
        </w:tc>
        <w:tc>
          <w:tcPr/>
          <w:p>
            <w:pPr>
              <w:pStyle w:val="Compact"/>
            </w:pPr>
            <w:r>
              <w:t xml:space="preserve">Cannabis industrial.</w:t>
            </w:r>
          </w:p>
        </w:tc>
      </w:tr>
      <w:tr>
        <w:tc>
          <w:tcPr/>
          <w:p>
            <w:pPr>
              <w:pStyle w:val="Compact"/>
            </w:pPr>
            <w:r>
              <w:rPr>
                <w:b/>
                <w:bCs/>
              </w:rPr>
              <w:t xml:space="preserve">Malawi</w:t>
            </w:r>
          </w:p>
        </w:tc>
        <w:tc>
          <w:tcPr/>
          <w:p>
            <w:pPr>
              <w:pStyle w:val="Compact"/>
            </w:pPr>
            <w:r>
              <w:t xml:space="preserve">1,0%</w:t>
            </w:r>
          </w:p>
        </w:tc>
        <w:tc>
          <w:tcPr/>
          <w:p>
            <w:pPr>
              <w:pStyle w:val="Compact"/>
            </w:pPr>
            <w:r>
              <w:t xml:space="preserve">Cannabis Regulation Act 2020</w:t>
            </w:r>
          </w:p>
        </w:tc>
        <w:tc>
          <w:tcPr/>
          <w:p>
            <w:pPr>
              <w:pStyle w:val="Compact"/>
            </w:pPr>
            <w:r>
              <w:t xml:space="preserve">May 2020</w:t>
            </w:r>
          </w:p>
        </w:tc>
        <w:tc>
          <w:tcPr/>
          <w:p>
            <w:pPr>
              <w:pStyle w:val="Compact"/>
            </w:pPr>
            <w:r>
              <w:t xml:space="preserve">Cáñamo industrial.</w:t>
            </w:r>
          </w:p>
        </w:tc>
      </w:tr>
      <w:tr>
        <w:tc>
          <w:tcPr/>
          <w:p>
            <w:pPr>
              <w:pStyle w:val="Compact"/>
            </w:pPr>
            <w:r>
              <w:rPr>
                <w:b/>
                <w:bCs/>
              </w:rPr>
              <w:t xml:space="preserve">Zimbabue</w:t>
            </w:r>
          </w:p>
        </w:tc>
        <w:tc>
          <w:tcPr/>
          <w:p>
            <w:pPr>
              <w:pStyle w:val="Compact"/>
            </w:pPr>
            <w:r>
              <w:t xml:space="preserve">1,0%</w:t>
            </w:r>
          </w:p>
        </w:tc>
        <w:tc>
          <w:tcPr/>
          <w:p>
            <w:pPr>
              <w:pStyle w:val="Compact"/>
            </w:pPr>
            <w:r>
              <w:t xml:space="preserve">Criminal Law Amendment Bill</w:t>
            </w:r>
          </w:p>
        </w:tc>
        <w:tc>
          <w:tcPr/>
          <w:p>
            <w:pPr>
              <w:pStyle w:val="Compact"/>
            </w:pPr>
            <w:r>
              <w:t xml:space="preserve">Feb 2023</w:t>
            </w:r>
          </w:p>
        </w:tc>
        <w:tc>
          <w:tcPr/>
          <w:p>
            <w:pPr>
              <w:pStyle w:val="Compact"/>
            </w:pPr>
            <w:r>
              <w:t xml:space="preserve">Cáñamo industrial.</w:t>
            </w:r>
          </w:p>
        </w:tc>
      </w:tr>
      <w:tr>
        <w:tc>
          <w:tcPr/>
          <w:p>
            <w:pPr>
              <w:pStyle w:val="Compact"/>
            </w:pPr>
            <w:r>
              <w:rPr>
                <w:b/>
                <w:bCs/>
              </w:rPr>
              <w:t xml:space="preserve">Sudáfrica</w:t>
            </w:r>
          </w:p>
        </w:tc>
        <w:tc>
          <w:tcPr/>
          <w:p>
            <w:pPr>
              <w:pStyle w:val="Compact"/>
            </w:pPr>
            <w:r>
              <w:rPr>
                <w:b/>
                <w:bCs/>
              </w:rPr>
              <w:t xml:space="preserve">2,0%</w:t>
            </w:r>
          </w:p>
        </w:tc>
        <w:tc>
          <w:tcPr/>
          <w:p>
            <w:pPr>
              <w:pStyle w:val="Compact"/>
            </w:pPr>
            <w:r>
              <w:t xml:space="preserve">Cannabis for Private Purposes Act</w:t>
            </w:r>
          </w:p>
        </w:tc>
        <w:tc>
          <w:tcPr/>
          <w:p>
            <w:pPr>
              <w:pStyle w:val="Compact"/>
            </w:pPr>
            <w:r>
              <w:t xml:space="preserve">Dic 2025</w:t>
            </w:r>
          </w:p>
        </w:tc>
        <w:tc>
          <w:tcPr/>
          <w:p>
            <w:pPr>
              <w:pStyle w:val="Compact"/>
            </w:pPr>
            <w:r>
              <w:t xml:space="preserve">Umbral superior justificado por condiciones climáticas.</w:t>
            </w:r>
          </w:p>
        </w:tc>
      </w:tr>
    </w:tbl>
    <w:bookmarkEnd w:id="28"/>
    <w:bookmarkStart w:id="29" w:name="c.4-nota-sobre-china"/>
    <w:p>
      <w:pPr>
        <w:pStyle w:val="Heading3"/>
      </w:pPr>
      <w:r>
        <w:t xml:space="preserve">C.4 Nota sobre China</w:t>
      </w:r>
    </w:p>
    <w:p>
      <w:pPr>
        <w:pStyle w:val="FirstParagraph"/>
      </w:pPr>
      <w:r>
        <w:t xml:space="preserve">China no establece un límite específico de THC para cáñamo industrial, pero sus programas de mejoramiento genético nunca restringieron artificialmente este cannabinoide. Los datos de rendimiento documentados son:</w:t>
      </w:r>
    </w:p>
    <w:tbl>
      <w:tblPr>
        <w:tblW w:w="5000" w:type="pct"/>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Variedad</w:t>
            </w:r>
          </w:p>
        </w:tc>
        <w:tc>
          <w:tcPr/>
          <w:p>
            <w:pPr>
              <w:pStyle w:val="Compact"/>
            </w:pPr>
            <w:r>
              <w:t xml:space="preserve">THC (%)</w:t>
            </w:r>
          </w:p>
        </w:tc>
        <w:tc>
          <w:tcPr/>
          <w:p>
            <w:pPr>
              <w:pStyle w:val="Compact"/>
            </w:pPr>
            <w:r>
              <w:t xml:space="preserve">Rendimiento tallo seco (t/ha)</w:t>
            </w:r>
          </w:p>
        </w:tc>
        <w:tc>
          <w:tcPr/>
          <w:p>
            <w:pPr>
              <w:pStyle w:val="Compact"/>
            </w:pPr>
            <w:r>
              <w:t xml:space="preserve">Ratio vs UE</w:t>
            </w:r>
          </w:p>
        </w:tc>
      </w:tr>
      <w:tr>
        <w:tc>
          <w:tcPr/>
          <w:p>
            <w:pPr>
              <w:pStyle w:val="Compact"/>
            </w:pPr>
            <w:r>
              <w:rPr>
                <w:b/>
                <w:bCs/>
              </w:rPr>
              <w:t xml:space="preserve">Yuma</w:t>
            </w:r>
          </w:p>
        </w:tc>
        <w:tc>
          <w:tcPr/>
          <w:p>
            <w:pPr>
              <w:pStyle w:val="Compact"/>
            </w:pPr>
            <w:r>
              <w:t xml:space="preserve">0,723</w:t>
            </w:r>
          </w:p>
        </w:tc>
        <w:tc>
          <w:tcPr/>
          <w:p>
            <w:pPr>
              <w:pStyle w:val="Compact"/>
            </w:pPr>
            <w:r>
              <w:t xml:space="preserve">35,1</w:t>
            </w:r>
          </w:p>
        </w:tc>
        <w:tc>
          <w:tcPr/>
          <w:p>
            <w:pPr>
              <w:pStyle w:val="Compact"/>
            </w:pPr>
            <w:r>
              <w:t xml:space="preserve">×7,6</w:t>
            </w:r>
          </w:p>
        </w:tc>
      </w:tr>
      <w:tr>
        <w:tc>
          <w:tcPr/>
          <w:p>
            <w:pPr>
              <w:pStyle w:val="Compact"/>
            </w:pPr>
            <w:r>
              <w:rPr>
                <w:b/>
                <w:bCs/>
              </w:rPr>
              <w:t xml:space="preserve">Bama</w:t>
            </w:r>
          </w:p>
        </w:tc>
        <w:tc>
          <w:tcPr/>
          <w:p>
            <w:pPr>
              <w:pStyle w:val="Compact"/>
            </w:pPr>
            <w:r>
              <w:t xml:space="preserve">0,506</w:t>
            </w:r>
          </w:p>
        </w:tc>
        <w:tc>
          <w:tcPr/>
          <w:p>
            <w:pPr>
              <w:pStyle w:val="Compact"/>
            </w:pPr>
            <w:r>
              <w:t xml:space="preserve">22,3</w:t>
            </w:r>
          </w:p>
        </w:tc>
        <w:tc>
          <w:tcPr/>
          <w:p>
            <w:pPr>
              <w:pStyle w:val="Compact"/>
            </w:pPr>
            <w:r>
              <w:t xml:space="preserve">×4,8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lockText"/>
      </w:pPr>
      <w:r>
        <w:rPr>
          <w:b/>
          <w:bCs/>
        </w:rPr>
        <w:t xml:space="preserve">Fuentes</w:t>
      </w:r>
      <w:r>
        <w:t xml:space="preserve">: Halker et al. (2024) [5],</w:t>
      </w:r>
      <w:r>
        <w:t xml:space="preserve"> </w:t>
      </w:r>
      <w:r>
        <w:rPr>
          <w:i/>
          <w:iCs/>
        </w:rPr>
        <w:t xml:space="preserve">Agrosystems, Geosciences &amp; Environment</w:t>
      </w:r>
      <w:r>
        <w:t xml:space="preserve">; Brym et al. (2020) [18],</w:t>
      </w:r>
      <w:r>
        <w:t xml:space="preserve"> </w:t>
      </w:r>
      <w:r>
        <w:rPr>
          <w:i/>
          <w:iCs/>
        </w:rPr>
        <w:t xml:space="preserve">Genetics</w:t>
      </w:r>
      <w:r>
        <w:t xml:space="preserve">. Los ensayos confirmaron que todas las variedades chinas de alto rendimiento superaron el 0,3% al cultivarse hasta cosecha.</w:t>
      </w:r>
    </w:p>
    <w:p>
      <w:r>
        <w:pict>
          <v:rect style="width:0;height:1.5pt" o:hralign="center" o:hrstd="t" o:hr="t"/>
        </w:pict>
      </w:r>
    </w:p>
    <w:bookmarkEnd w:id="29"/>
    <w:bookmarkEnd w:id="30"/>
    <w:bookmarkStart w:id="38" w:name="X00a4ea08ad369f285dc02423b7f1e708c196c03"/>
    <w:p>
      <w:pPr>
        <w:pStyle w:val="Heading2"/>
      </w:pPr>
      <w:r>
        <w:t xml:space="preserve">ANEXO D: FUNDAMENTO JURÍDICO — Principio de confianza legítima y doctrina Kanavape</w:t>
      </w:r>
    </w:p>
    <w:p>
      <w:pPr>
        <w:pStyle w:val="FirstParagraph"/>
      </w:pPr>
      <w:r>
        <w:t xml:space="preserve">Esta sección desarrolla el análisis jurídico que respalda la conclusión de que fijar un umbral del 0,3% THC —más restrictivo que la práctica comercial consolidada— plantea cuestiones relevantes en materia de confianza legítima y libre circulación de mercancías.</w:t>
      </w:r>
    </w:p>
    <w:bookmarkStart w:id="31" w:name="X51fb2cd7f4b58bef1bff4a0062444f3bb4db8fe"/>
    <w:p>
      <w:pPr>
        <w:pStyle w:val="Heading3"/>
      </w:pPr>
      <w:r>
        <w:t xml:space="preserve">D.1 Antecedente determinante: el caso Kanavape (C-663/18)</w:t>
      </w:r>
    </w:p>
    <w:p>
      <w:pPr>
        <w:pStyle w:val="FirstParagraph"/>
      </w:pPr>
      <w:r>
        <w:t xml:space="preserve">El caso paradigmático que define el marco jurídico actual fue</w:t>
      </w:r>
      <w:r>
        <w:t xml:space="preserve"> </w:t>
      </w:r>
      <w:r>
        <w:rPr>
          <w:b/>
          <w:bCs/>
        </w:rPr>
        <w:t xml:space="preserve">Francia contra Kanavape</w:t>
      </w:r>
      <w:r>
        <w:t xml:space="preserve"> </w:t>
      </w:r>
      <w:r>
        <w:t xml:space="preserve">[39]. Las autoridades francesas procesaron a los distribuidores de un producto de CBD argumentando que, al proceder de flores, constituía un estupefaciente.</w:t>
      </w:r>
    </w:p>
    <w:p>
      <w:pPr>
        <w:pStyle w:val="BodyText"/>
      </w:pPr>
      <w:r>
        <w:t xml:space="preserve">El Tribunal de Justicia de la UE resolvió la cuestión en sentencia de 19 de noviembre de 2020:</w:t>
      </w:r>
    </w:p>
    <w:p>
      <w:pPr>
        <w:pStyle w:val="BlockText"/>
      </w:pPr>
      <w:r>
        <w:t xml:space="preserve">El CBD extraído de la planta entera de cáñamo, incluidas las flores,</w:t>
      </w:r>
      <w:r>
        <w:t xml:space="preserve"> </w:t>
      </w:r>
      <w:r>
        <w:rPr>
          <w:b/>
          <w:bCs/>
        </w:rPr>
        <w:t xml:space="preserve">no es un estupefaciente</w:t>
      </w:r>
      <w:r>
        <w:t xml:space="preserve"> </w:t>
      </w:r>
      <w:r>
        <w:t xml:space="preserve">según el Derecho de la Unión, siempre que no produzca efectos psicoactivos.</w:t>
      </w:r>
    </w:p>
    <w:p>
      <w:pPr>
        <w:pStyle w:val="FirstParagraph"/>
      </w:pPr>
      <w:r>
        <w:t xml:space="preserve">La sentencia estableció tres principios fundamentales:</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9"/>
        <w:gridCol w:w="2489"/>
        <w:gridCol w:w="2941"/>
      </w:tblGrid>
      <w:tr>
        <w:trPr>
          <w:tblHeader w:val="on"/>
        </w:trPr>
        <w:tc>
          <w:tcPr/>
          <w:p>
            <w:pPr>
              <w:pStyle w:val="Compact"/>
            </w:pPr>
            <w:r>
              <w:t xml:space="preserve">Principio</w:t>
            </w:r>
          </w:p>
        </w:tc>
        <w:tc>
          <w:tcPr/>
          <w:p>
            <w:pPr>
              <w:pStyle w:val="Compact"/>
            </w:pPr>
            <w:r>
              <w:t xml:space="preserve">Contenido</w:t>
            </w:r>
          </w:p>
        </w:tc>
        <w:tc>
          <w:tcPr/>
          <w:p>
            <w:pPr>
              <w:pStyle w:val="Compact"/>
            </w:pPr>
            <w:r>
              <w:t xml:space="preserve">Implicación</w:t>
            </w:r>
          </w:p>
        </w:tc>
      </w:tr>
      <w:tr>
        <w:tc>
          <w:tcPr/>
          <w:p>
            <w:pPr>
              <w:pStyle w:val="Compact"/>
            </w:pPr>
            <w:r>
              <w:rPr>
                <w:b/>
                <w:bCs/>
              </w:rPr>
              <w:t xml:space="preserve">Interpretación teleológica de la Convención de 1961</w:t>
            </w:r>
          </w:p>
        </w:tc>
        <w:tc>
          <w:tcPr/>
          <w:p>
            <w:pPr>
              <w:pStyle w:val="Compact"/>
            </w:pPr>
            <w:r>
              <w:t xml:space="preserve">La Convención no fiscaliza productos de cannabis destinados a usos no narcóticos</w:t>
            </w:r>
          </w:p>
        </w:tc>
        <w:tc>
          <w:tcPr/>
          <w:p>
            <w:pPr>
              <w:pStyle w:val="Compact"/>
            </w:pPr>
            <w:r>
              <w:t xml:space="preserve">Todas las partes de la planta quedan fuera del régimen de estupefacientes si carecen de efecto psicoactivo</w:t>
            </w:r>
          </w:p>
        </w:tc>
      </w:tr>
      <w:tr>
        <w:tc>
          <w:tcPr/>
          <w:p>
            <w:pPr>
              <w:pStyle w:val="Compact"/>
            </w:pPr>
            <w:r>
              <w:rPr>
                <w:b/>
                <w:bCs/>
              </w:rPr>
              <w:t xml:space="preserve">Carga de la prueba</w:t>
            </w:r>
          </w:p>
        </w:tc>
        <w:tc>
          <w:tcPr/>
          <w:p>
            <w:pPr>
              <w:pStyle w:val="Compact"/>
            </w:pPr>
            <w:r>
              <w:t xml:space="preserve">El Estado que restringe debe demostrar riesgo real</w:t>
            </w:r>
          </w:p>
        </w:tc>
        <w:tc>
          <w:tcPr/>
          <w:p>
            <w:pPr>
              <w:pStyle w:val="Compact"/>
            </w:pPr>
            <w:r>
              <w:t xml:space="preserve">Las prohibiciones preventivas sin evidencia científica son contrarias al Derecho de la Unión</w:t>
            </w:r>
          </w:p>
        </w:tc>
      </w:tr>
      <w:tr>
        <w:tc>
          <w:tcPr/>
          <w:p>
            <w:pPr>
              <w:pStyle w:val="Compact"/>
            </w:pPr>
            <w:r>
              <w:rPr>
                <w:b/>
                <w:bCs/>
              </w:rPr>
              <w:t xml:space="preserve">Proporcionalidad</w:t>
            </w:r>
          </w:p>
        </w:tc>
        <w:tc>
          <w:tcPr/>
          <w:p>
            <w:pPr>
              <w:pStyle w:val="Compact"/>
            </w:pPr>
            <w:r>
              <w:t xml:space="preserve">Las medidas restrictivas deben ser necesarias y adecuadas</w:t>
            </w:r>
          </w:p>
        </w:tc>
        <w:tc>
          <w:tcPr/>
          <w:p>
            <w:pPr>
              <w:pStyle w:val="Compact"/>
            </w:pPr>
            <w:r>
              <w:t xml:space="preserve">Prohibir lo que no produce daño viola el principio de proporcionalidad</w:t>
            </w:r>
          </w:p>
        </w:tc>
      </w:tr>
    </w:tbl>
    <w:p>
      <w:pPr>
        <w:pStyle w:val="BodyText"/>
      </w:pPr>
      <w:r>
        <w:t xml:space="preserve">A raíz de esta sentencia,</w:t>
      </w:r>
      <w:r>
        <w:t xml:space="preserve"> </w:t>
      </w:r>
      <w:r>
        <w:rPr>
          <w:b/>
          <w:bCs/>
        </w:rPr>
        <w:t xml:space="preserve">Francia modificó su legislación</w:t>
      </w:r>
      <w:r>
        <w:t xml:space="preserve"> </w:t>
      </w:r>
      <w:r>
        <w:t xml:space="preserve">para permitir el cultivo de cáñamo destinado a flores y la extracción de CBD, alineándose con el resto de la Unión.</w:t>
      </w:r>
    </w:p>
    <w:bookmarkEnd w:id="31"/>
    <w:bookmarkStart w:id="32" w:name="X6b49d882f82d40f0ba44312daf4b318ce084528"/>
    <w:p>
      <w:pPr>
        <w:pStyle w:val="Heading3"/>
      </w:pPr>
      <w:r>
        <w:t xml:space="preserve">D.2 El cambio crítico: de elegibilidad a barrera comercial</w:t>
      </w:r>
    </w:p>
    <w:p>
      <w:pPr>
        <w:pStyle w:val="FirstParagraph"/>
      </w:pPr>
      <w:r>
        <w:t xml:space="preserve">La nueva propuesta de OCM (COM(2025) 553) [29]</w:t>
      </w:r>
      <w:r>
        <w:t xml:space="preserve"> </w:t>
      </w:r>
      <w:r>
        <w:rPr>
          <w:b/>
          <w:bCs/>
        </w:rPr>
        <w:t xml:space="preserve">codifica la doctrina Kanavape</w:t>
      </w:r>
      <w:r>
        <w:t xml:space="preserve"> </w:t>
      </w:r>
      <w:r>
        <w:t xml:space="preserve">al incluir por primera vez el código NC 1211 90 86 (</w:t>
      </w:r>
      <w:r>
        <w:t xml:space="preserve">“las demás partes de la planta de cáñamo”</w:t>
      </w:r>
      <w:r>
        <w:t xml:space="preserve">), habilitando flores y biomasa para el mercado interior europeo.</w:t>
      </w:r>
    </w:p>
    <w:p>
      <w:pPr>
        <w:pStyle w:val="BodyText"/>
      </w:pPr>
      <w:r>
        <w:t xml:space="preserve">Sin embargo,</w:t>
      </w:r>
      <w:r>
        <w:t xml:space="preserve"> </w:t>
      </w:r>
      <w:r>
        <w:rPr>
          <w:b/>
          <w:bCs/>
        </w:rPr>
        <w:t xml:space="preserve">la propuesta introduce un elemento que requiere análisis jurídico</w:t>
      </w:r>
      <w:r>
        <w:t xml:space="preserve">:</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6"/>
        <w:gridCol w:w="5133"/>
      </w:tblGrid>
      <w:tr>
        <w:trPr>
          <w:tblHeader w:val="on"/>
        </w:trPr>
        <w:tc>
          <w:tcPr/>
          <w:p>
            <w:pPr>
              <w:pStyle w:val="Compact"/>
            </w:pPr>
            <w:r>
              <w:t xml:space="preserve">Marco regulatorio</w:t>
            </w:r>
          </w:p>
        </w:tc>
        <w:tc>
          <w:tcPr/>
          <w:p>
            <w:pPr>
              <w:pStyle w:val="Compact"/>
            </w:pPr>
            <w:r>
              <w:t xml:space="preserve">Efecto de superar el umbral de THC</w:t>
            </w:r>
          </w:p>
        </w:tc>
      </w:tr>
      <w:tr>
        <w:tc>
          <w:tcPr/>
          <w:p>
            <w:pPr>
              <w:pStyle w:val="Compact"/>
            </w:pPr>
            <w:r>
              <w:rPr>
                <w:b/>
                <w:bCs/>
              </w:rPr>
              <w:t xml:space="preserve">PAC anterior</w:t>
            </w:r>
            <w:r>
              <w:t xml:space="preserve"> </w:t>
            </w:r>
            <w:r>
              <w:t xml:space="preserve">[33]</w:t>
            </w:r>
          </w:p>
        </w:tc>
        <w:tc>
          <w:tcPr/>
          <w:p>
            <w:pPr>
              <w:pStyle w:val="Compact"/>
            </w:pPr>
            <w:r>
              <w:t xml:space="preserve">No elegible para ayudas PAC</w:t>
            </w:r>
          </w:p>
        </w:tc>
      </w:tr>
      <w:tr>
        <w:tc>
          <w:tcPr/>
          <w:p>
            <w:pPr>
              <w:pStyle w:val="Compact"/>
            </w:pPr>
            <w:r>
              <w:rPr>
                <w:b/>
                <w:bCs/>
              </w:rPr>
              <w:t xml:space="preserve">Nueva OCM propuesta</w:t>
            </w:r>
          </w:p>
        </w:tc>
        <w:tc>
          <w:tcPr/>
          <w:p>
            <w:pPr>
              <w:pStyle w:val="Compact"/>
            </w:pPr>
            <w:r>
              <w:rPr>
                <w:b/>
                <w:bCs/>
              </w:rPr>
              <w:t xml:space="preserve">Prohibida la producción, comercialización e importación</w:t>
            </w:r>
          </w:p>
        </w:tc>
      </w:tr>
    </w:tbl>
    <w:p>
      <w:pPr>
        <w:pStyle w:val="BodyText"/>
      </w:pPr>
      <w:r>
        <w:t xml:space="preserve">El umbral de THC pasa de ser un criterio de elegibilidad para ayudas a convertirse en una</w:t>
      </w:r>
      <w:r>
        <w:t xml:space="preserve"> </w:t>
      </w:r>
      <w:r>
        <w:rPr>
          <w:b/>
          <w:bCs/>
        </w:rPr>
        <w:t xml:space="preserve">barrera de acceso al mercado interior</w:t>
      </w:r>
      <w:r>
        <w:t xml:space="preserve">. Esta transformación tiene consecuencias jurídicas directas para operadores que han comercializado durante años al amparo del marco anterior.</w:t>
      </w:r>
    </w:p>
    <w:bookmarkEnd w:id="32"/>
    <w:bookmarkStart w:id="33" w:name="X94e4e8e959994927dd00c265fb4b3db02f6e2e5"/>
    <w:p>
      <w:pPr>
        <w:pStyle w:val="Heading3"/>
      </w:pPr>
      <w:r>
        <w:t xml:space="preserve">D.3 Marco normativo: libre circulación de mercancías</w:t>
      </w:r>
    </w:p>
    <w:p>
      <w:pPr>
        <w:pStyle w:val="FirstParagraph"/>
      </w:pPr>
      <w:r>
        <w:t xml:space="preserve">Los artículos 34-36 TFUE [38] establecen el principio de libre circulación de mercancías en el mercado interior. Las restricciones cuantitativas a la importación y las medidas de efecto equivalente están prohibidas entre Estados miembros, salvo justificación por razones de orden público, seguridad pública o protección de la salud.</w:t>
      </w:r>
    </w:p>
    <w:p>
      <w:pPr>
        <w:pStyle w:val="BodyText"/>
      </w:pPr>
      <w:r>
        <w:t xml:space="preserve">El principio de</w:t>
      </w:r>
      <w:r>
        <w:t xml:space="preserve"> </w:t>
      </w:r>
      <w:r>
        <w:rPr>
          <w:b/>
          <w:bCs/>
        </w:rPr>
        <w:t xml:space="preserve">reconocimiento mutuo</w:t>
      </w:r>
      <w:r>
        <w:t xml:space="preserve"> </w:t>
      </w:r>
      <w:r>
        <w:t xml:space="preserve">—desarrollado desde</w:t>
      </w:r>
      <w:r>
        <w:t xml:space="preserve"> </w:t>
      </w:r>
      <w:r>
        <w:rPr>
          <w:i/>
          <w:iCs/>
        </w:rPr>
        <w:t xml:space="preserve">Cassis de Dijon</w:t>
      </w:r>
      <w:r>
        <w:t xml:space="preserve"> </w:t>
      </w:r>
      <w:r>
        <w:t xml:space="preserve">(C-120/78) [81]— implica que un producto legalmente comercializado en un Estado miembro debe poder circular libremente en los demás, salvo que existan razones imperiosas de interés general que justifiquen la restricción.</w:t>
      </w:r>
    </w:p>
    <w:bookmarkEnd w:id="33"/>
    <w:bookmarkStart w:id="34" w:name="Xcdbde869319144fc1d85384a00b26aa06720143"/>
    <w:p>
      <w:pPr>
        <w:pStyle w:val="Heading3"/>
      </w:pPr>
      <w:r>
        <w:t xml:space="preserve">D.4 Jurisprudencia aplicable del TJUE: confianza legítima</w:t>
      </w:r>
    </w:p>
    <w:p>
      <w:pPr>
        <w:pStyle w:val="FirstParagraph"/>
      </w:pPr>
      <w:r>
        <w:t xml:space="preserve">El principio de</w:t>
      </w:r>
      <w:r>
        <w:t xml:space="preserve"> </w:t>
      </w:r>
      <w:r>
        <w:rPr>
          <w:b/>
          <w:bCs/>
        </w:rPr>
        <w:t xml:space="preserve">confianza legítima</w:t>
      </w:r>
      <w:r>
        <w:t xml:space="preserve"> </w:t>
      </w:r>
      <w:r>
        <w:t xml:space="preserve">protege a los operadores económicos que han actuado de buena fe bajo un marco regulatorio tolerado o fomentado por las autoridades. El TJUE ha desarrollado este principio en casos relevantes para el sector agrícola:</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8"/>
        <w:gridCol w:w="2376"/>
        <w:gridCol w:w="4356"/>
      </w:tblGrid>
      <w:tr>
        <w:trPr>
          <w:tblHeader w:val="on"/>
        </w:trPr>
        <w:tc>
          <w:tcPr/>
          <w:p>
            <w:pPr>
              <w:pStyle w:val="Compact"/>
            </w:pPr>
            <w:r>
              <w:t xml:space="preserve">Caso</w:t>
            </w:r>
          </w:p>
        </w:tc>
        <w:tc>
          <w:tcPr/>
          <w:p>
            <w:pPr>
              <w:pStyle w:val="Compact"/>
            </w:pPr>
            <w:r>
              <w:t xml:space="preserve">Referencia</w:t>
            </w:r>
          </w:p>
        </w:tc>
        <w:tc>
          <w:tcPr/>
          <w:p>
            <w:pPr>
              <w:pStyle w:val="Compact"/>
            </w:pPr>
            <w:r>
              <w:t xml:space="preserve">Principio establecido</w:t>
            </w:r>
          </w:p>
        </w:tc>
      </w:tr>
      <w:tr>
        <w:tc>
          <w:tcPr/>
          <w:p>
            <w:pPr>
              <w:pStyle w:val="Compact"/>
            </w:pPr>
            <w:r>
              <w:rPr>
                <w:b/>
                <w:bCs/>
              </w:rPr>
              <w:t xml:space="preserve">Mulder</w:t>
            </w:r>
          </w:p>
        </w:tc>
        <w:tc>
          <w:tcPr/>
          <w:p>
            <w:pPr>
              <w:pStyle w:val="Compact"/>
            </w:pPr>
            <w:r>
              <w:t xml:space="preserve">C-120/86, EU:C:1988:213 [40]</w:t>
            </w:r>
          </w:p>
        </w:tc>
        <w:tc>
          <w:tcPr/>
          <w:p>
            <w:pPr>
              <w:pStyle w:val="Compact"/>
            </w:pPr>
            <w:r>
              <w:t xml:space="preserve">Protección de operadores en el sector agrícola que han realizado inversiones de buena fe</w:t>
            </w:r>
          </w:p>
        </w:tc>
      </w:tr>
      <w:tr>
        <w:tc>
          <w:tcPr/>
          <w:p>
            <w:pPr>
              <w:pStyle w:val="Compact"/>
            </w:pPr>
            <w:r>
              <w:rPr>
                <w:b/>
                <w:bCs/>
              </w:rPr>
              <w:t xml:space="preserve">CNTA</w:t>
            </w:r>
          </w:p>
        </w:tc>
        <w:tc>
          <w:tcPr/>
          <w:p>
            <w:pPr>
              <w:pStyle w:val="Compact"/>
            </w:pPr>
            <w:r>
              <w:t xml:space="preserve">C-74/74, EU:C:1975:59 [41]</w:t>
            </w:r>
          </w:p>
        </w:tc>
        <w:tc>
          <w:tcPr/>
          <w:p>
            <w:pPr>
              <w:pStyle w:val="Compact"/>
            </w:pPr>
            <w:r>
              <w:rPr>
                <w:i/>
                <w:iCs/>
              </w:rPr>
              <w:t xml:space="preserve">“Cuando la situación anterior ha sido tolerada o incluso fomentada por las autoridades, la protección de la confianza legítima prevalece”</w:t>
            </w:r>
          </w:p>
        </w:tc>
      </w:tr>
      <w:tr>
        <w:tc>
          <w:tcPr/>
          <w:p>
            <w:pPr>
              <w:pStyle w:val="Compact"/>
            </w:pPr>
            <w:r>
              <w:rPr>
                <w:b/>
                <w:bCs/>
              </w:rPr>
              <w:t xml:space="preserve">Sofrimport</w:t>
            </w:r>
          </w:p>
        </w:tc>
        <w:tc>
          <w:tcPr/>
          <w:p>
            <w:pPr>
              <w:pStyle w:val="Compact"/>
            </w:pPr>
            <w:r>
              <w:t xml:space="preserve">C-152/88, EU:C:1990:259 [42]</w:t>
            </w:r>
          </w:p>
        </w:tc>
        <w:tc>
          <w:tcPr/>
          <w:p>
            <w:pPr>
              <w:pStyle w:val="Compact"/>
            </w:pPr>
            <w:r>
              <w:t xml:space="preserve">Protección de operadores que han comprometido recursos económicos de buena fe</w:t>
            </w:r>
          </w:p>
        </w:tc>
      </w:tr>
      <w:tr>
        <w:tc>
          <w:tcPr/>
          <w:p>
            <w:pPr>
              <w:pStyle w:val="Compact"/>
            </w:pPr>
            <w:r>
              <w:rPr>
                <w:b/>
                <w:bCs/>
              </w:rPr>
              <w:t xml:space="preserve">Plantanol</w:t>
            </w:r>
          </w:p>
        </w:tc>
        <w:tc>
          <w:tcPr/>
          <w:p>
            <w:pPr>
              <w:pStyle w:val="Compact"/>
            </w:pPr>
            <w:r>
              <w:t xml:space="preserve">C-201/08, EU:C:2009:539 [43]</w:t>
            </w:r>
          </w:p>
        </w:tc>
        <w:tc>
          <w:tcPr/>
          <w:p>
            <w:pPr>
              <w:pStyle w:val="Compact"/>
            </w:pPr>
            <w:r>
              <w:t xml:space="preserve">Cambios normativos abruptos requieren medidas transitorias adecuadas</w:t>
            </w:r>
          </w:p>
        </w:tc>
      </w:tr>
    </w:tbl>
    <w:bookmarkEnd w:id="34"/>
    <w:bookmarkStart w:id="35" w:name="Xe9c6c689acc9623f3402312325a6ebd5f95fdf1"/>
    <w:p>
      <w:pPr>
        <w:pStyle w:val="Heading3"/>
      </w:pPr>
      <w:r>
        <w:t xml:space="preserve">D.5 Aplicación al caso del cáñamo industrial</w:t>
      </w:r>
    </w:p>
    <w:p>
      <w:pPr>
        <w:pStyle w:val="FirstParagraph"/>
      </w:pPr>
      <w:r>
        <w:t xml:space="preserve">Los operadores europeos llevan</w:t>
      </w:r>
      <w:r>
        <w:t xml:space="preserve"> </w:t>
      </w:r>
      <w:r>
        <w:rPr>
          <w:b/>
          <w:bCs/>
        </w:rPr>
        <w:t xml:space="preserve">más de 15 años</w:t>
      </w:r>
      <w:r>
        <w:t xml:space="preserve"> </w:t>
      </w:r>
      <w:r>
        <w:t xml:space="preserve">comercializando cáñamo industrial con umbrales de hasta el 1% THC, amparándose en:</w:t>
      </w:r>
    </w:p>
    <w:p>
      <w:pPr>
        <w:numPr>
          <w:ilvl w:val="0"/>
          <w:numId w:val="1004"/>
        </w:numPr>
      </w:pPr>
      <w:r>
        <w:rPr>
          <w:b/>
          <w:bCs/>
        </w:rPr>
        <w:t xml:space="preserve">Tolerancia de las autoridades</w:t>
      </w:r>
      <w:r>
        <w:t xml:space="preserve">: Múltiples Estados miembros han permitido o regulado activamente esta comercialización (Luxemburgo, República Checa, Italia, Austria, Bélgica, etc.).</w:t>
      </w:r>
    </w:p>
    <w:p>
      <w:pPr>
        <w:numPr>
          <w:ilvl w:val="0"/>
          <w:numId w:val="1004"/>
        </w:numPr>
      </w:pPr>
      <w:r>
        <w:rPr>
          <w:b/>
          <w:bCs/>
        </w:rPr>
        <w:t xml:space="preserve">Principio de reconocimiento mutuo</w:t>
      </w:r>
      <w:r>
        <w:t xml:space="preserve">: Productos legalmente comercializados en Suiza (desde 2011) o Luxemburgo (desde 2023) han circulado en el mercado interior.</w:t>
      </w:r>
    </w:p>
    <w:p>
      <w:pPr>
        <w:numPr>
          <w:ilvl w:val="0"/>
          <w:numId w:val="1004"/>
        </w:numPr>
      </w:pPr>
      <w:r>
        <w:rPr>
          <w:b/>
          <w:bCs/>
        </w:rPr>
        <w:t xml:space="preserve">Doctrina Kanavape</w:t>
      </w:r>
      <w:r>
        <w:t xml:space="preserve"> </w:t>
      </w:r>
      <w:r>
        <w:t xml:space="preserve">(C-663/18) [39]: El TJUE confirmó que el CBD extraído de la planta entera de cáñamo, incluidas las flores, no es un estupefaciente según el Derecho de la Unión, impidiendo prohibiciones sin demostración de riesgo real para la salud pública.</w:t>
      </w:r>
    </w:p>
    <w:bookmarkEnd w:id="35"/>
    <w:bookmarkStart w:id="36" w:name="Xd2d4474bc796b3acb423a25365e7f4fb3cef27b"/>
    <w:p>
      <w:pPr>
        <w:pStyle w:val="Heading3"/>
      </w:pPr>
      <w:r>
        <w:t xml:space="preserve">D.6 Implicaciones para la propuesta de OCM</w:t>
      </w:r>
    </w:p>
    <w:p>
      <w:pPr>
        <w:pStyle w:val="FirstParagraph"/>
      </w:pPr>
      <w:r>
        <w:t xml:space="preserve">Fijar un umbral del 0,3% THC en la nueva OCM —más restrictivo que la práctica consolidada— plantearía las siguientes cuestiones jurídicas:</w:t>
      </w:r>
    </w:p>
    <w:p>
      <w:pPr>
        <w:pStyle w:val="BodyText"/>
      </w:pPr>
      <w:r>
        <w:rPr>
          <w:b/>
          <w:bCs/>
        </w:rPr>
        <w:t xml:space="preserve">1. Vulneración de la confianza legítima</w:t>
      </w:r>
      <w:r>
        <w:t xml:space="preserve">: Los operadores que han invertido durante años en cadenas de valor basadas en umbrales superiores (reconocidos por Estados miembros) verían frustradas expectativas legítimas sin justificación proporcionada.</w:t>
      </w:r>
    </w:p>
    <w:p>
      <w:pPr>
        <w:pStyle w:val="BodyText"/>
      </w:pPr>
      <w:r>
        <w:rPr>
          <w:b/>
          <w:bCs/>
        </w:rPr>
        <w:t xml:space="preserve">2. Contradicción con Kanavape</w:t>
      </w:r>
      <w:r>
        <w:t xml:space="preserve">: La doctrina del TJUE exige demostración de riesgo real para restringir la libre circulación. La evidencia científica (ver Anexo A) demuestra que el cáñamo al 1% THC no presenta riesgo de abuso.</w:t>
      </w:r>
    </w:p>
    <w:p>
      <w:pPr>
        <w:pStyle w:val="BodyText"/>
      </w:pPr>
      <w:r>
        <w:rPr>
          <w:b/>
          <w:bCs/>
        </w:rPr>
        <w:t xml:space="preserve">3. Exposición a reclamaciones</w:t>
      </w:r>
      <w:r>
        <w:t xml:space="preserve">: La Unión podría enfrentar reclamaciones de responsabilidad por daños causados a operadores que actuaron de buena fe bajo un marco tolerado.</w:t>
      </w:r>
    </w:p>
    <w:p>
      <w:pPr>
        <w:pStyle w:val="BodyText"/>
      </w:pPr>
      <w:r>
        <w:rPr>
          <w:b/>
          <w:bCs/>
        </w:rPr>
        <w:t xml:space="preserve">4. Test de proporcionalidad</w:t>
      </w:r>
      <w:r>
        <w:t xml:space="preserve">: Cualquier restricción debe ser necesaria y proporcionada al objetivo legítimo perseguido. Cuando 18+ jurisdicciones operan con el 1% THC sin incidentes de seguridad pública, un umbral del 0,3% difícilmente supera este test.</w:t>
      </w:r>
    </w:p>
    <w:bookmarkEnd w:id="36"/>
    <w:bookmarkStart w:id="37" w:name="d.7-conclusión-del-análisis-jurídico"/>
    <w:p>
      <w:pPr>
        <w:pStyle w:val="Heading3"/>
      </w:pPr>
      <w:r>
        <w:t xml:space="preserve">D.7 Conclusión del análisis jurídico</w:t>
      </w:r>
    </w:p>
    <w:p>
      <w:pPr>
        <w:pStyle w:val="FirstParagraph"/>
      </w:pPr>
      <w:r>
        <w:t xml:space="preserve">El marco jurídico europeo —libre circulación de mercancías, reconocimiento mutuo, confianza legítima y doctrina Kanavape— respalda un umbral armonizado que reconozca la práctica comercial consolidada.</w:t>
      </w:r>
    </w:p>
    <w:p>
      <w:pPr>
        <w:pStyle w:val="BodyText"/>
      </w:pPr>
      <w:r>
        <w:t xml:space="preserve">Fijar el umbral en</w:t>
      </w:r>
      <w:r>
        <w:t xml:space="preserve"> </w:t>
      </w:r>
      <w:r>
        <w:rPr>
          <w:b/>
          <w:bCs/>
        </w:rPr>
        <w:t xml:space="preserve">1% THC</w:t>
      </w:r>
      <w:r>
        <w:t xml:space="preserve"> </w:t>
      </w:r>
      <w:r>
        <w:t xml:space="preserve">no solo es científicamente justificado (Anexo A), sino que representa la opción jurídicamente más segura: armoniza al nivel que la práctica, la ciencia y la jurisprudencia han validado durante más de una década.</w:t>
      </w:r>
    </w:p>
    <w:p>
      <w:r>
        <w:pict>
          <v:rect style="width:0;height:1.5pt" o:hralign="center" o:hrstd="t" o:hr="t"/>
        </w:pict>
      </w:r>
    </w:p>
    <w:p>
      <w:r>
        <w:pict>
          <v:rect style="width:0;height:1.5pt" o:hralign="center" o:hrstd="t" o:hr="t"/>
        </w:pict>
      </w:r>
    </w:p>
    <w:p>
      <w:pPr>
        <w:pStyle w:val="BlockText"/>
      </w:pPr>
      <w:r>
        <w:rPr>
          <w:b/>
          <w:bCs/>
        </w:rPr>
        <w:t xml:space="preserve">Bibliografía completa disponible en</w:t>
      </w:r>
      <w:r>
        <w:rPr>
          <w:b/>
          <w:bCs/>
        </w:rPr>
        <w:t xml:space="preserve"> </w:t>
      </w:r>
      <w:hyperlink r:id="rId9">
        <w:r>
          <w:rPr>
            <w:rStyle w:val="Hyperlink"/>
            <w:b/>
            <w:bCs/>
          </w:rPr>
          <w:t xml:space="preserve">PAPER_PRINCIPAL.md</w:t>
        </w:r>
      </w:hyperlink>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PAPER_PRINCIPAL.md"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PAPER_PRINCIPA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2026-01-26T00:15:19Z</dcterms:created>
  <dcterms:modified xsi:type="dcterms:W3CDTF">2026-01-26T00:15:19Z</dcterms:modified>
</cp:coreProperties>
</file>

<file path=docProps/custom.xml><?xml version="1.0" encoding="utf-8"?>
<Properties xmlns="http://schemas.openxmlformats.org/officeDocument/2006/custom-properties" xmlns:vt="http://schemas.openxmlformats.org/officeDocument/2006/docPropsVTypes"/>
</file>