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name="position-paper" w:id="15"/>
    <w:p>
      <w:pPr>
        <w:pStyle w:val="Heading1"/>
      </w:pPr>
      <w:r>
        <w:t xml:space="preserve">POSITION PAPER</w:t>
      </w:r>
    </w:p>
    <w:bookmarkStart w:name="X66a494432ae5a7bba20dae3e2ec51d2a611517d" w:id="10"/>
    <w:p>
      <w:pPr>
        <w:pStyle w:val="Heading2"/>
      </w:pPr>
      <w:r>
        <w:t xml:space="preserve">Hemp sector proposal for the CAP 2028–2034:</w:t>
      </w:r>
    </w:p>
    <w:bookmarkStart w:name="X4e21c70344a2a2158a17670617d1c767a95c163" w:id="9"/>
    <w:p>
      <w:pPr>
        <w:pStyle w:val="Heading3"/>
      </w:pPr>
      <w:r>
        <w:t xml:space="preserve">Alignment with international THC standards</w:t>
      </w:r>
    </w:p>
    <w:p>
      <w:pPr>
        <w:pStyle w:val="FirstParagraph"/>
      </w:pPr>
      <w:r>
        <w:rPr>
          <w:b/>
          <w:bCs/>
        </w:rPr>
        <w:t xml:space="preserve">Cannabis Hub — January 2026</w:t>
      </w:r>
    </w:p>
    <w:p>
      <w:r>
        <w:pict>
          <v:rect style="width:0;height:1.5pt" o:hr="t" o:hrstd="t" o:hralign="center"/>
        </w:pict>
      </w:r>
    </w:p>
    <w:bookmarkEnd w:id="9"/>
    <w:bookmarkEnd w:id="10"/>
    <w:bookmarkStart w:name="executive-summary" w:id="13"/>
    <w:p>
      <w:pPr>
        <w:pStyle w:val="Heading2"/>
      </w:pPr>
      <w:r>
        <w:t xml:space="preserve">Executive Summary</w:t>
      </w:r>
    </w:p>
    <w:p>
      <w:pPr>
        <w:pStyle w:val="FirstParagraph"/>
      </w:pPr>
      <w:r>
        <w:rPr>
          <w:b/>
          <w:bCs/>
        </w:rPr>
        <w:t xml:space="preserve">The CAP 2028–2034 represents the last opportunity in this legislative term to align the European hemp framework with established international standards.</w:t>
      </w:r>
    </w:p>
    <w:p>
      <w:pPr>
        <w:pStyle w:val="BodyText"/>
      </w:pPr>
      <w:r>
        <w:t xml:space="preserve">The European Commission has proposed the new CAP (COM(2025) 560) [28] and the revision of the CMO (COM(2025) 553) [29], including for the first time hemp flowers and biomass (CN code 1211 90 86) in the internal market. However, </w:t>
      </w:r>
      <w:r>
        <w:rPr>
          <w:b/>
          <w:bCs/>
        </w:rPr>
        <w:t xml:space="preserve">the proposal transforms the THC threshold from an eligibility criterion for aid to a barrier to market access</w:t>
      </w:r>
      <w:r>
        <w:t xml:space="preserve">: exceeding 0.3% no longer means losing subsidies, but a </w:t>
      </w:r>
      <w:r>
        <w:rPr>
          <w:b/>
          <w:bCs/>
        </w:rPr>
        <w:t xml:space="preserve">ban on production, marketing and importation</w:t>
      </w:r>
      <w:r>
        <w:t xml:space="preserve">.</w:t>
      </w:r>
    </w:p>
    <w:p>
      <w:pPr>
        <w:pStyle w:val="BodyText"/>
      </w:pPr>
      <w:r>
        <w:rPr>
          <w:b/>
          <w:bCs/>
        </w:rPr>
        <w:t xml:space="preserve">The 0.3% THC threshold was set </w:t>
      </w:r>
      <w:r>
        <w:rPr>
          <w:b/>
          <w:bCs/>
        </w:rPr>
        <w:t xml:space="preserve">'arbitrarily'</w:t>
      </w:r>
      <w:r>
        <w:rPr>
          <w:b/>
          <w:bCs/>
        </w:rPr>
        <w:t xml:space="preserve">, measuring only the leaves and </w:t>
      </w:r>
      <w:r>
        <w:t xml:space="preserve">omitting the rest of the plant, including the flowering tops, which are precisely what this new CAP/CMO includes for the first time. Its own author, Dr Ernest Small, now states: </w:t>
      </w:r>
      <w:r>
        <w:rPr>
          <w:i/>
          <w:iCs/>
        </w:rPr>
        <w:t xml:space="preserve">'1% THC would be a more suitable criterion</w:t>
      </w:r>
      <w:r>
        <w:t xml:space="preserve">'.</w:t>
      </w:r>
    </w:p>
    <w:p>
      <w:pPr>
        <w:pStyle w:val="BodyText"/>
      </w:pPr>
      <w:r>
        <w:t xml:space="preserve">Europe is about to legislate with obsolete data from 1976 that its creator has already disavowed.</w:t>
      </w:r>
    </w:p>
    <w:bookmarkStart w:name="por-qué-el-03-requiere-revisión" w:id="11"/>
    <w:p>
      <w:pPr>
        <w:pStyle w:val="Heading3"/>
      </w:pPr>
      <w:r>
        <w:t xml:space="preserve">Why 0.3% needs to be revised:</w:t>
      </w:r>
    </w:p>
    <w:p>
      <w:pPr>
        <w:pStyle w:val="FirstParagraph"/>
      </w:pPr>
      <w:r>
        <w:rPr>
          <w:b/>
          <w:bCs/>
        </w:rPr>
        <w:t xml:space="preserve">Europe loses 1.3 Mt of CO₂/year: </w:t>
      </w:r>
      <w:r>
        <w:t xml:space="preserve">Fibre hemp varieties exceeding 0.3% THC —excluded by current regulations— produce up to 663% more biomass than those permitted. If authorised, they would capture an additional 1.3 million tonnes of CO₂ per year (equivalent to 400,000 ha of Amazon rainforest).</w:t>
      </w:r>
    </w:p>
    <w:p>
      <w:pPr>
        <w:pStyle w:val="BodyText"/>
      </w:pPr>
      <w:r>
        <w:rPr>
          <w:b/>
          <w:bCs/>
        </w:rPr>
        <w:t xml:space="preserve">The European Pharmacopoeia draws the line at 1% THC: </w:t>
      </w:r>
      <w:r>
        <w:t xml:space="preserve">The official monograph </w:t>
      </w:r>
      <w:r>
        <w:rPr>
          <w:i/>
          <w:iCs/>
        </w:rPr>
        <w:t xml:space="preserve">Cannabis flos </w:t>
      </w:r>
      <w:r>
        <w:t xml:space="preserve">(3028) distinguishes between the CBD chemotype (≤1% THC) and the THC chemotype (&gt;1% THC). Industrial hemp is, by nature, CBD chemotype cannabis. If European pharmaceutical science uses 1% as the threshold, agricultural regulations should adopt the same criterion for regulatory consistency.</w:t>
      </w:r>
    </w:p>
    <w:p>
      <w:pPr>
        <w:pStyle w:val="BodyText"/>
      </w:pPr>
      <w:r>
        <w:rPr>
          <w:b/>
          <w:bCs/>
        </w:rPr>
        <w:t xml:space="preserve">18+ jurisdictions without incident: </w:t>
      </w:r>
      <w:r>
        <w:t xml:space="preserve">Switzerland (2011), Luxembourg (2023), Czech Republic (2025), all Mercosur countries, South Africa (2025: 2%). Intra-Community trade is already working: European operators have been trading for 15+ years with higher thresholds under mutual recognition (Kanavape doctrine, C-663/18). The EU-Mercosur Agreement (January 2026) requires the TBT test of </w:t>
      </w:r>
      <w:r>
        <w:t xml:space="preserve">"necessity</w:t>
      </w:r>
      <w:r>
        <w:t xml:space="preserve">": how can 0.3% be justified when partners operate with 1%?</w:t>
      </w:r>
    </w:p>
    <w:p>
      <w:pPr>
        <w:pStyle w:val="BodyText"/>
      </w:pPr>
      <w:r>
        <w:rPr>
          <w:b/>
          <w:bCs/>
        </w:rPr>
        <w:t xml:space="preserve">Consolidated Kanavape doctrine: </w:t>
      </w:r>
      <w:r>
        <w:t xml:space="preserve">The principle of mutual recognition (C-663/18) has guaranteed the free movement of hemp products since 2020. Luxembourg and the Czech Republic (Member States) already operate with 1% THC. Harmonisation codifies existing case law.</w:t>
      </w:r>
    </w:p>
    <w:bookmarkEnd w:id="11"/>
    <w:bookmarkStart w:name="X4e0f7eb0606699f317db4bdce4c752fb8de9e2b" w:id="12"/>
    <w:p>
      <w:pPr>
        <w:pStyle w:val="Heading3"/>
      </w:pPr>
      <w:r>
        <w:t xml:space="preserve">In this document, we develop a convergence of four independent arguments that lead to the same conclusion:</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29"/>
        <w:gridCol w:w="5590"/>
      </w:tblGrid>
      <w:tr>
        <w:trPr>
          <w:tblHeader w:val="on"/>
        </w:trPr>
        <w:tc>
          <w:tcPr/>
          <w:p>
            <w:pPr>
              <w:pStyle w:val="Compact"/>
            </w:pPr>
            <w:r>
              <w:t xml:space="preserve">Axis</w:t>
            </w:r>
          </w:p>
        </w:tc>
        <w:tc>
          <w:tcPr/>
          <w:p>
            <w:pPr>
              <w:pStyle w:val="Compact"/>
            </w:pPr>
            <w:r>
              <w:t xml:space="preserve">Conclusion</w:t>
            </w:r>
          </w:p>
        </w:tc>
      </w:tr>
      <w:tr>
        <w:tc>
          <w:tcPr/>
          <w:p>
            <w:pPr>
              <w:pStyle w:val="Compact"/>
            </w:pPr>
            <w:r>
              <w:rPr>
                <w:b/>
                <w:bCs/>
              </w:rPr>
              <w:t xml:space="preserve">Background</w:t>
            </w:r>
          </w:p>
        </w:tc>
        <w:tc>
          <w:tcPr/>
          <w:p>
            <w:pPr>
              <w:pStyle w:val="Compact"/>
            </w:pPr>
            <w:r>
              <w:t xml:space="preserve">The 0.3% criterion has no scientific basis; its author considers it obsolete (§2.1)</w:t>
            </w:r>
          </w:p>
        </w:tc>
      </w:tr>
      <w:tr>
        <w:tc>
          <w:tcPr/>
          <w:p>
            <w:pPr>
              <w:pStyle w:val="Compact"/>
            </w:pPr>
            <w:r>
              <w:rPr>
                <w:b/>
                <w:bCs/>
              </w:rPr>
              <w:t xml:space="preserve">Agronomic</w:t>
            </w:r>
          </w:p>
        </w:tc>
        <w:tc>
          <w:tcPr/>
          <w:p>
            <w:pPr>
              <w:pStyle w:val="Compact"/>
            </w:pPr>
            <w:r>
              <w:t xml:space="preserve">High-yielding, CO₂ capture varieties express THC 0.4-0.9% (§2.2)</w:t>
            </w:r>
          </w:p>
        </w:tc>
      </w:tr>
      <w:tr>
        <w:tc>
          <w:tcPr/>
          <w:p>
            <w:pPr>
              <w:pStyle w:val="Compact"/>
            </w:pPr>
            <w:r>
              <w:rPr>
                <w:b/>
                <w:bCs/>
              </w:rPr>
              <w:t xml:space="preserve">Competitiveness</w:t>
            </w:r>
          </w:p>
        </w:tc>
        <w:tc>
          <w:tcPr/>
          <w:p>
            <w:pPr>
              <w:pStyle w:val="Compact"/>
            </w:pPr>
            <w:r>
              <w:t xml:space="preserve">18+ jurisdictions and Mercosur partners operate with 1%; WTO/TBT risk (§2.3)</w:t>
            </w:r>
          </w:p>
        </w:tc>
      </w:tr>
      <w:tr>
        <w:tc>
          <w:tcPr/>
          <w:p>
            <w:pPr>
              <w:pStyle w:val="Compact"/>
            </w:pPr>
            <w:r>
              <w:rPr>
                <w:b/>
                <w:bCs/>
              </w:rPr>
              <w:t xml:space="preserve">Public health</w:t>
            </w:r>
          </w:p>
        </w:tc>
        <w:tc>
          <w:tcPr/>
          <w:p>
            <w:pPr>
              <w:pStyle w:val="Compact"/>
            </w:pPr>
            <w:r>
              <w:t xml:space="preserve">Safety margins ×8-17 confirm absence of psychoactive effects (§2.4)</w:t>
            </w:r>
          </w:p>
        </w:tc>
      </w:tr>
    </w:tbl>
    <w:p>
      <w:r>
        <w:pict>
          <v:rect style="width:0;height:1.5pt" o:hr="t" o:hrstd="t" o:hralign="center"/>
        </w:pict>
      </w:r>
    </w:p>
    <w:p>
      <w:pPr>
        <w:pStyle w:val="FirstParagraph"/>
      </w:pPr>
      <w:r>
        <w:rPr>
          <w:b/>
          <w:bCs/>
        </w:rPr>
        <w:t xml:space="preserve">Proposed amendment</w:t>
      </w:r>
      <w:r>
        <w:t xml:space="preserve">: Replace </w:t>
      </w:r>
      <w:r>
        <w:rPr>
          <w:b/>
          <w:bCs/>
        </w:rPr>
        <w:t xml:space="preserve">"0.3%" </w:t>
      </w:r>
      <w:r>
        <w:t xml:space="preserve">with </w:t>
      </w:r>
      <w:r>
        <w:rPr>
          <w:b/>
          <w:bCs/>
        </w:rPr>
        <w:t xml:space="preserve">"1.0%" </w:t>
      </w:r>
      <w:r>
        <w:t xml:space="preserve">in Articles 5 PAC, 147 ter, 147 quater and 189 OCM.</w:t>
      </w:r>
    </w:p>
    <w:p>
      <w:pPr>
        <w:pStyle w:val="BodyText"/>
      </w:pPr>
      <w:r>
        <w:t xml:space="preserve">A two-character amendment that aligns Europe with science, international practice and the institutions themselves that have already drawn this line.</w:t>
      </w:r>
    </w:p>
    <w:p>
      <w:r>
        <w:pict>
          <v:rect style="width:0;height:1.5pt" o:hr="t" o:hrstd="t" o:hralign="center"/>
        </w:pict>
      </w:r>
    </w:p>
    <w:bookmarkEnd w:id="12"/>
    <w:bookmarkEnd w:id="13"/>
    <w:bookmarkStart w:name="índice-detallado" w:id="14"/>
    <w:p>
      <w:pPr>
        <w:pStyle w:val="Heading2"/>
      </w:pPr>
      <w:r>
        <w:t xml:space="preserve">Detailed index</w:t>
      </w:r>
    </w:p>
    <w:p>
      <w:pPr>
        <w:pStyle w:val="Compact"/>
        <w:numPr>
          <w:ilvl w:val="0"/>
          <w:numId w:val="1001"/>
        </w:numPr>
      </w:pPr>
      <w:hyperlink w:anchor="Xb7cc035336e5a378c269783be014e50029d2f81">
        <w:r>
          <w:rPr>
            <w:rStyle w:val="Hyperlink"/>
          </w:rPr>
          <w:t xml:space="preserve">Institutional momentum</w:t>
        </w:r>
      </w:hyperlink>
    </w:p>
    <w:p>
      <w:pPr>
        <w:pStyle w:val="Compact"/>
        <w:numPr>
          <w:ilvl w:val="1"/>
          <w:numId w:val="1002"/>
        </w:numPr>
      </w:pPr>
      <w:r>
        <w:t xml:space="preserve">1.1 </w:t>
      </w:r>
      <w:hyperlink w:anchor="X6933b5900f4b7dea206579167dfa14bdcd8c917">
        <w:r>
          <w:rPr>
            <w:rStyle w:val="Hyperlink"/>
          </w:rPr>
          <w:t xml:space="preserve">Position of the European Parliament (September 2025)</w:t>
        </w:r>
      </w:hyperlink>
    </w:p>
    <w:p>
      <w:pPr>
        <w:pStyle w:val="Compact"/>
        <w:numPr>
          <w:ilvl w:val="1"/>
          <w:numId w:val="1002"/>
        </w:numPr>
      </w:pPr>
      <w:r>
        <w:t xml:space="preserve">1.2 </w:t>
      </w:r>
      <w:hyperlink w:anchor="X10976842e173ca7404a1734a0de5e9af82a8fc8">
        <w:r>
          <w:rPr>
            <w:rStyle w:val="Hyperlink"/>
          </w:rPr>
          <w:t xml:space="preserve">Multilevel convergence: Member States and national parliaments</w:t>
        </w:r>
      </w:hyperlink>
    </w:p>
    <w:p>
      <w:pPr>
        <w:pStyle w:val="Compact"/>
        <w:numPr>
          <w:ilvl w:val="0"/>
          <w:numId w:val="1001"/>
        </w:numPr>
      </w:pPr>
      <w:hyperlink w:anchor="X68e299f9b374e79a200c975e059823b59e9e750">
        <w:r>
          <w:rPr>
            <w:rStyle w:val="Hyperlink"/>
          </w:rPr>
          <w:t xml:space="preserve">Justification for the proposed threshold</w:t>
        </w:r>
      </w:hyperlink>
    </w:p>
    <w:p>
      <w:pPr>
        <w:pStyle w:val="Compact"/>
        <w:numPr>
          <w:ilvl w:val="1"/>
          <w:numId w:val="1003"/>
        </w:numPr>
      </w:pPr>
      <w:r>
        <w:t xml:space="preserve">2.1 </w:t>
      </w:r>
      <w:hyperlink w:anchor="X40709fd9a4d3fd0bc5f42aae89a517ca8b10303">
        <w:r>
          <w:rPr>
            <w:rStyle w:val="Hyperlink"/>
          </w:rPr>
          <w:t xml:space="preserve">Historical review of the threshold</w:t>
        </w:r>
      </w:hyperlink>
    </w:p>
    <w:p>
      <w:pPr>
        <w:pStyle w:val="Compact"/>
        <w:numPr>
          <w:ilvl w:val="1"/>
          <w:numId w:val="1003"/>
        </w:numPr>
      </w:pPr>
      <w:r>
        <w:t xml:space="preserve">2.2 </w:t>
      </w:r>
      <w:hyperlink w:anchor="X24c4f81544708a8ab7845278dddb598069e59a7">
        <w:r>
          <w:rPr>
            <w:rStyle w:val="Hyperlink"/>
          </w:rPr>
          <w:t xml:space="preserve">Agronomic performance and climate adaptation</w:t>
        </w:r>
      </w:hyperlink>
    </w:p>
    <w:p>
      <w:pPr>
        <w:pStyle w:val="Compact"/>
        <w:numPr>
          <w:ilvl w:val="1"/>
          <w:numId w:val="1003"/>
        </w:numPr>
      </w:pPr>
      <w:r>
        <w:t xml:space="preserve">2.3 </w:t>
      </w:r>
      <w:hyperlink w:anchor="Xd20d6b8cf566352389cda87f8913d38a9a3b974">
        <w:r>
          <w:rPr>
            <w:rStyle w:val="Hyperlink"/>
          </w:rPr>
          <w:t xml:space="preserve">International competitiveness of the sector</w:t>
        </w:r>
      </w:hyperlink>
    </w:p>
    <w:p>
      <w:pPr>
        <w:pStyle w:val="Compact"/>
        <w:numPr>
          <w:ilvl w:val="1"/>
          <w:numId w:val="1003"/>
        </w:numPr>
      </w:pPr>
      <w:r>
        <w:t xml:space="preserve">2.4 </w:t>
      </w:r>
      <w:hyperlink w:anchor="Xa4eb89ea6238ef3b632e6b44ebfa9220f959f40">
        <w:r>
          <w:rPr>
            <w:rStyle w:val="Hyperlink"/>
          </w:rPr>
          <w:t xml:space="preserve">Public health and safety</w:t>
        </w:r>
      </w:hyperlink>
    </w:p>
    <w:p>
      <w:pPr>
        <w:pStyle w:val="Compact"/>
        <w:numPr>
          <w:ilvl w:val="0"/>
          <w:numId w:val="1001"/>
        </w:numPr>
      </w:pPr>
      <w:hyperlink w:anchor="Xf55baa4aa56dcd130da92e0d6cbf273d432aaea">
        <w:r>
          <w:rPr>
            <w:rStyle w:val="Hyperlink"/>
          </w:rPr>
          <w:t xml:space="preserve">Conclusion and proposed amendment</w:t>
        </w:r>
      </w:hyperlink>
    </w:p>
    <w:p>
      <w:pPr>
        <w:pStyle w:val="Compact"/>
        <w:numPr>
          <w:ilvl w:val="0"/>
          <w:numId w:val="1001"/>
        </w:numPr>
      </w:pPr>
      <w:hyperlink w:anchor="bibliografía">
        <w:r>
          <w:rPr>
            <w:rStyle w:val="Hyperlink"/>
          </w:rPr>
          <w:t xml:space="preserve">Bibliography</w:t>
        </w:r>
      </w:hyperlink>
    </w:p>
    <w:p>
      <w:pPr>
        <w:pStyle w:val="FirstParagraph"/>
      </w:pPr>
      <w:r>
        <w:rPr>
          <w:b/>
          <w:bCs/>
        </w:rPr>
        <w:t xml:space="preserve">Technical annexes: </w:t>
      </w:r>
      <w:r>
        <w:t xml:space="preserve">- Annex A: Pharmacokinetic methodology </w:t>
      </w:r>
      <w:r>
        <w:t xml:space="preserve">- Annex B: Detailed agronomic evidence </w:t>
      </w:r>
      <w:r>
        <w:t xml:space="preserve">- Annex C: Detailed international comparison </w:t>
      </w:r>
      <w:r>
        <w:t xml:space="preserve">- Annex D: Legal basis</w:t>
      </w:r>
    </w:p>
    <w:p>
      <w:r>
        <w:pict>
          <v:rect style="width:0;height:1.5pt" o:hr="t" o:hrstd="t" o:hralign="center"/>
        </w:pict>
      </w:r>
    </w:p>
    <w:bookmarkEnd w:id="14"/>
    <w:bookmarkEnd w:id="15"/>
    <w:bookmarkStart w:name="momentum-institucional" w:id="25"/>
    <w:p>
      <w:pPr>
        <w:pStyle w:val="Heading1"/>
      </w:pPr>
      <w:r>
        <w:t xml:space="preserve">1. INSTITUTIONAL MOMENTUM</w:t>
      </w:r>
    </w:p>
    <w:bookmarkStart w:name="Xd54ccdc7c5fbc7b4a4fcf6236bc6a3ced65610d" w:id="16"/>
    <w:p>
      <w:pPr>
        <w:pStyle w:val="Heading2"/>
      </w:pPr>
      <w:r>
        <w:t xml:space="preserve">1.1 Position of the European Parliament (September 2025)</w:t>
      </w:r>
    </w:p>
    <w:p>
      <w:pPr>
        <w:pStyle w:val="FirstParagraph"/>
      </w:pPr>
      <w:r>
        <w:t xml:space="preserve">The EP Resolution on agriculture and the CAP post-2027 (P10_TA(2025)0189, point 129) [30] marks a European institutional milestone:</w:t>
      </w:r>
    </w:p>
    <w:p>
      <w:pPr>
        <w:pStyle w:val="BlockText"/>
      </w:pPr>
      <w:r>
        <w:rPr>
          <w:i/>
          <w:iCs/>
        </w:rPr>
        <w:t xml:space="preserve">“Stresses the importance of explicitly confirming the legality of the cultivation, harvesting, processing and marketing of </w:t>
      </w:r>
      <w:r>
        <w:rPr>
          <w:b/>
          <w:bCs/>
          <w:i/>
          <w:iCs/>
        </w:rPr>
        <w:t xml:space="preserve">all parts of the hemp plant </w:t>
      </w:r>
      <w:r>
        <w:rPr>
          <w:i/>
          <w:iCs/>
        </w:rPr>
        <w:t xml:space="preserve">[…]; points out that hemp cultivation requires relatively few inputs, especially fertilisers, plant protection products and water; emphasises that it also contributes to soil health and biodiversity [...]; calls on the Commission to establish a common EU-wide threshold </w:t>
      </w:r>
      <w:r>
        <w:rPr>
          <w:b/>
          <w:bCs/>
          <w:i/>
          <w:iCs/>
        </w:rPr>
        <w:t xml:space="preserve">of 0.5% tetrahydrocannabinol (THC)</w:t>
      </w:r>
      <w:r>
        <w:rPr>
          <w:i/>
          <w:iCs/>
        </w:rPr>
        <w:t xml:space="preserve">.”</w:t>
      </w:r>
    </w:p>
    <w:p>
      <w:pPr>
        <w:pStyle w:val="FirstParagraph"/>
      </w:pPr>
      <w:r>
        <w:t xml:space="preserve">The European Parliament recognises the need to raise the threshold and to enable </w:t>
      </w:r>
      <w:r>
        <w:rPr>
          <w:b/>
          <w:bCs/>
        </w:rPr>
        <w:t xml:space="preserve">all parts of the plant</w:t>
      </w:r>
      <w:r>
        <w:t xml:space="preserve">. Its proposal of 0.5% represents a significant step forward from the current 0.3%, but </w:t>
      </w:r>
      <w:r>
        <w:rPr>
          <w:b/>
          <w:bCs/>
        </w:rPr>
        <w:t xml:space="preserve">falls short of the level of necessity </w:t>
      </w:r>
      <w:r>
        <w:t xml:space="preserve">justified by scientific evidence, international practice and convergence among Member States.</w:t>
      </w:r>
    </w:p>
    <w:p>
      <w:pPr>
        <w:pStyle w:val="BodyText"/>
      </w:pPr>
      <w:r>
        <w:t xml:space="preserve">The same arguments that support 0.5% —proportionality, agronomic realities, competitiveness, internal market— logically lead to</w:t>
      </w:r>
      <w:r>
        <w:rPr>
          <w:b/>
          <w:bCs/>
        </w:rPr>
        <w:t xml:space="preserve"> 1%</w:t>
      </w:r>
      <w:r>
        <w:t xml:space="preserve">, supported by the international bloc that already operates with this standard without public order problems.</w:t>
      </w:r>
    </w:p>
    <w:p>
      <w:r>
        <w:pict>
          <v:rect style="width:0;height:1.5pt" o:hr="t" o:hrstd="t" o:hralign="center"/>
        </w:pict>
      </w:r>
    </w:p>
    <w:bookmarkEnd w:id="16"/>
    <w:bookmarkStart w:name="X6deab6352dbde1e4a296a6dd0badc2c0fb36fd9" w:id="24"/>
    <w:p>
      <w:pPr>
        <w:pStyle w:val="Heading2"/>
      </w:pPr>
      <w:r>
        <w:t xml:space="preserve">1.2 Multilevel convergence: Member States and national parliaments</w:t>
      </w:r>
    </w:p>
    <w:p>
      <w:pPr>
        <w:pStyle w:val="FirstParagraph"/>
      </w:pPr>
      <w:r>
        <w:t xml:space="preserve">The move towards more realistic thresholds is not an isolated proposal from the sector, but a </w:t>
      </w:r>
      <w:r>
        <w:rPr>
          <w:b/>
          <w:bCs/>
        </w:rPr>
        <w:t xml:space="preserve">consolidated trend among Member States and national parliaments</w:t>
      </w:r>
      <w:r>
        <w:t xml:space="preserve">:</w:t>
      </w:r>
    </w:p>
    <w:bookmarkStart w:name="luxemburgo-estado-miembro" w:id="17"/>
    <w:p>
      <w:pPr>
        <w:pStyle w:val="Heading3"/>
      </w:pPr>
      <w:r>
        <w:t xml:space="preserve">Luxembourg (Member State)</w:t>
      </w:r>
    </w:p>
    <w:p>
      <w:pPr>
        <w:pStyle w:val="FirstParagraph"/>
      </w:pPr>
      <w:r>
        <w:t xml:space="preserve">Since 2023, Luxembourg has allowed the importation into the European Union and marketing of industrial hemp products with up to</w:t>
      </w:r>
      <w:r>
        <w:rPr>
          <w:b/>
          <w:bCs/>
        </w:rPr>
        <w:t xml:space="preserve"> 1% THC</w:t>
      </w:r>
      <w:r>
        <w:t xml:space="preserve">[51]. These products are officially registered on the EU-CEG portal and fall under Directive 2014/40/EU [57].</w:t>
      </w:r>
    </w:p>
    <w:bookmarkEnd w:id="17"/>
    <w:bookmarkStart w:name="república-checa-estado-miembro" w:id="18"/>
    <w:p>
      <w:pPr>
        <w:pStyle w:val="Heading3"/>
      </w:pPr>
      <w:r>
        <w:t xml:space="preserve">Czech Republic (Member State)</w:t>
      </w:r>
    </w:p>
    <w:p>
      <w:pPr>
        <w:pStyle w:val="FirstParagraph"/>
      </w:pPr>
      <w:r>
        <w:t xml:space="preserve">The Czech Republic adopted the</w:t>
      </w:r>
      <w:r>
        <w:rPr>
          <w:b/>
          <w:bCs/>
        </w:rPr>
        <w:t xml:space="preserve"> 1% THC </w:t>
      </w:r>
      <w:r>
        <w:t xml:space="preserve">threshold </w:t>
      </w:r>
      <w:r>
        <w:t xml:space="preserve">through Act Col. 166/2024 [56], thus allowing the introduction of industrial hemp with this level into the European internal market. In addition, it has established bilateral agreements with Uruguay for the importation of industrial hemp.</w:t>
      </w:r>
    </w:p>
    <w:bookmarkEnd w:id="18"/>
    <w:bookmarkStart w:name="italia" w:id="19"/>
    <w:p>
      <w:pPr>
        <w:pStyle w:val="Heading3"/>
      </w:pPr>
      <w:r>
        <w:t xml:space="preserve">Italy</w:t>
      </w:r>
    </w:p>
    <w:p>
      <w:pPr>
        <w:pStyle w:val="FirstParagraph"/>
      </w:pPr>
      <w:r>
        <w:t xml:space="preserve">Since 2016, Italy has operated with a tolerance threshold of</w:t>
      </w:r>
      <w:r>
        <w:rPr>
          <w:b/>
          <w:bCs/>
        </w:rPr>
        <w:t xml:space="preserve"> 0.6% THC </w:t>
      </w:r>
      <w:r>
        <w:t xml:space="preserve">(Legge 242/2016) [52], recognising the natural variability of the crop and protecting farmers from unjustified losses.</w:t>
      </w:r>
    </w:p>
    <w:bookmarkEnd w:id="19"/>
    <w:bookmarkStart w:name="Xad8473c6927ef05a74b5a0f1d5c7c137ae309b6" w:id="21"/>
    <w:p>
      <w:pPr>
        <w:pStyle w:val="Heading3"/>
      </w:pPr>
      <w:r>
        <w:t xml:space="preserve">Legal implication: mutual recognition</w:t>
      </w:r>
    </w:p>
    <w:p>
      <w:pPr>
        <w:pStyle w:val="FirstParagraph"/>
      </w:pPr>
      <w:r>
        <w:t xml:space="preserve">As Luxembourg, the Czech Republic and Italy are </w:t>
      </w:r>
      <w:r>
        <w:rPr>
          <w:b/>
          <w:bCs/>
        </w:rPr>
        <w:t xml:space="preserve">full Member States</w:t>
      </w:r>
      <w:r>
        <w:t xml:space="preserve">, hemp products legally marketed in their markets — with thresholds of up to 1% THC — </w:t>
      </w:r>
      <w:r>
        <w:rPr>
          <w:b/>
          <w:bCs/>
        </w:rPr>
        <w:t xml:space="preserve">must circulate freely </w:t>
      </w:r>
      <w:r>
        <w:t xml:space="preserve">in the rest of the Union in accordance with the principle of mutual recognition (Regulation (EU) 2019/515 [79], Article 4) and the </w:t>
      </w:r>
      <w:r>
        <w:rPr>
          <w:b/>
          <w:bCs/>
        </w:rPr>
        <w:t xml:space="preserve">Kanavape </w:t>
      </w:r>
      <w:r>
        <w:t xml:space="preserve">doctrine </w:t>
      </w:r>
      <w:r>
        <w:t xml:space="preserve">(C-663/18) [39]. 1% THC is not a theoretical proposal: </w:t>
      </w:r>
      <w:r>
        <w:rPr>
          <w:b/>
          <w:bCs/>
        </w:rPr>
        <w:t xml:space="preserve">it is already law in force in the internal market</w:t>
      </w:r>
      <w:r>
        <w:t xml:space="preserve">.</w:t>
      </w:r>
    </w:p>
    <w:p>
      <w:pPr>
        <w:pStyle w:val="BlockText"/>
      </w:pPr>
      <w:r>
        <w:t xml:space="preserve">See </w:t>
      </w:r>
      <w:hyperlink r:id="rId20">
        <w:r>
          <w:rPr>
            <w:rStyle w:val="Hyperlink"/>
            <w:b/>
            <w:bCs/>
          </w:rPr>
          <w:t xml:space="preserve">Annex D</w:t>
        </w:r>
      </w:hyperlink>
      <w:r>
        <w:t xml:space="preserve"> for the full legal development of the principle of mutual recognition and the Kanavape doctrine.</w:t>
      </w:r>
    </w:p>
    <w:bookmarkEnd w:id="21"/>
    <w:bookmarkStart w:name="españa-mandato-parlamentario" w:id="22"/>
    <w:p>
      <w:pPr>
        <w:pStyle w:val="Heading3"/>
      </w:pPr>
      <w:r>
        <w:t xml:space="preserve">Spain — Parliamentary mandate</w:t>
      </w:r>
    </w:p>
    <w:p>
      <w:pPr>
        <w:pStyle w:val="FirstParagraph"/>
      </w:pPr>
      <w:r>
        <w:t xml:space="preserve">On 25 January 2023, the Congress of Deputies processed </w:t>
      </w:r>
      <w:r>
        <w:rPr>
          <w:b/>
          <w:bCs/>
        </w:rPr>
        <w:t xml:space="preserve">Non-Legislative Motion 161/004332 </w:t>
      </w:r>
      <w:r>
        <w:t xml:space="preserve">[34] in the Committee on Agriculture, Fisheries and Food. Point 3 of the NLM states:</w:t>
      </w:r>
    </w:p>
    <w:p>
      <w:pPr>
        <w:pStyle w:val="BlockText"/>
      </w:pPr>
      <w:r>
        <w:rPr>
          <w:i/>
          <w:iCs/>
        </w:rPr>
        <w:t xml:space="preserve">"Establish in future regulation of non-psychoactive cannabis a limit on the percentage of THC to</w:t>
      </w:r>
      <w:r>
        <w:rPr>
          <w:b/>
          <w:bCs/>
          <w:i/>
          <w:iCs/>
        </w:rPr>
        <w:t xml:space="preserve"> 1%</w:t>
      </w:r>
      <w:r>
        <w:rPr>
          <w:i/>
          <w:iCs/>
        </w:rPr>
        <w:t xml:space="preserve">, thus ensuring the absence of narcotic effects, as well as higher crop yields and sustainability in accordance with the </w:t>
      </w:r>
      <w:r>
        <w:rPr>
          <w:b/>
          <w:bCs/>
          <w:i/>
          <w:iCs/>
        </w:rPr>
        <w:t xml:space="preserve">European Green Deal</w:t>
      </w:r>
      <w:r>
        <w:rPr>
          <w:i/>
          <w:iCs/>
        </w:rPr>
        <w:t xml:space="preserve">; failure to do so would force this market to operate at a </w:t>
      </w:r>
      <w:r>
        <w:rPr>
          <w:b/>
          <w:bCs/>
          <w:i/>
          <w:iCs/>
        </w:rPr>
        <w:t xml:space="preserve">clear disadvantage </w:t>
      </w:r>
      <w:r>
        <w:rPr>
          <w:i/>
          <w:iCs/>
        </w:rPr>
        <w:t xml:space="preserve">compared to other countries in our region."</w:t>
      </w:r>
    </w:p>
    <w:p>
      <w:pPr>
        <w:pStyle w:val="FirstParagraph"/>
      </w:pPr>
      <w:r>
        <w:t xml:space="preserve">This Spanish parliamentary mandate </w:t>
      </w:r>
      <w:r>
        <w:rPr>
          <w:b/>
          <w:bCs/>
        </w:rPr>
        <w:t xml:space="preserve">anticipates </w:t>
      </w:r>
      <w:r>
        <w:t xml:space="preserve">the position of the European Parliament </w:t>
      </w:r>
      <w:r>
        <w:rPr>
          <w:b/>
          <w:bCs/>
        </w:rPr>
        <w:t xml:space="preserve">by more than two years </w:t>
      </w:r>
      <w:r>
        <w:t xml:space="preserve">and sets an important precedent for European harmonisation.</w:t>
      </w:r>
    </w:p>
    <w:bookmarkEnd w:id="22"/>
    <w:bookmarkStart w:name="conclusión" w:id="23"/>
    <w:p>
      <w:pPr>
        <w:pStyle w:val="Heading3"/>
      </w:pPr>
      <w:r>
        <w:t xml:space="preserve">Conclusion</w:t>
      </w:r>
    </w:p>
    <w:p>
      <w:pPr>
        <w:pStyle w:val="FirstParagraph"/>
      </w:pPr>
      <w:r>
        <w:t xml:space="preserve">This multi-level convergence — European Parliament, Member States and national parliaments — reflects an agronomic and commercial reality that European regulation must recognise and harmonise. The</w:t>
      </w:r>
      <w:r>
        <w:rPr>
          <w:b/>
          <w:bCs/>
        </w:rPr>
        <w:t xml:space="preserve"> 1% THC </w:t>
      </w:r>
      <w:r>
        <w:t xml:space="preserve">threshold </w:t>
      </w:r>
      <w:r>
        <w:t xml:space="preserve">emerges as the balance point validated by practice.</w:t>
      </w:r>
    </w:p>
    <w:p>
      <w:r>
        <w:pict>
          <v:rect style="width:0;height:1.5pt" o:hr="t" o:hrstd="t" o:hralign="center"/>
        </w:pict>
      </w:r>
    </w:p>
    <w:bookmarkEnd w:id="23"/>
    <w:bookmarkEnd w:id="24"/>
    <w:bookmarkEnd w:id="25"/>
    <w:bookmarkStart w:name="justificación-del-umbral-propuesto" w:id="51"/>
    <w:p>
      <w:pPr>
        <w:pStyle w:val="Heading1"/>
      </w:pPr>
      <w:r>
        <w:t xml:space="preserve">2. JUSTIFICATION OF THE PROPOSED THRESHOLD</w:t>
      </w:r>
    </w:p>
    <w:p>
      <w:pPr>
        <w:pStyle w:val="FirstParagraph"/>
      </w:pPr>
      <w:r>
        <w:t xml:space="preserve">The scientific, historical, political and public health evidence supporting the proposed 1% THC threshold is set out below.</w:t>
      </w:r>
    </w:p>
    <w:p>
      <w:r>
        <w:pict>
          <v:rect style="width:0;height:1.5pt" o:hr="t" o:hrstd="t" o:hralign="center"/>
        </w:pict>
      </w:r>
    </w:p>
    <w:bookmarkStart w:name="revisión-histórica-del-umbral" w:id="26"/>
    <w:p>
      <w:pPr>
        <w:pStyle w:val="Heading2"/>
      </w:pPr>
      <w:r>
        <w:t xml:space="preserve">2.1 HISTORICAL REVIEW OF THE THRESHOLD</w:t>
      </w:r>
    </w:p>
    <w:p>
      <w:pPr>
        <w:pStyle w:val="FirstParagraph"/>
      </w:pPr>
      <w:r>
        <w:t xml:space="preserve">The 0.3% THC threshold for industrial hemp in the European Union was established in 1984 by Regulations (EEC) 1430/82 and 619/71, as amended [53]. However, </w:t>
      </w:r>
      <w:r>
        <w:rPr>
          <w:b/>
          <w:bCs/>
        </w:rPr>
        <w:t xml:space="preserve">there is no documentation justifying the choice of this figure </w:t>
      </w:r>
      <w:r>
        <w:t xml:space="preserve">or the technical or scientific criteria on which it was based.</w:t>
      </w:r>
    </w:p>
    <w:p>
      <w:pPr>
        <w:pStyle w:val="BodyText"/>
      </w:pPr>
      <w:r>
        <w:t xml:space="preserve">The only contemporary scientific reference that establishes 0.3% as the cut-off point is </w:t>
      </w:r>
      <w:r>
        <w:rPr>
          <w:b/>
          <w:bCs/>
        </w:rPr>
        <w:t xml:space="preserve">Dr Ernest Small's</w:t>
      </w:r>
      <w:r>
        <w:t xml:space="preserve"> taxonomic classification </w:t>
      </w:r>
      <w:r>
        <w:t xml:space="preserve">[1], which suggests that this was the source adopted by European legislators. Analysis of this work is decisive.</w:t>
      </w:r>
    </w:p>
    <w:p>
      <w:pPr>
        <w:pStyle w:val="BodyText"/>
      </w:pPr>
      <w:r>
        <w:t xml:space="preserve">Small &amp; Cronquist used plants grown in Ottawa from Lithuanian seeds to differentiate hemp from marijuana. In their study, they noted:</w:t>
      </w:r>
    </w:p>
    <w:p>
      <w:pPr>
        <w:pStyle w:val="BlockText"/>
      </w:pPr>
      <w:r>
        <w:rPr>
          <w:i/>
          <w:iCs/>
        </w:rPr>
        <w:t xml:space="preserve">"It will be noted that we </w:t>
      </w:r>
      <w:r>
        <w:rPr>
          <w:b/>
          <w:bCs/>
          <w:i/>
          <w:iCs/>
        </w:rPr>
        <w:t xml:space="preserve">arbitrarily adopt </w:t>
      </w:r>
      <w:r>
        <w:rPr>
          <w:i/>
          <w:iCs/>
        </w:rPr>
        <w:t xml:space="preserve">a concentration of 0.3% Δ9-THC (dry weight basis) in </w:t>
      </w:r>
      <w:r>
        <w:rPr>
          <w:b/>
          <w:bCs/>
          <w:i/>
          <w:iCs/>
        </w:rPr>
        <w:t xml:space="preserve">young, vigorous leaves </w:t>
      </w:r>
      <w:r>
        <w:rPr>
          <w:i/>
          <w:iCs/>
        </w:rPr>
        <w:t xml:space="preserve">of relatively mature plants as a </w:t>
      </w:r>
      <w:r>
        <w:rPr>
          <w:b/>
          <w:bCs/>
          <w:i/>
          <w:iCs/>
        </w:rPr>
        <w:t xml:space="preserve">guide to discriminating two classes of plants</w:t>
      </w:r>
      <w:r>
        <w:rPr>
          <w:i/>
          <w:iCs/>
        </w:rPr>
        <w:t xml:space="preserve">." </w:t>
      </w:r>
      <w:r>
        <w:t xml:space="preserve">— Taxon 25(4): 408</w:t>
      </w:r>
    </w:p>
    <w:p>
      <w:pPr>
        <w:pStyle w:val="FirstParagraph"/>
      </w:pPr>
      <w:r>
        <w:t xml:space="preserve">Two relevant elements emerge from this foundational quote. First, the authors themselves acknowledge that the criterion was adopted </w:t>
      </w:r>
      <w:r>
        <w:rPr>
          <w:b/>
          <w:bCs/>
        </w:rPr>
        <w:t xml:space="preserve">arbitrarily</w:t>
      </w:r>
      <w:r>
        <w:t xml:space="preserve">, without toxicological justification. Second, the threshold was measured in </w:t>
      </w:r>
      <w:r>
        <w:rPr>
          <w:b/>
          <w:bCs/>
        </w:rPr>
        <w:t xml:space="preserve">young leaves </w:t>
      </w:r>
      <w:r>
        <w:t xml:space="preserve">of Lithuanian hemp in a Canadian greenhouse — not in flowers, where concentrations are, according to the authors, much higher, nor under European field conditions.</w:t>
      </w:r>
    </w:p>
    <w:p>
      <w:pPr>
        <w:pStyle w:val="BodyText"/>
      </w:pPr>
      <w:r>
        <w:t xml:space="preserve">Dr Small himself confirmed in 2021 [2] that the criterion was established </w:t>
      </w:r>
      <w:r>
        <w:rPr>
          <w:i/>
          <w:iCs/>
        </w:rPr>
        <w:t xml:space="preserve">"on strictly taxonomic considerations" </w:t>
      </w:r>
      <w:r>
        <w:t xml:space="preserve">and that it currently constitutes </w:t>
      </w:r>
      <w:r>
        <w:rPr>
          <w:i/>
          <w:iCs/>
        </w:rPr>
        <w:t xml:space="preserve">"a hindrance to the industry</w:t>
      </w:r>
      <w:r>
        <w:t xml:space="preserve">". His conclusion is unequivocal: the real potential for abuse </w:t>
      </w:r>
      <w:r>
        <w:rPr>
          <w:i/>
          <w:iCs/>
        </w:rPr>
        <w:t xml:space="preserve">"requires a concentration of approximately 1% THC"</w:t>
      </w:r>
      <w:r>
        <w:t xml:space="preserve">, so </w:t>
      </w:r>
      <w:r>
        <w:rPr>
          <w:b/>
          <w:bCs/>
        </w:rPr>
        <w:t xml:space="preserve">"1% THC would be a more suitable criterion</w:t>
      </w:r>
      <w:r>
        <w:t xml:space="preserve">".</w:t>
      </w:r>
    </w:p>
    <w:p>
      <w:pPr>
        <w:pStyle w:val="BodyText"/>
      </w:pPr>
      <w:r>
        <w:t xml:space="preserve">After five decades of genetic advances and climate change, scientific evidence supports this revision.</w:t>
      </w:r>
    </w:p>
    <w:p>
      <w:r>
        <w:pict>
          <v:rect style="width:0;height:1.5pt" o:hr="t" o:hrstd="t" o:hralign="center"/>
        </w:pict>
      </w:r>
    </w:p>
    <w:bookmarkEnd w:id="26"/>
    <w:bookmarkStart w:name="X5917541186640d528f5dd9b0b59bfd29207edda" w:id="28"/>
    <w:p>
      <w:pPr>
        <w:pStyle w:val="Heading2"/>
      </w:pPr>
      <w:r>
        <w:t xml:space="preserve">2.2 AGRONOMIC YIELD AND CLIMATE ADAPTATION</w:t>
      </w:r>
    </w:p>
    <w:p>
      <w:pPr>
        <w:pStyle w:val="FirstParagraph"/>
      </w:pPr>
      <w:r>
        <w:t xml:space="preserve">Scientific evidence documents a </w:t>
      </w:r>
      <w:r>
        <w:rPr>
          <w:b/>
          <w:bCs/>
        </w:rPr>
        <w:t xml:space="preserve">direct correlation between fibre yield and cannabinoid content </w:t>
      </w:r>
      <w:r>
        <w:t xml:space="preserve">[6-10]. Cannabinoid biosynthesis and biomass accumulation share metabolic pathways: the most vigorous plants simultaneously produce more fibre and more THC. </w:t>
      </w:r>
      <w:r>
        <w:rPr>
          <w:b/>
          <w:bCs/>
        </w:rPr>
        <w:t xml:space="preserve">Restricting THC means restricting yield.</w:t>
      </w:r>
    </w:p>
    <w:p>
      <w:pPr>
        <w:pStyle w:val="BodyText"/>
      </w:pPr>
      <w:r>
        <w:t xml:space="preserve">The 0.3% threshold excludes precisely the most productive varieties. Jurisdictions with higher thresholds have access to elite germplasm that multiplies production:</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5"/>
        <w:gridCol w:w="812"/>
        <w:gridCol w:w="913"/>
        <w:gridCol w:w="1624"/>
        <w:gridCol w:w="2233"/>
        <w:gridCol w:w="1320"/>
      </w:tblGrid>
      <w:tr>
        <w:trPr>
          <w:tblHeader w:val="on"/>
        </w:trPr>
        <w:tc>
          <w:tcPr/>
          <w:p>
            <w:pPr>
              <w:pStyle w:val="Compact"/>
            </w:pPr>
            <w:r>
              <w:t xml:space="preserve">Variety</w:t>
            </w:r>
          </w:p>
        </w:tc>
        <w:tc>
          <w:tcPr/>
          <w:p>
            <w:pPr>
              <w:pStyle w:val="Compact"/>
            </w:pPr>
            <w:r>
              <w:t xml:space="preserve">Origin</w:t>
            </w:r>
          </w:p>
        </w:tc>
        <w:tc>
          <w:tcPr/>
          <w:p>
            <w:pPr>
              <w:pStyle w:val="Compact"/>
            </w:pPr>
            <w:r>
              <w:t xml:space="preserve">THC (%)</w:t>
            </w:r>
          </w:p>
        </w:tc>
        <w:tc>
          <w:tcPr/>
          <w:p>
            <w:pPr>
              <w:pStyle w:val="Compact"/>
            </w:pPr>
            <w:r>
              <w:t xml:space="preserve">Biomass (t/ha)</w:t>
            </w:r>
          </w:p>
        </w:tc>
        <w:tc>
          <w:tcPr/>
          <w:p>
            <w:pPr>
              <w:pStyle w:val="Compact"/>
            </w:pPr>
            <w:r>
              <w:t xml:space="preserve">CO₂ captured (kg/ha)</w:t>
            </w:r>
          </w:p>
        </w:tc>
        <w:tc>
          <w:tcPr/>
          <w:p>
            <w:pPr>
              <w:pStyle w:val="Compact"/>
            </w:pPr>
            <w:r>
              <w:t xml:space="preserve">vs baseline</w:t>
            </w:r>
          </w:p>
        </w:tc>
      </w:tr>
      <w:tr>
        <w:tc>
          <w:tcPr/>
          <w:p>
            <w:pPr>
              <w:pStyle w:val="Compact"/>
            </w:pPr>
            <w:r>
              <w:t xml:space="preserve">Futura 75</w:t>
            </w:r>
          </w:p>
        </w:tc>
        <w:tc>
          <w:tcPr/>
          <w:p>
            <w:pPr>
              <w:pStyle w:val="Compact"/>
            </w:pPr>
            <w:r>
              <w:t xml:space="preserve">France (monoecious)</w:t>
            </w:r>
          </w:p>
        </w:tc>
        <w:tc>
          <w:tcPr/>
          <w:p>
            <w:pPr>
              <w:pStyle w:val="Compact"/>
            </w:pPr>
            <w:r>
              <w:t xml:space="preserve">&lt;0.2%</w:t>
            </w:r>
          </w:p>
        </w:tc>
        <w:tc>
          <w:tcPr/>
          <w:p>
            <w:pPr>
              <w:pStyle w:val="Compact"/>
            </w:pPr>
            <w:r>
              <w:t xml:space="preserve">4.60</w:t>
            </w:r>
          </w:p>
        </w:tc>
        <w:tc>
          <w:tcPr/>
          <w:p>
            <w:pPr>
              <w:pStyle w:val="Compact"/>
            </w:pPr>
            <w:r>
              <w:t xml:space="preserve">7,500</w:t>
            </w:r>
          </w:p>
        </w:tc>
        <w:tc>
          <w:tcPr/>
          <w:p>
            <w:pPr>
              <w:pStyle w:val="Compact"/>
            </w:pPr>
            <w:r>
              <w:rPr>
                <w:i/>
                <w:iCs/>
              </w:rPr>
              <w:t xml:space="preserve">baseline</w:t>
            </w:r>
          </w:p>
        </w:tc>
      </w:tr>
      <w:tr>
        <w:tc>
          <w:tcPr/>
          <w:p>
            <w:pPr>
              <w:pStyle w:val="Compact"/>
            </w:pPr>
            <w:r>
              <w:t xml:space="preserve">Fedora 17</w:t>
            </w:r>
          </w:p>
        </w:tc>
        <w:tc>
          <w:tcPr/>
          <w:p>
            <w:pPr>
              <w:pStyle w:val="Compact"/>
            </w:pPr>
            <w:r>
              <w:t xml:space="preserve">France (monoecious)</w:t>
            </w:r>
          </w:p>
        </w:tc>
        <w:tc>
          <w:tcPr/>
          <w:p>
            <w:pPr>
              <w:pStyle w:val="Compact"/>
            </w:pPr>
            <w:r>
              <w:t xml:space="preserve">&lt;0.2%</w:t>
            </w:r>
          </w:p>
        </w:tc>
        <w:tc>
          <w:tcPr/>
          <w:p>
            <w:pPr>
              <w:pStyle w:val="Compact"/>
            </w:pPr>
            <w:r>
              <w:t xml:space="preserve">4.35</w:t>
            </w:r>
          </w:p>
        </w:tc>
        <w:tc>
          <w:tcPr/>
          <w:p>
            <w:pPr>
              <w:pStyle w:val="Compact"/>
            </w:pPr>
            <w:r>
              <w:t xml:space="preserve">7,000</w:t>
            </w:r>
          </w:p>
        </w:tc>
        <w:tc>
          <w:tcPr/>
          <w:p>
            <w:pPr>
              <w:pStyle w:val="Compact"/>
            </w:pPr>
            <w:r>
              <w:t xml:space="preserve">−5%</w:t>
            </w:r>
          </w:p>
        </w:tc>
      </w:tr>
      <w:tr>
        <w:tc>
          <w:tcPr/>
          <w:p>
            <w:pPr>
              <w:pStyle w:val="Compact"/>
            </w:pPr>
            <w:r>
              <w:rPr>
                <w:b/>
                <w:bCs/>
              </w:rPr>
              <w:t xml:space="preserve">Carmagnola</w:t>
            </w:r>
          </w:p>
        </w:tc>
        <w:tc>
          <w:tcPr/>
          <w:p>
            <w:pPr>
              <w:pStyle w:val="Compact"/>
            </w:pPr>
            <w:r>
              <w:t xml:space="preserve">Italy (traditional dioecious)</w:t>
            </w:r>
          </w:p>
        </w:tc>
        <w:tc>
          <w:tcPr/>
          <w:p>
            <w:pPr>
              <w:pStyle w:val="Compact"/>
            </w:pPr>
            <w:r>
              <w:t xml:space="preserve">0.4–0.6%</w:t>
            </w:r>
          </w:p>
        </w:tc>
        <w:tc>
          <w:tcPr/>
          <w:p>
            <w:pPr>
              <w:pStyle w:val="Compact"/>
            </w:pPr>
            <w:r>
              <w:rPr>
                <w:b/>
                <w:bCs/>
              </w:rPr>
              <w:t xml:space="preserve">8.62</w:t>
            </w:r>
          </w:p>
        </w:tc>
        <w:tc>
          <w:tcPr/>
          <w:p>
            <w:pPr>
              <w:pStyle w:val="Compact"/>
            </w:pPr>
            <w:r>
              <w:rPr>
                <w:b/>
                <w:bCs/>
              </w:rPr>
              <w:t xml:space="preserve">14,000</w:t>
            </w:r>
          </w:p>
        </w:tc>
        <w:tc>
          <w:tcPr/>
          <w:p>
            <w:pPr>
              <w:pStyle w:val="Compact"/>
            </w:pPr>
            <w:r>
              <w:rPr>
                <w:b/>
                <w:bCs/>
              </w:rPr>
              <w:t xml:space="preserve">+87</w:t>
            </w:r>
          </w:p>
        </w:tc>
      </w:tr>
      <w:tr>
        <w:tc>
          <w:tcPr/>
          <w:p>
            <w:pPr>
              <w:pStyle w:val="Compact"/>
            </w:pPr>
            <w:r>
              <w:rPr>
                <w:b/>
                <w:bCs/>
              </w:rPr>
              <w:t xml:space="preserve">Bama</w:t>
            </w:r>
          </w:p>
        </w:tc>
        <w:tc>
          <w:tcPr/>
          <w:p>
            <w:pPr>
              <w:pStyle w:val="Compact"/>
            </w:pPr>
            <w:r>
              <w:t xml:space="preserve">China (1% threshold)</w:t>
            </w:r>
          </w:p>
        </w:tc>
        <w:tc>
          <w:tcPr/>
          <w:p>
            <w:pPr>
              <w:pStyle w:val="Compact"/>
            </w:pPr>
            <w:r>
              <w:t xml:space="preserve">0.51</w:t>
            </w:r>
          </w:p>
        </w:tc>
        <w:tc>
          <w:tcPr/>
          <w:p>
            <w:pPr>
              <w:pStyle w:val="Compact"/>
            </w:pPr>
            <w:r>
              <w:rPr>
                <w:b/>
                <w:bCs/>
              </w:rPr>
              <w:t xml:space="preserve">22.3</w:t>
            </w:r>
          </w:p>
        </w:tc>
        <w:tc>
          <w:tcPr/>
          <w:p>
            <w:pPr>
              <w:pStyle w:val="Compact"/>
            </w:pPr>
            <w:r>
              <w:rPr>
                <w:b/>
                <w:bCs/>
              </w:rPr>
              <w:t xml:space="preserve">36,100</w:t>
            </w:r>
          </w:p>
        </w:tc>
        <w:tc>
          <w:tcPr/>
          <w:p>
            <w:pPr>
              <w:pStyle w:val="Compact"/>
            </w:pPr>
            <w:r>
              <w:rPr>
                <w:b/>
                <w:bCs/>
              </w:rPr>
              <w:t xml:space="preserve">+385</w:t>
            </w:r>
          </w:p>
        </w:tc>
      </w:tr>
      <w:tr>
        <w:tc>
          <w:tcPr/>
          <w:p>
            <w:pPr>
              <w:pStyle w:val="Compact"/>
            </w:pPr>
            <w:r>
              <w:rPr>
                <w:b/>
                <w:bCs/>
              </w:rPr>
              <w:t xml:space="preserve">Yuma</w:t>
            </w:r>
          </w:p>
        </w:tc>
        <w:tc>
          <w:tcPr/>
          <w:p>
            <w:pPr>
              <w:pStyle w:val="Compact"/>
            </w:pPr>
            <w:r>
              <w:t xml:space="preserve">China (1% threshold)</w:t>
            </w:r>
          </w:p>
        </w:tc>
        <w:tc>
          <w:tcPr/>
          <w:p>
            <w:pPr>
              <w:pStyle w:val="Compact"/>
            </w:pPr>
            <w:r>
              <w:t xml:space="preserve">0.72</w:t>
            </w:r>
          </w:p>
        </w:tc>
        <w:tc>
          <w:tcPr/>
          <w:p>
            <w:pPr>
              <w:pStyle w:val="Compact"/>
            </w:pPr>
            <w:r>
              <w:rPr>
                <w:b/>
                <w:bCs/>
              </w:rPr>
              <w:t xml:space="preserve">35.1</w:t>
            </w:r>
          </w:p>
        </w:tc>
        <w:tc>
          <w:tcPr/>
          <w:p>
            <w:pPr>
              <w:pStyle w:val="Compact"/>
            </w:pPr>
            <w:r>
              <w:rPr>
                <w:b/>
                <w:bCs/>
              </w:rPr>
              <w:t xml:space="preserve">56,900</w:t>
            </w:r>
          </w:p>
        </w:tc>
        <w:tc>
          <w:tcPr/>
          <w:p>
            <w:pPr>
              <w:pStyle w:val="Compact"/>
            </w:pPr>
            <w:r>
              <w:rPr>
                <w:b/>
                <w:bCs/>
              </w:rPr>
              <w:t xml:space="preserve">+663</w:t>
            </w:r>
          </w:p>
        </w:tc>
      </w:tr>
    </w:tbl>
    <w:p>
      <w:pPr>
        <w:pStyle w:val="BodyText"/>
      </w:pPr>
      <w:r>
        <w:t xml:space="preserve">The varieties currently dominant in the EU—</w:t>
      </w:r>
      <w:r>
        <w:rPr>
          <w:b/>
          <w:bCs/>
        </w:rPr>
        <w:t xml:space="preserve">Futura 75</w:t>
      </w:r>
      <w:r>
        <w:t xml:space="preserve">, </w:t>
      </w:r>
      <w:r>
        <w:rPr>
          <w:b/>
          <w:bCs/>
        </w:rPr>
        <w:t xml:space="preserve">Fedora 17 </w:t>
      </w:r>
      <w:r>
        <w:t xml:space="preserve">and other French monoecious varieties—were developed specifically to meet ultra-low THC thresholds, sacrificing yield. As the table shows, the difference compared to high-yield varieties is </w:t>
      </w:r>
      <w:r>
        <w:rPr>
          <w:b/>
          <w:bCs/>
        </w:rPr>
        <w:t xml:space="preserve">enormous</w:t>
      </w:r>
      <w:r>
        <w:t xml:space="preserve">: from +87% (Carmagnola) to +663% (Yuma).</w:t>
      </w:r>
    </w:p>
    <w:p>
      <w:pPr>
        <w:pStyle w:val="BodyText"/>
      </w:pPr>
      <w:r>
        <w:rPr>
          <w:b/>
          <w:bCs/>
        </w:rPr>
        <w:t xml:space="preserve">Carmagnola</w:t>
      </w:r>
      <w:r>
        <w:t xml:space="preserve">, the traditional dioecious variety from Piedmont, produces</w:t>
      </w:r>
      <w:r>
        <w:rPr>
          <w:b/>
          <w:bCs/>
        </w:rPr>
        <w:t xml:space="preserve"> 8.62 tonnes per hectare </w:t>
      </w:r>
      <w:r>
        <w:t xml:space="preserve">— almost double that of compliant French monoecious varieties — but is functionally excluded from the European market by just 0.1-0.3 points of THC. Elite Chinese varieties, with yields of up to</w:t>
      </w:r>
      <w:r>
        <w:rPr>
          <w:b/>
          <w:bCs/>
        </w:rPr>
        <w:t xml:space="preserve"> 35 tonnes per hectare</w:t>
      </w:r>
      <w:r>
        <w:t xml:space="preserve">, are completely inaccessible under the current threshold [5,6].</w:t>
      </w:r>
    </w:p>
    <w:p>
      <w:pPr>
        <w:pStyle w:val="BodyText"/>
      </w:pPr>
      <w:r>
        <w:t xml:space="preserve">While Europe optimises for chemical compliance, the rest of the world is developing varieties capable of producing</w:t>
      </w:r>
      <w:r>
        <w:rPr>
          <w:b/>
          <w:bCs/>
        </w:rPr>
        <w:t xml:space="preserve"> 4 to 7 times more biomass</w:t>
      </w:r>
      <w:r>
        <w:t xml:space="preserve">. This divergence has direct climate consequences: applying the standard conversion (1 kg biomass = 1.62 kg CO₂) [60], the </w:t>
      </w:r>
      <w:r>
        <w:rPr>
          <w:b/>
          <w:bCs/>
        </w:rPr>
        <w:t xml:space="preserve">opportunity cost is 1.3 million tonnes of CO₂ per year not captured </w:t>
      </w:r>
      <w:r>
        <w:t xml:space="preserve">— equivalent to the emissions of approximately 300,000 European cars (assuming 4 t CO₂/vehicle/year according to data from the European Environment Agency).</w:t>
      </w:r>
    </w:p>
    <w:p>
      <w:pPr>
        <w:pStyle w:val="BodyText"/>
      </w:pPr>
      <w:r>
        <w:t xml:space="preserve">Hemp varieties with the greatest agronomic and environmental potential express THC in the range </w:t>
      </w:r>
      <w:r>
        <w:rPr>
          <w:b/>
          <w:bCs/>
        </w:rPr>
        <w:t xml:space="preserve">of 0.4-0.9%</w:t>
      </w:r>
      <w:r>
        <w:t xml:space="preserve">, incompatible with any threshold below 1.0%. This conclusion coincides with that of Dr Ernest Small, author of the 0.3% criterion, who acknowledged in 2021 that </w:t>
      </w:r>
      <w:r>
        <w:rPr>
          <w:i/>
          <w:iCs/>
        </w:rPr>
        <w:t xml:space="preserve">"1% THC would be a more suitable criterion" </w:t>
      </w:r>
      <w:r>
        <w:t xml:space="preserve">[2].</w:t>
      </w:r>
    </w:p>
    <w:p>
      <w:pPr>
        <w:pStyle w:val="BlockText"/>
      </w:pPr>
      <w:r>
        <w:rPr>
          <w:b/>
          <w:bCs/>
        </w:rPr>
        <w:t xml:space="preserve">Methodology and complete data in </w:t>
      </w:r>
      <w:hyperlink r:id="rId27">
        <w:r>
          <w:rPr>
            <w:rStyle w:val="Hyperlink"/>
            <w:b/>
            <w:bCs/>
          </w:rPr>
          <w:t xml:space="preserve">Annex B</w:t>
        </w:r>
      </w:hyperlink>
      <w:r>
        <w:rPr>
          <w:b/>
          <w:bCs/>
        </w:rPr>
        <w:t xml:space="preserve">.</w:t>
      </w:r>
    </w:p>
    <w:p>
      <w:r>
        <w:pict>
          <v:rect style="width:0;height:1.5pt" o:hr="t" o:hrstd="t" o:hralign="center"/>
        </w:pict>
      </w:r>
    </w:p>
    <w:bookmarkEnd w:id="28"/>
    <w:bookmarkStart w:name="competitividad-internacional-del-sector" w:id="39"/>
    <w:p>
      <w:pPr>
        <w:pStyle w:val="Heading2"/>
      </w:pPr>
      <w:r>
        <w:t xml:space="preserve">2.3 INTERNATIONAL COMPETITIVENESS OF THE SECTOR</w:t>
      </w:r>
    </w:p>
    <w:p>
      <w:pPr>
        <w:pStyle w:val="FirstParagraph"/>
      </w:pPr>
      <w:r>
        <w:rPr>
          <w:b/>
          <w:bCs/>
        </w:rPr>
        <w:t xml:space="preserve">1% THC </w:t>
      </w:r>
      <w:r>
        <w:t xml:space="preserve">is not a radical proposal: it is an </w:t>
      </w:r>
      <w:r>
        <w:rPr>
          <w:b/>
          <w:bCs/>
        </w:rPr>
        <w:t xml:space="preserve">accelerating international trend</w:t>
      </w:r>
      <w:r>
        <w:t xml:space="preserve">. While between 2011 and 2017 only five pioneering jurisdictions adopted this threshold, </w:t>
      </w:r>
      <w:r>
        <w:rPr>
          <w:b/>
          <w:bCs/>
        </w:rPr>
        <w:t xml:space="preserve">in the last six years almost 20 more have joined them</w:t>
      </w:r>
      <w:r>
        <w:t xml:space="preserve">. Between 2023 and 2025 alone, nine countries have adopted or announced 1% THC. The question is no longer whether the world will converge towards this standard, but how long it will take Europe to align itself.</w:t>
      </w:r>
    </w:p>
    <w:p>
      <w:pPr>
        <w:pStyle w:val="BodyText"/>
      </w:pPr>
      <w:r>
        <w:t xml:space="preserve">The most advanced case is </w:t>
      </w:r>
      <w:r>
        <w:rPr>
          <w:b/>
          <w:bCs/>
        </w:rPr>
        <w:t xml:space="preserve">South Africa</w:t>
      </w:r>
      <w:r>
        <w:t xml:space="preserve">, which in December 2025 raised its threshold to</w:t>
      </w:r>
      <w:r>
        <w:rPr>
          <w:b/>
          <w:bCs/>
        </w:rPr>
        <w:t xml:space="preserve"> 2.0% THC </w:t>
      </w:r>
      <w:r>
        <w:t xml:space="preserve">through the </w:t>
      </w:r>
      <w:r>
        <w:rPr>
          <w:i/>
          <w:iCs/>
        </w:rPr>
        <w:t xml:space="preserve">Cannabis for Private Purposes Act </w:t>
      </w:r>
      <w:r>
        <w:t xml:space="preserve">[54], justifying it on the basis of climatic conditions that naturally increase THC content and the need to avoid crop losses (</w:t>
      </w:r>
      <w:r>
        <w:t xml:space="preserve">"hot crops"</w:t>
      </w:r>
      <w:r>
        <w:t xml:space="preserve">). This precedent shows that even thresholds higher than 1% are viable without compromising public safety.</w:t>
      </w:r>
    </w:p>
    <w:bookmarkStart w:name="X29814a17fd3fa54a5ea97bcf1e57d3bdc527ad0" w:id="29"/>
    <w:p>
      <w:pPr>
        <w:pStyle w:val="Heading3"/>
      </w:pPr>
      <w:r>
        <w:t xml:space="preserve">Convergence with official European science: the Pharmacopoeia and the 1% threshold</w:t>
      </w:r>
    </w:p>
    <w:p>
      <w:pPr>
        <w:pStyle w:val="FirstParagraph"/>
      </w:pPr>
      <w:r>
        <w:t xml:space="preserve">It is significant that the </w:t>
      </w:r>
      <w:r>
        <w:rPr>
          <w:b/>
          <w:bCs/>
        </w:rPr>
        <w:t xml:space="preserve">European Pharmacopoeia </w:t>
      </w:r>
      <w:r>
        <w:t xml:space="preserve">— the EU's official scientific authority — has established in its monograph </w:t>
      </w:r>
      <w:r>
        <w:rPr>
          <w:i/>
          <w:iCs/>
        </w:rPr>
        <w:t xml:space="preserve">Cannabis flos </w:t>
      </w:r>
      <w:r>
        <w:t xml:space="preserve">(3028) [49] a classification of chemotypes that sets the threshold for </w:t>
      </w:r>
      <w:r>
        <w:rPr>
          <w:b/>
          <w:bCs/>
        </w:rPr>
        <w:t xml:space="preserve">CBD-dominant cannabis at ≤1% THC</w:t>
      </w:r>
      <w:r>
        <w:t xml:space="preserve">:</w:t>
      </w:r>
    </w:p>
    <w:tbl>
      <w:tblPr>
        <w:tblW w:w="5000" w:type="pct"/>
        <w:tblStyle w:val="Table"/>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0"/>
        <w:gridCol w:w="2640"/>
        <w:gridCol w:w="2640"/>
      </w:tblGrid>
      <w:tr>
        <w:trPr>
          <w:tblHeader w:val="on"/>
        </w:trPr>
        <w:tc>
          <w:tcPr/>
          <w:p>
            <w:pPr>
              <w:pStyle w:val="Compact"/>
            </w:pPr>
            <w:r>
              <w:t xml:space="preserve">Chemotype</w:t>
            </w:r>
          </w:p>
        </w:tc>
        <w:tc>
          <w:tcPr/>
          <w:p>
            <w:pPr>
              <w:pStyle w:val="Compact"/>
            </w:pPr>
            <w:r>
              <w:t xml:space="preserve">Total THC</w:t>
            </w:r>
          </w:p>
        </w:tc>
        <w:tc>
          <w:tcPr/>
          <w:p>
            <w:pPr>
              <w:pStyle w:val="Compact"/>
            </w:pPr>
            <w:r>
              <w:t xml:space="preserve">Total CBD</w:t>
            </w:r>
          </w:p>
        </w:tc>
      </w:tr>
      <w:tr>
        <w:tc>
          <w:tcPr/>
          <w:p>
            <w:pPr>
              <w:pStyle w:val="Compact"/>
            </w:pPr>
            <w:r>
              <w:rPr>
                <w:b/>
                <w:bCs/>
              </w:rPr>
              <w:t xml:space="preserve">THC-dominant</w:t>
            </w:r>
          </w:p>
        </w:tc>
        <w:tc>
          <w:tcPr/>
          <w:p>
            <w:pPr>
              <w:pStyle w:val="Compact"/>
            </w:pPr>
            <w:r>
              <w:t xml:space="preserve">minimum 5.0%</w:t>
            </w:r>
          </w:p>
        </w:tc>
        <w:tc>
          <w:tcPr/>
          <w:p>
            <w:pPr>
              <w:pStyle w:val="Compact"/>
            </w:pPr>
            <w:r>
              <w:t xml:space="preserve">maximum 1.0%</w:t>
            </w:r>
          </w:p>
        </w:tc>
      </w:tr>
      <w:tr>
        <w:tc>
          <w:tcPr/>
          <w:p>
            <w:pPr>
              <w:pStyle w:val="Compact"/>
            </w:pPr>
            <w:r>
              <w:rPr>
                <w:b/>
                <w:bCs/>
              </w:rPr>
              <w:t xml:space="preserve">THC/CBD-intermediate</w:t>
            </w:r>
          </w:p>
        </w:tc>
        <w:tc>
          <w:tcPr/>
          <w:p>
            <w:pPr>
              <w:pStyle w:val="Compact"/>
            </w:pPr>
            <w:r>
              <w:t xml:space="preserve">minimum 1.0%</w:t>
            </w:r>
          </w:p>
        </w:tc>
        <w:tc>
          <w:tcPr/>
          <w:p>
            <w:pPr>
              <w:pStyle w:val="Compact"/>
            </w:pPr>
            <w:r>
              <w:t xml:space="preserve">minimum 1.0% (ratio 0.2–5.0)</w:t>
            </w:r>
          </w:p>
        </w:tc>
      </w:tr>
      <w:tr>
        <w:tc>
          <w:tcPr/>
          <w:p>
            <w:pPr>
              <w:pStyle w:val="Compact"/>
            </w:pPr>
            <w:r>
              <w:rPr>
                <w:b/>
                <w:bCs/>
              </w:rPr>
              <w:t xml:space="preserve">CBD-dominant</w:t>
            </w:r>
          </w:p>
        </w:tc>
        <w:tc>
          <w:tcPr/>
          <w:p>
            <w:pPr>
              <w:pStyle w:val="Compact"/>
            </w:pPr>
            <w:r>
              <w:rPr>
                <w:b/>
                <w:bCs/>
              </w:rPr>
              <w:t xml:space="preserve">maximum 1.0%</w:t>
            </w:r>
          </w:p>
        </w:tc>
        <w:tc>
          <w:tcPr/>
          <w:p>
            <w:pPr>
              <w:pStyle w:val="Compact"/>
            </w:pPr>
            <w:r>
              <w:t xml:space="preserve">minimum 5.0%</w:t>
            </w:r>
          </w:p>
        </w:tc>
      </w:tr>
    </w:tbl>
    <w:p>
      <w:pPr>
        <w:pStyle w:val="BodyText"/>
      </w:pPr>
      <w:r>
        <w:t xml:space="preserve">The Pharmacopoeia does not regulate legal frameworks or the control of narcotics—that is not its function—but it is striking that the official scientific authority of the EU has drawn the dividing line precisely at</w:t>
      </w:r>
      <w:r>
        <w:rPr>
          <w:b/>
          <w:bCs/>
        </w:rPr>
        <w:t xml:space="preserve"> 1% THC </w:t>
      </w:r>
      <w:r>
        <w:t xml:space="preserve">to classify the CBD chemotype. A coincidence that invites reflection.</w:t>
      </w:r>
    </w:p>
    <w:p>
      <w:pPr>
        <w:pStyle w:val="BodyText"/>
      </w:pPr>
      <w:r>
        <w:t xml:space="preserve">This decision could be considered more of a </w:t>
      </w:r>
      <w:r>
        <w:rPr>
          <w:b/>
          <w:bCs/>
        </w:rPr>
        <w:t xml:space="preserve">practical than a purely scientific line</w:t>
      </w:r>
      <w:r>
        <w:t xml:space="preserve">: a functional cut-off point for distinguishing chemotypes. If the European Pharmacopoeia—without regulatory obligation—sets the border at 1%, one might wonder why the CAP/CMO should maintain a threshold that is three times more restrictive.</w:t>
      </w:r>
    </w:p>
    <w:p>
      <w:pPr>
        <w:pStyle w:val="BodyText"/>
      </w:pPr>
      <w:r>
        <w:t xml:space="preserve">Beyond regulatory consistency, </w:t>
      </w:r>
      <w:r>
        <w:rPr>
          <w:b/>
          <w:bCs/>
        </w:rPr>
        <w:t xml:space="preserve">aligning the CAP/CMO threshold with the Pharmacopoeia monograph would have concrete practical advantages</w:t>
      </w:r>
      <w:r>
        <w:t xml:space="preserve">: European farmers wishing to grow hemp under </w:t>
      </w:r>
      <w:r>
        <w:rPr>
          <w:b/>
          <w:bCs/>
        </w:rPr>
        <w:t xml:space="preserve">GACP </w:t>
      </w:r>
      <w:r>
        <w:t xml:space="preserve">(</w:t>
      </w:r>
      <w:r>
        <w:rPr>
          <w:i/>
          <w:iCs/>
        </w:rPr>
        <w:t xml:space="preserve">Good Agricultural and Collection Practices</w:t>
      </w:r>
      <w:r>
        <w:t xml:space="preserve">) </w:t>
      </w:r>
      <w:r>
        <w:t xml:space="preserve">standards </w:t>
      </w:r>
      <w:r>
        <w:t xml:space="preserve">to supply the medicinal market would find a harmonised framework that facilitates traceability and regulatory compliance from the field to the final product.</w:t>
      </w:r>
    </w:p>
    <w:p>
      <w:pPr>
        <w:pStyle w:val="BodyText"/>
      </w:pPr>
      <w:r>
        <w:t xml:space="preserve">This convergence is no coincidence.</w:t>
      </w:r>
      <w:r>
        <w:rPr>
          <w:b/>
          <w:bCs/>
        </w:rPr>
        <w:t xml:space="preserve"> 1% THC </w:t>
      </w:r>
      <w:r>
        <w:t xml:space="preserve">has become the </w:t>
      </w:r>
      <w:r>
        <w:rPr>
          <w:b/>
          <w:bCs/>
        </w:rPr>
        <w:t xml:space="preserve">predominant international standard</w:t>
      </w:r>
      <w:r>
        <w:t xml:space="preserve">, adopted by more than 20 jurisdictions on all continents.</w:t>
      </w:r>
    </w:p>
    <w:bookmarkEnd w:id="29"/>
    <w:bookmarkStart w:name="zona-europea-y-espacio-económico" w:id="33"/>
    <w:p>
      <w:pPr>
        <w:pStyle w:val="Heading3"/>
      </w:pPr>
      <w:r>
        <w:t xml:space="preserve">European Area and Economic Area</w:t>
      </w:r>
    </w:p>
    <w:bookmarkStart w:name="una-realidad-comercial-consolidada" w:id="30"/>
    <w:p>
      <w:pPr>
        <w:pStyle w:val="Heading4"/>
      </w:pPr>
      <w:r>
        <w:t xml:space="preserve">An established commercial reality</w:t>
      </w:r>
    </w:p>
    <w:p>
      <w:pPr>
        <w:pStyle w:val="FirstParagraph"/>
      </w:pPr>
      <w:r>
        <w:t xml:space="preserve">Industrial hemp </w:t>
      </w:r>
      <w:r>
        <w:rPr>
          <w:b/>
          <w:bCs/>
        </w:rPr>
        <w:t xml:space="preserve">is already marketed in the EU </w:t>
      </w:r>
      <w:r>
        <w:t xml:space="preserve">with THC thresholds above 0.3%. European operators have been </w:t>
      </w:r>
      <w:r>
        <w:t xml:space="preserve">operating for</w:t>
      </w:r>
      <w:r>
        <w:rPr>
          <w:b/>
          <w:bCs/>
        </w:rPr>
        <w:t xml:space="preserve"> more than 15 years </w:t>
      </w:r>
      <w:r>
        <w:t xml:space="preserve">under Articles 34-36 TFEU [38] (free movement of goods) and the principle of mutual recognition. The </w:t>
      </w:r>
      <w:r>
        <w:rPr>
          <w:b/>
          <w:bCs/>
        </w:rPr>
        <w:t xml:space="preserve">Kanavape doctrine </w:t>
      </w:r>
      <w:r>
        <w:t xml:space="preserve">(C-663/18) [39] confirmed in 2020 that CBD extracted from the whole hemp plant, including the flowers, </w:t>
      </w:r>
      <w:r>
        <w:rPr>
          <w:b/>
          <w:bCs/>
        </w:rPr>
        <w:t xml:space="preserve">is not a narcotic </w:t>
      </w:r>
      <w:r>
        <w:t xml:space="preserve">under EU law — France amended its legislation as a direct result.</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3"/>
        <w:gridCol w:w="2233"/>
        <w:gridCol w:w="1421"/>
        <w:gridCol w:w="1421"/>
      </w:tblGrid>
      <w:tr>
        <w:trPr>
          <w:tblHeader w:val="on"/>
        </w:trPr>
        <w:tc>
          <w:tcPr/>
          <w:p>
            <w:pPr>
              <w:pStyle w:val="Compact"/>
            </w:pPr>
            <w:r>
              <w:t xml:space="preserve">Jurisdiction</w:t>
            </w:r>
          </w:p>
        </w:tc>
        <w:tc>
          <w:tcPr/>
          <w:p>
            <w:pPr>
              <w:pStyle w:val="Compact"/>
            </w:pPr>
            <w:r>
              <w:t xml:space="preserve">THC threshold</w:t>
            </w:r>
          </w:p>
        </w:tc>
        <w:tc>
          <w:tcPr/>
          <w:p>
            <w:pPr>
              <w:pStyle w:val="Compact"/>
            </w:pPr>
            <w:r>
              <w:t xml:space="preserve">Framework</w:t>
            </w:r>
          </w:p>
        </w:tc>
        <w:tc>
          <w:tcPr/>
          <w:p>
            <w:pPr>
              <w:pStyle w:val="Compact"/>
            </w:pPr>
            <w:r>
              <w:t xml:space="preserve">From</w:t>
            </w:r>
          </w:p>
        </w:tc>
      </w:tr>
      <w:tr>
        <w:tc>
          <w:tcPr/>
          <w:p>
            <w:pPr>
              <w:pStyle w:val="Compact"/>
            </w:pPr>
            <w:r>
              <w:rPr>
                <w:b/>
                <w:bCs/>
              </w:rPr>
              <w:t xml:space="preserve">Switzerland</w:t>
            </w:r>
          </w:p>
        </w:tc>
        <w:tc>
          <w:tcPr/>
          <w:p>
            <w:pPr>
              <w:pStyle w:val="Compact"/>
            </w:pPr>
            <w:r>
              <w:t xml:space="preserve">&lt;1.0%</w:t>
            </w:r>
          </w:p>
        </w:tc>
        <w:tc>
          <w:tcPr/>
          <w:p>
            <w:pPr>
              <w:pStyle w:val="Compact"/>
            </w:pPr>
            <w:r>
              <w:t xml:space="preserve">Narcotics Act (LStup)</w:t>
            </w:r>
          </w:p>
        </w:tc>
        <w:tc>
          <w:tcPr/>
          <w:p>
            <w:pPr>
              <w:pStyle w:val="Compact"/>
            </w:pPr>
            <w:r>
              <w:t xml:space="preserve">2011</w:t>
            </w:r>
          </w:p>
        </w:tc>
      </w:tr>
      <w:tr>
        <w:tc>
          <w:tcPr/>
          <w:p>
            <w:pPr>
              <w:pStyle w:val="Compact"/>
            </w:pPr>
            <w:r>
              <w:rPr>
                <w:b/>
                <w:bCs/>
              </w:rPr>
              <w:t xml:space="preserve">Luxembourg </w:t>
            </w:r>
            <w:r>
              <w:t xml:space="preserve">(Member State)</w:t>
            </w:r>
          </w:p>
        </w:tc>
        <w:tc>
          <w:tcPr/>
          <w:p>
            <w:pPr>
              <w:pStyle w:val="Compact"/>
            </w:pPr>
            <w:r>
              <w:t xml:space="preserve">≤1.0%</w:t>
            </w:r>
          </w:p>
        </w:tc>
        <w:tc>
          <w:tcPr/>
          <w:p>
            <w:pPr>
              <w:pStyle w:val="Compact"/>
            </w:pPr>
            <w:r>
              <w:t xml:space="preserve">Tobacco Control Act</w:t>
            </w:r>
          </w:p>
        </w:tc>
        <w:tc>
          <w:tcPr/>
          <w:p>
            <w:pPr>
              <w:pStyle w:val="Compact"/>
            </w:pPr>
            <w:r>
              <w:t xml:space="preserve">2023</w:t>
            </w:r>
          </w:p>
        </w:tc>
      </w:tr>
      <w:tr>
        <w:tc>
          <w:tcPr/>
          <w:p>
            <w:pPr>
              <w:pStyle w:val="Compact"/>
            </w:pPr>
            <w:r>
              <w:rPr>
                <w:b/>
                <w:bCs/>
              </w:rPr>
              <w:t xml:space="preserve">Czech Republic </w:t>
            </w:r>
            <w:r>
              <w:t xml:space="preserve">(Member State)</w:t>
            </w:r>
          </w:p>
        </w:tc>
        <w:tc>
          <w:tcPr/>
          <w:p>
            <w:pPr>
              <w:pStyle w:val="Compact"/>
            </w:pPr>
            <w:r>
              <w:t xml:space="preserve">1.0</w:t>
            </w:r>
          </w:p>
        </w:tc>
        <w:tc>
          <w:tcPr/>
          <w:p>
            <w:pPr>
              <w:pStyle w:val="Compact"/>
            </w:pPr>
            <w:r>
              <w:t xml:space="preserve">Act Col. 166/2024</w:t>
            </w:r>
          </w:p>
        </w:tc>
        <w:tc>
          <w:tcPr/>
          <w:p>
            <w:pPr>
              <w:pStyle w:val="Compact"/>
            </w:pPr>
            <w:r>
              <w:t xml:space="preserve">2025</w:t>
            </w:r>
          </w:p>
        </w:tc>
      </w:tr>
      <w:tr>
        <w:tc>
          <w:tcPr/>
          <w:p>
            <w:pPr>
              <w:pStyle w:val="Compact"/>
            </w:pPr>
            <w:r>
              <w:rPr>
                <w:b/>
                <w:bCs/>
              </w:rPr>
              <w:t xml:space="preserve">Italy</w:t>
            </w:r>
          </w:p>
        </w:tc>
        <w:tc>
          <w:tcPr/>
          <w:p>
            <w:pPr>
              <w:pStyle w:val="Compact"/>
            </w:pPr>
            <w:r>
              <w:t xml:space="preserve">0.6% tolerance</w:t>
            </w:r>
          </w:p>
        </w:tc>
        <w:tc>
          <w:tcPr/>
          <w:p>
            <w:pPr>
              <w:pStyle w:val="Compact"/>
            </w:pPr>
            <w:r>
              <w:t xml:space="preserve">Law 242/2016</w:t>
            </w:r>
          </w:p>
        </w:tc>
        <w:tc>
          <w:tcPr/>
          <w:p>
            <w:pPr>
              <w:pStyle w:val="Compact"/>
            </w:pPr>
            <w:r>
              <w:t xml:space="preserve">2016</w:t>
            </w:r>
          </w:p>
        </w:tc>
      </w:tr>
    </w:tbl>
    <w:p>
      <w:pPr>
        <w:pStyle w:val="BodyText"/>
      </w:pPr>
      <w:r>
        <w:t xml:space="preserve">Active markets also operate in Austria, Belgium, France, Poland, Germany and Greece under various national regulatory frameworks.</w:t>
      </w:r>
    </w:p>
    <w:bookmarkEnd w:id="30"/>
    <w:bookmarkStart w:name="X02ccdd922d7b09d46f3f6a17e56addce1beab9a" w:id="31"/>
    <w:p>
      <w:pPr>
        <w:pStyle w:val="Heading4"/>
      </w:pPr>
      <w:r>
        <w:t xml:space="preserve">The critical change: from eligibility to trade barrier</w:t>
      </w:r>
    </w:p>
    <w:p>
      <w:pPr>
        <w:pStyle w:val="FirstParagraph"/>
      </w:pPr>
      <w:r>
        <w:t xml:space="preserve">While the previous CAP [33] established that varieties with more than 0.3% THC were simply not eligible for subsidies, </w:t>
      </w:r>
      <w:r>
        <w:rPr>
          <w:b/>
          <w:bCs/>
        </w:rPr>
        <w:t xml:space="preserve">the new CMO expressly prohibits their marketing </w:t>
      </w:r>
      <w:r>
        <w:t xml:space="preserve">in the internal market (Arts. 147 ter, 147 quater and 189) [29]. The THC threshold has gone from being an eligibility criterion to becoming a </w:t>
      </w:r>
      <w:r>
        <w:rPr>
          <w:b/>
          <w:bCs/>
        </w:rPr>
        <w:t xml:space="preserve">barrier to market access</w:t>
      </w:r>
      <w:r>
        <w:t xml:space="preserve">. Setting the threshold at 0.3%—more restrictive than established practice—raises important legal questions regarding </w:t>
      </w:r>
      <w:r>
        <w:rPr>
          <w:b/>
          <w:bCs/>
        </w:rPr>
        <w:t xml:space="preserve">legitimate expectations </w:t>
      </w:r>
      <w:r>
        <w:t xml:space="preserve">(see </w:t>
      </w:r>
      <w:hyperlink r:id="rId20">
        <w:r>
          <w:rPr>
            <w:rStyle w:val="Hyperlink"/>
            <w:b/>
            <w:bCs/>
          </w:rPr>
          <w:t xml:space="preserve">Annex D</w:t>
        </w:r>
      </w:hyperlink>
      <w:r>
        <w:t xml:space="preserve">).</w:t>
      </w:r>
    </w:p>
    <w:bookmarkEnd w:id="31"/>
    <w:bookmarkStart w:name="precedentes-nacionales" w:id="32"/>
    <w:p>
      <w:pPr>
        <w:pStyle w:val="Heading4"/>
      </w:pPr>
      <w:r>
        <w:t xml:space="preserve">National precedents</w:t>
      </w:r>
    </w:p>
    <w:p>
      <w:pPr>
        <w:pStyle w:val="FirstParagraph"/>
      </w:pPr>
      <w:r>
        <w:t xml:space="preserve">Within Europe itself, the 1% threshold is already operating normally. </w:t>
      </w:r>
      <w:r>
        <w:rPr>
          <w:b/>
          <w:bCs/>
        </w:rPr>
        <w:t xml:space="preserve">Switzerland </w:t>
      </w:r>
      <w:r>
        <w:t xml:space="preserve">was the pioneer in 2011 [44], establishing itself as a benchmark in genetics and industrial hemp exports—a market that has been operating for more than 15 years without any public safety incidents.</w:t>
      </w:r>
    </w:p>
    <w:p>
      <w:pPr>
        <w:pStyle w:val="BodyText"/>
      </w:pPr>
      <w:r>
        <w:rPr>
          <w:b/>
          <w:bCs/>
        </w:rPr>
        <w:t xml:space="preserve">Luxembourg</w:t>
      </w:r>
      <w:r>
        <w:t xml:space="preserve">, an EU Member State, aligned itself with the Swiss standard in 2023 [51]. </w:t>
      </w:r>
      <w:r>
        <w:rPr>
          <w:b/>
          <w:bCs/>
        </w:rPr>
        <w:t xml:space="preserve">The Czech Republic </w:t>
      </w:r>
      <w:r>
        <w:t xml:space="preserve">adopted the same threshold in January 2025 [56], even establishing bilateral agreements with Uruguay for imports.</w:t>
      </w:r>
    </w:p>
    <w:p>
      <w:pPr>
        <w:pStyle w:val="BodyText"/>
      </w:pPr>
      <w:r>
        <w:rPr>
          <w:b/>
          <w:bCs/>
        </w:rPr>
        <w:t xml:space="preserve">Spain </w:t>
      </w:r>
      <w:r>
        <w:t xml:space="preserve">already expressed its position in January 2023 through NLP 161/004332 [34], which establishes 1% as the appropriate threshold—a parliamentary mandate pending implementation.</w:t>
      </w:r>
      <w:r>
        <w:t xml:space="preserve"> </w:t>
      </w:r>
      <w:r>
        <w:rPr>
          <w:b/>
          <w:bCs/>
        </w:rPr>
        <w:t xml:space="preserve">Germany </w:t>
      </w:r>
      <w:r>
        <w:t xml:space="preserve">maintains 0.3% for agricultural hemp, but its industry associations have long been calling for an increase; in addition, the official monograph of extracts (DAB 2020) [50] defines 1% THC as the functional threshold below which it is not considered medicinal.</w:t>
      </w:r>
    </w:p>
    <w:bookmarkEnd w:id="32"/>
    <w:bookmarkEnd w:id="33"/>
    <w:bookmarkStart w:name="Xc6533f6768fba0b45e7168750c65f7665d541a1" w:id="34"/>
    <w:p>
      <w:pPr>
        <w:pStyle w:val="Heading3"/>
      </w:pPr>
      <w:r>
        <w:t xml:space="preserve">Mercosur and Latin America: implications for European trade policy</w:t>
      </w:r>
    </w:p>
    <w:p>
      <w:pPr>
        <w:pStyle w:val="FirstParagraph"/>
      </w:pPr>
      <w:r>
        <w:t xml:space="preserve">The Latin American bloc has </w:t>
      </w:r>
      <w:r>
        <w:rPr>
          <w:b/>
          <w:bCs/>
        </w:rPr>
        <w:t xml:space="preserve">mostly </w:t>
      </w:r>
      <w:r>
        <w:t xml:space="preserve">adopted</w:t>
      </w:r>
      <w:r>
        <w:rPr>
          <w:b/>
          <w:bCs/>
        </w:rPr>
        <w:t xml:space="preserve"> 1% THC</w:t>
      </w:r>
      <w:r>
        <w:t xml:space="preserve">, with direct implications for European trade policy following the signing of </w:t>
      </w:r>
      <w:r>
        <w:rPr>
          <w:b/>
          <w:bCs/>
        </w:rPr>
        <w:t xml:space="preserve">the EU-Mercosur Agreement </w:t>
      </w:r>
      <w:r>
        <w:t xml:space="preserve">(17 January 2026) [58].</w:t>
      </w:r>
    </w:p>
    <w:p>
      <w:pPr>
        <w:pStyle w:val="BodyText"/>
      </w:pPr>
      <w:r>
        <w:rPr>
          <w:b/>
          <w:bCs/>
        </w:rPr>
        <w:t xml:space="preserve">Uruguay </w:t>
      </w:r>
      <w:r>
        <w:t xml:space="preserve">was the regional pioneer (2013) [46], with active export protocols to the US and Europe.</w:t>
      </w:r>
      <w:r>
        <w:t xml:space="preserve"> </w:t>
      </w:r>
      <w:r>
        <w:rPr>
          <w:b/>
          <w:bCs/>
        </w:rPr>
        <w:t xml:space="preserve">Argentina </w:t>
      </w:r>
      <w:r>
        <w:t xml:space="preserve">(2022-2023) [61], </w:t>
      </w:r>
      <w:r>
        <w:rPr>
          <w:b/>
          <w:bCs/>
        </w:rPr>
        <w:t xml:space="preserve">Paraguay </w:t>
      </w:r>
      <w:r>
        <w:t xml:space="preserve">(2019) [62], </w:t>
      </w:r>
      <w:r>
        <w:rPr>
          <w:b/>
          <w:bCs/>
        </w:rPr>
        <w:t xml:space="preserve">Chile </w:t>
      </w:r>
      <w:r>
        <w:t xml:space="preserve">(2021) [63] and </w:t>
      </w:r>
      <w:r>
        <w:rPr>
          <w:b/>
          <w:bCs/>
        </w:rPr>
        <w:t xml:space="preserve">Colombia </w:t>
      </w:r>
      <w:r>
        <w:t xml:space="preserve">(2016-2017) [64] complete the Mercosur core with the same standard.</w:t>
      </w:r>
    </w:p>
    <w:p>
      <w:pPr>
        <w:pStyle w:val="BodyText"/>
      </w:pPr>
      <w:r>
        <w:t xml:space="preserve">Beyond Mercosur, the trend extends to the entire region: </w:t>
      </w:r>
      <w:r>
        <w:rPr>
          <w:b/>
          <w:bCs/>
        </w:rPr>
        <w:t xml:space="preserve">Ecuador </w:t>
      </w:r>
      <w:r>
        <w:t xml:space="preserve">(2020) [65], </w:t>
      </w:r>
      <w:r>
        <w:rPr>
          <w:b/>
          <w:bCs/>
        </w:rPr>
        <w:t xml:space="preserve">Peru</w:t>
      </w:r>
      <w:r>
        <w:t xml:space="preserve"> </w:t>
      </w:r>
      <w:r>
        <w:t xml:space="preserve">(2024) [66], </w:t>
      </w:r>
      <w:r>
        <w:rPr>
          <w:b/>
          <w:bCs/>
        </w:rPr>
        <w:t xml:space="preserve">Mexico </w:t>
      </w:r>
      <w:r>
        <w:t xml:space="preserve">(2017) [67], </w:t>
      </w:r>
      <w:r>
        <w:rPr>
          <w:b/>
          <w:bCs/>
        </w:rPr>
        <w:t xml:space="preserve">Costa Rica </w:t>
      </w:r>
      <w:r>
        <w:t xml:space="preserve">(2022) [68], </w:t>
      </w:r>
      <w:r>
        <w:rPr>
          <w:b/>
          <w:bCs/>
        </w:rPr>
        <w:t xml:space="preserve">Panama </w:t>
      </w:r>
      <w:r>
        <w:t xml:space="preserve">(2025) [69] and </w:t>
      </w:r>
      <w:r>
        <w:rPr>
          <w:b/>
          <w:bCs/>
        </w:rPr>
        <w:t xml:space="preserve">Jamaica </w:t>
      </w:r>
      <w:r>
        <w:t xml:space="preserve">(2015) [70] operate with a 1% threshold.</w:t>
      </w:r>
    </w:p>
    <w:p>
      <w:pPr>
        <w:pStyle w:val="BodyText"/>
      </w:pPr>
      <w:r>
        <w:rPr>
          <w:b/>
          <w:bCs/>
        </w:rPr>
        <w:t xml:space="preserve">Critical legal implication</w:t>
      </w:r>
      <w:r>
        <w:t xml:space="preserve">: The EU-Mercosur Agreement incorporates the WTO principles on Technical Barriers to Trade (Chapter 5 TBT) [59]. The </w:t>
      </w:r>
      <w:r>
        <w:rPr>
          <w:b/>
          <w:bCs/>
        </w:rPr>
        <w:t xml:space="preserve">"necessity"</w:t>
      </w:r>
      <w:r>
        <w:rPr>
          <w:b/>
          <w:bCs/>
        </w:rPr>
        <w:t xml:space="preserve"> test </w:t>
      </w:r>
      <w:r>
        <w:rPr>
          <w:b/>
          <w:bCs/>
        </w:rPr>
        <w:t xml:space="preserve">in Article 2.2 TBT </w:t>
      </w:r>
      <w:r>
        <w:t xml:space="preserve">requires an assessment of whether the European threshold of 0.3% is </w:t>
      </w:r>
      <w:r>
        <w:rPr>
          <w:b/>
          <w:bCs/>
        </w:rPr>
        <w:t xml:space="preserve">"more restrictive than necessary" </w:t>
      </w:r>
      <w:r>
        <w:t xml:space="preserve">for the legitimate objective of distinguishing industrial hemp from psychoactive cannabis. When the entire Mercosur bloc operates with 1%, maintaining 0.3% constitutes a technical barrier that is difficult to justify before the WTO.</w:t>
      </w:r>
    </w:p>
    <w:bookmarkEnd w:id="34"/>
    <w:bookmarkStart w:name="asia-pacífico-y-áfrica" w:id="35"/>
    <w:p>
      <w:pPr>
        <w:pStyle w:val="Heading3"/>
      </w:pPr>
      <w:r>
        <w:t xml:space="preserve">Asia-Pacific and Africa</w:t>
      </w:r>
    </w:p>
    <w:p>
      <w:pPr>
        <w:pStyle w:val="FirstParagraph"/>
      </w:pPr>
      <w:r>
        <w:t xml:space="preserve">Convergence towards 1% extends to all continents. In </w:t>
      </w:r>
      <w:r>
        <w:rPr>
          <w:b/>
          <w:bCs/>
        </w:rPr>
        <w:t xml:space="preserve">Oceania</w:t>
      </w:r>
      <w:r>
        <w:t xml:space="preserve">, </w:t>
      </w:r>
      <w:r>
        <w:rPr>
          <w:b/>
          <w:bCs/>
        </w:rPr>
        <w:t xml:space="preserve">New Zealand </w:t>
      </w:r>
      <w:r>
        <w:t xml:space="preserve">(2025) [71], </w:t>
      </w:r>
      <w:r>
        <w:rPr>
          <w:b/>
          <w:bCs/>
        </w:rPr>
        <w:t xml:space="preserve">Australia </w:t>
      </w:r>
      <w:r>
        <w:t xml:space="preserve">[72] and </w:t>
      </w:r>
      <w:r>
        <w:rPr>
          <w:b/>
          <w:bCs/>
        </w:rPr>
        <w:t xml:space="preserve">Fiji </w:t>
      </w:r>
      <w:r>
        <w:t xml:space="preserve">(2022) [73] operate with this threshold.</w:t>
      </w:r>
    </w:p>
    <w:p>
      <w:pPr>
        <w:pStyle w:val="BodyText"/>
      </w:pPr>
      <w:r>
        <w:t xml:space="preserve">In </w:t>
      </w:r>
      <w:r>
        <w:rPr>
          <w:b/>
          <w:bCs/>
        </w:rPr>
        <w:t xml:space="preserve">Africa</w:t>
      </w:r>
      <w:r>
        <w:t xml:space="preserve">, the movement is particularly significant as these are trading partners and direct neighbours of the EU. </w:t>
      </w:r>
      <w:r>
        <w:rPr>
          <w:b/>
          <w:bCs/>
        </w:rPr>
        <w:t xml:space="preserve">Morocco </w:t>
      </w:r>
      <w:r>
        <w:t xml:space="preserve">— a neighbouring country and strategic partner — adopted 1% in 2021 [74].</w:t>
      </w:r>
      <w:r>
        <w:t xml:space="preserve"> </w:t>
      </w:r>
      <w:r>
        <w:rPr>
          <w:b/>
          <w:bCs/>
        </w:rPr>
        <w:t xml:space="preserve">Lebanon </w:t>
      </w:r>
      <w:r>
        <w:t xml:space="preserve">(2020) [75], </w:t>
      </w:r>
      <w:r>
        <w:rPr>
          <w:b/>
          <w:bCs/>
        </w:rPr>
        <w:t xml:space="preserve">Malawi </w:t>
      </w:r>
      <w:r>
        <w:t xml:space="preserve">(2020) [76] and </w:t>
      </w:r>
      <w:r>
        <w:rPr>
          <w:b/>
          <w:bCs/>
        </w:rPr>
        <w:t xml:space="preserve">Zimbabwe </w:t>
      </w:r>
      <w:r>
        <w:t xml:space="preserve">(2023) [77] complete the African picture.</w:t>
      </w:r>
    </w:p>
    <w:bookmarkEnd w:id="35"/>
    <w:bookmarkStart w:name="X0f8f5c2d2b3481f137aa9fa7d78eaa0d4178360" w:id="36"/>
    <w:p>
      <w:pPr>
        <w:pStyle w:val="Heading3"/>
      </w:pPr>
      <w:r>
        <w:t xml:space="preserve">The Chinese case: the nature of the plant when not artificially restricted</w:t>
      </w:r>
    </w:p>
    <w:p>
      <w:pPr>
        <w:pStyle w:val="FirstParagraph"/>
      </w:pPr>
      <w:r>
        <w:rPr>
          <w:b/>
          <w:bCs/>
        </w:rPr>
        <w:t xml:space="preserve">China </w:t>
      </w:r>
      <w:r>
        <w:t xml:space="preserve">deserves special mention. Its genetic improvement programmes </w:t>
      </w:r>
      <w:r>
        <w:rPr>
          <w:b/>
          <w:bCs/>
        </w:rPr>
        <w:t xml:space="preserve">never artificially restricted THC</w:t>
      </w:r>
      <w:r>
        <w:t xml:space="preserve">, and the result is revealing: elite fibre varieties such as </w:t>
      </w:r>
      <w:r>
        <w:rPr>
          <w:b/>
          <w:bCs/>
        </w:rPr>
        <w:t xml:space="preserve">Bama </w:t>
      </w:r>
      <w:r>
        <w:t xml:space="preserve">and </w:t>
      </w:r>
      <w:r>
        <w:rPr>
          <w:b/>
          <w:bCs/>
        </w:rPr>
        <w:t xml:space="preserve">Yuma </w:t>
      </w:r>
      <w:r>
        <w:t xml:space="preserve">reach</w:t>
      </w:r>
      <w:r>
        <w:rPr>
          <w:b/>
          <w:bCs/>
        </w:rPr>
        <w:t xml:space="preserve"> 22-35 tonnes per hectare </w:t>
      </w:r>
      <w:r>
        <w:t xml:space="preserve">— between 4-7 times higher than European varieties — with THC profiles in the range of 0.5-0.7%. Trials by Halker et al. (2024) [5] and Brym et al. (2020) [18] documented that </w:t>
      </w:r>
      <w:r>
        <w:rPr>
          <w:b/>
          <w:bCs/>
        </w:rPr>
        <w:t xml:space="preserve">all high-yielding Chinese varieties exceeded 0.3% </w:t>
      </w:r>
      <w:r>
        <w:t xml:space="preserve">when grown to harvest, concluding that purely agronomic selection naturally leads to </w:t>
      </w:r>
      <w:r>
        <w:rPr>
          <w:b/>
          <w:bCs/>
        </w:rPr>
        <w:t xml:space="preserve">the 0.4-0.9% THC </w:t>
      </w:r>
      <w:r>
        <w:t xml:space="preserve">range</w:t>
      </w:r>
      <w:r>
        <w:t xml:space="preserve">. The European threshold of 0.3% goes against the nature of the plant when optimised for yield.</w:t>
      </w:r>
    </w:p>
    <w:bookmarkEnd w:id="36"/>
    <w:bookmarkStart w:name="X7bce34e950b0251b648deece8b39a0a77f34be8" w:id="38"/>
    <w:p>
      <w:pPr>
        <w:pStyle w:val="Heading3"/>
      </w:pPr>
      <w:r>
        <w:t xml:space="preserve">Conclusion: inevitable strategic alignment</w:t>
      </w:r>
    </w:p>
    <w:p>
      <w:pPr>
        <w:pStyle w:val="FirstParagraph"/>
      </w:pPr>
      <w:r>
        <w:t xml:space="preserve">This overview shows that</w:t>
      </w:r>
      <w:r>
        <w:rPr>
          <w:b/>
          <w:bCs/>
        </w:rPr>
        <w:t xml:space="preserve"> 1% THC </w:t>
      </w:r>
      <w:r>
        <w:t xml:space="preserve">represents a mature balance between regulatory control and commercial viability, adopted by jurisdictions on all continents that have prioritised </w:t>
      </w:r>
      <w:r>
        <w:rPr>
          <w:b/>
          <w:bCs/>
        </w:rPr>
        <w:t xml:space="preserve">sector competitiveness without compromising public safety</w:t>
      </w:r>
      <w:r>
        <w:t xml:space="preserve">.</w:t>
      </w:r>
    </w:p>
    <w:p>
      <w:pPr>
        <w:pStyle w:val="BodyText"/>
      </w:pPr>
      <w:r>
        <w:t xml:space="preserve">The European Union, maintaining the 0.3% threshold, is at a </w:t>
      </w:r>
      <w:r>
        <w:rPr>
          <w:b/>
          <w:bCs/>
        </w:rPr>
        <w:t xml:space="preserve">structural competitive disadvantage </w:t>
      </w:r>
      <w:r>
        <w:t xml:space="preserve">compared to global producers operating with more realistic regulatory margins.</w:t>
      </w:r>
    </w:p>
    <w:p>
      <w:pPr>
        <w:pStyle w:val="BlockText"/>
      </w:pPr>
      <w:r>
        <w:rPr>
          <w:b/>
          <w:bCs/>
        </w:rPr>
        <w:t xml:space="preserve">A detailed international comparison with specific legal frameworks is provided in </w:t>
      </w:r>
      <w:hyperlink r:id="rId37">
        <w:r>
          <w:rPr>
            <w:rStyle w:val="Hyperlink"/>
            <w:b/>
            <w:bCs/>
          </w:rPr>
          <w:t xml:space="preserve">Annex C</w:t>
        </w:r>
      </w:hyperlink>
      <w:r>
        <w:rPr>
          <w:b/>
          <w:bCs/>
        </w:rPr>
        <w:t xml:space="preserve">.</w:t>
      </w:r>
    </w:p>
    <w:p>
      <w:r>
        <w:pict>
          <v:rect style="width:0;height:1.5pt" o:hr="t" o:hrstd="t" o:hralign="center"/>
        </w:pict>
      </w:r>
    </w:p>
    <w:bookmarkEnd w:id="38"/>
    <w:bookmarkEnd w:id="39"/>
    <w:bookmarkStart w:name="seguridad-y-salud-pública" w:id="50"/>
    <w:p>
      <w:pPr>
        <w:pStyle w:val="Heading2"/>
      </w:pPr>
      <w:r>
        <w:t xml:space="preserve">2.4 PUBLIC HEALTH AND SAFETY</w:t>
      </w:r>
    </w:p>
    <w:bookmarkStart w:name="X2fa126c29433b7a4bacc0c2d1de0b5ec4ecaf5a" w:id="40"/>
    <w:p>
      <w:pPr>
        <w:pStyle w:val="Heading3"/>
      </w:pPr>
      <w:r>
        <w:t xml:space="preserve">2.4.1 Assessment framework: realism versus theory</w:t>
      </w:r>
    </w:p>
    <w:p>
      <w:pPr>
        <w:pStyle w:val="FirstParagraph"/>
      </w:pPr>
      <w:r>
        <w:t xml:space="preserve">Concerns about the potential for abuse of industrial hemp are </w:t>
      </w:r>
      <w:r>
        <w:rPr>
          <w:b/>
          <w:bCs/>
        </w:rPr>
        <w:t xml:space="preserve">legitimate and must be rigorously assessed</w:t>
      </w:r>
      <w:r>
        <w:t xml:space="preserve">. However, this assessment must be conducted </w:t>
      </w:r>
      <w:r>
        <w:rPr>
          <w:b/>
          <w:bCs/>
        </w:rPr>
        <w:t xml:space="preserve">realistically, not theoretically</w:t>
      </w:r>
      <w:r>
        <w:t xml:space="preserve">.</w:t>
      </w:r>
    </w:p>
    <w:p>
      <w:pPr>
        <w:pStyle w:val="BodyText"/>
      </w:pPr>
      <w:r>
        <w:t xml:space="preserve">The risk of abuse is not determined by the mere presence of THC in the plant, but by whether intoxication is </w:t>
      </w:r>
      <w:r>
        <w:rPr>
          <w:b/>
          <w:bCs/>
        </w:rPr>
        <w:t xml:space="preserve">practical, technical and economically feasible</w:t>
      </w:r>
      <w:r>
        <w:t xml:space="preserve">. Scientific and economic evidence shows that this </w:t>
      </w:r>
      <w:r>
        <w:rPr>
          <w:b/>
          <w:bCs/>
        </w:rPr>
        <w:t xml:space="preserve">is not the case </w:t>
      </w:r>
      <w:r>
        <w:t xml:space="preserve">for industrial hemp, even at 1% THC.</w:t>
      </w:r>
    </w:p>
    <w:bookmarkEnd w:id="40"/>
    <w:bookmarkStart w:name="qué-regula-este-umbral" w:id="41"/>
    <w:p>
      <w:pPr>
        <w:pStyle w:val="Heading3"/>
      </w:pPr>
      <w:r>
        <w:t xml:space="preserve">2.4.2 What this threshold regulates</w:t>
      </w:r>
    </w:p>
    <w:p>
      <w:pPr>
        <w:pStyle w:val="FirstParagraph"/>
      </w:pPr>
      <w:r>
        <w:t xml:space="preserve">The </w:t>
      </w:r>
      <w:r>
        <w:t xml:space="preserve">proposed</w:t>
      </w:r>
      <w:r>
        <w:rPr>
          <w:b/>
          <w:bCs/>
        </w:rPr>
        <w:t xml:space="preserve"> 1.0% THC </w:t>
      </w:r>
      <w:r>
        <w:t xml:space="preserve">threshold </w:t>
      </w:r>
      <w:r>
        <w:t xml:space="preserve">operates as a criterion </w:t>
      </w:r>
      <w:r>
        <w:rPr>
          <w:b/>
          <w:bCs/>
        </w:rPr>
        <w:t xml:space="preserve">for classifying industrial hemp raw materials </w:t>
      </w:r>
      <w:r>
        <w:t xml:space="preserve">within the CAP/CMO framework, enabling their cultivation, marketing and importation within the internal market. These raw materials are intended for:</w:t>
      </w:r>
    </w:p>
    <w:p>
      <w:pPr>
        <w:pStyle w:val="Compact"/>
        <w:numPr>
          <w:ilvl w:val="0"/>
          <w:numId w:val="1004"/>
        </w:numPr>
      </w:pPr>
      <w:r>
        <w:rPr>
          <w:b/>
          <w:bCs/>
        </w:rPr>
        <w:t xml:space="preserve">Industrial uses </w:t>
      </w:r>
      <w:r>
        <w:t xml:space="preserve">(fibre, seed, biomass for processing).</w:t>
      </w:r>
    </w:p>
    <w:p>
      <w:pPr>
        <w:pStyle w:val="Compact"/>
        <w:numPr>
          <w:ilvl w:val="0"/>
          <w:numId w:val="1004"/>
        </w:numPr>
      </w:pPr>
      <w:r>
        <w:rPr>
          <w:b/>
          <w:bCs/>
        </w:rPr>
        <w:t xml:space="preserve">Production of legal products </w:t>
      </w:r>
      <w:r>
        <w:t xml:space="preserve">which, once processed, are </w:t>
      </w:r>
      <w:r>
        <w:rPr>
          <w:b/>
          <w:bCs/>
        </w:rPr>
        <w:t xml:space="preserve">regulated by each Member State </w:t>
      </w:r>
      <w:r>
        <w:t xml:space="preserve">according to the relevant framework: industrial, food, cosmetic, medicinal or other sectoral frameworks.</w:t>
      </w:r>
    </w:p>
    <w:p>
      <w:pPr>
        <w:pStyle w:val="FirstParagraph"/>
      </w:pPr>
      <w:r>
        <w:t xml:space="preserve">The risk of </w:t>
      </w:r>
      <w:r>
        <w:rPr>
          <w:b/>
          <w:bCs/>
        </w:rPr>
        <w:t xml:space="preserve">diversion or misuse </w:t>
      </w:r>
      <w:r>
        <w:t xml:space="preserve">should not be managed by means of an artificially low threshold that penalises farmers for agronomic or climatic variations. The correct approach is:</w:t>
      </w:r>
    </w:p>
    <w:p>
      <w:pPr>
        <w:pStyle w:val="Compact"/>
        <w:numPr>
          <w:ilvl w:val="0"/>
          <w:numId w:val="1005"/>
        </w:numPr>
      </w:pPr>
      <w:r>
        <w:rPr>
          <w:b/>
          <w:bCs/>
        </w:rPr>
        <w:t xml:space="preserve">Clear regulation</w:t>
      </w:r>
      <w:r>
        <w:t xml:space="preserve">: legal certainty, documentary traceability and official control using the harmonised EU method.</w:t>
      </w:r>
    </w:p>
    <w:p>
      <w:pPr>
        <w:pStyle w:val="Compact"/>
        <w:numPr>
          <w:ilvl w:val="0"/>
          <w:numId w:val="1005"/>
        </w:numPr>
      </w:pPr>
      <w:r>
        <w:rPr>
          <w:b/>
          <w:bCs/>
        </w:rPr>
        <w:t xml:space="preserve">Proportionality</w:t>
      </w:r>
      <w:r>
        <w:t xml:space="preserve">: separating the percentage in the plant (classification) from the specific management of risks in the final product or behaviour.</w:t>
      </w:r>
    </w:p>
    <w:p>
      <w:pPr>
        <w:pStyle w:val="FirstParagraph"/>
      </w:pPr>
      <w:r>
        <w:t xml:space="preserve">A robust CAP/CMO criterion (1%) combined with an effective control architecture better protects the internal market than a fragile threshold (0.3%) that generates litigation and losses without reducing the real risk of abuse.</w:t>
      </w:r>
    </w:p>
    <w:bookmarkEnd w:id="41"/>
    <w:bookmarkStart w:name="Xcadfd9a4e89e105d35cea4bdcd5223fb637d565" w:id="49"/>
    <w:p>
      <w:pPr>
        <w:pStyle w:val="Heading3"/>
      </w:pPr>
      <w:r>
        <w:t xml:space="preserve">2.4.3 Theoretical scenarios of abuse: why they are unrealistic</w:t>
      </w:r>
    </w:p>
    <w:p>
      <w:pPr>
        <w:pStyle w:val="FirstParagraph"/>
      </w:pPr>
      <w:r>
        <w:t xml:space="preserve">To enable the misuse of industrial hemp for intoxicating purposes, the THC contained in the plant material would have to be consumed in sufficient quantities to induce a psychoactive effect. This could theoretically occur in two ways: </w:t>
      </w:r>
      <w:r>
        <w:rPr>
          <w:b/>
          <w:bCs/>
        </w:rPr>
        <w:t xml:space="preserve">(a) </w:t>
      </w:r>
      <w:r>
        <w:t xml:space="preserve">through the ingestion of processed products (baked goods, extraction) or </w:t>
      </w:r>
      <w:r>
        <w:rPr>
          <w:b/>
          <w:bCs/>
        </w:rPr>
        <w:t xml:space="preserve">(b) </w:t>
      </w:r>
      <w:r>
        <w:t xml:space="preserve">through direct combustion (smoking or vaporising).</w:t>
      </w:r>
    </w:p>
    <w:bookmarkStart w:name="X28b46d7561a36669d4a90c1718c00ffc7fe8bdc" w:id="42"/>
    <w:p>
      <w:pPr>
        <w:pStyle w:val="Heading4"/>
      </w:pPr>
      <w:r>
        <w:t xml:space="preserve">A. Processing scenario (baking or extraction): irrelevant for this threshold</w:t>
      </w:r>
    </w:p>
    <w:p>
      <w:pPr>
        <w:pStyle w:val="FirstParagraph"/>
      </w:pPr>
      <w:r>
        <w:t xml:space="preserve">The </w:t>
      </w:r>
      <w:r>
        <w:t xml:space="preserve">baking</w:t>
      </w:r>
      <w:r>
        <w:t xml:space="preserve"> scenario </w:t>
      </w:r>
      <w:r>
        <w:t xml:space="preserve">has been examined as a theoretical form of misuse. In this case, industrial hemp flowers would first need to be processed—typically by extracting cannabinoids into a fat such as butter—which would then be incorporated into baked goods.</w:t>
      </w:r>
    </w:p>
    <w:p>
      <w:pPr>
        <w:pStyle w:val="BodyText"/>
      </w:pPr>
      <w:r>
        <w:t xml:space="preserve">However, this method is subject to several limiting factors:</w:t>
      </w:r>
    </w:p>
    <w:p>
      <w:pPr>
        <w:pStyle w:val="Compact"/>
        <w:numPr>
          <w:ilvl w:val="0"/>
          <w:numId w:val="1006"/>
        </w:numPr>
      </w:pPr>
      <w:r>
        <w:rPr>
          <w:b/>
          <w:bCs/>
        </w:rPr>
        <w:t xml:space="preserve">Substantial amount of material </w:t>
      </w:r>
      <w:r>
        <w:t xml:space="preserve">required to achieve a minimum intoxicating dose, raising issues of palatability, digestibility and acceptance.</w:t>
      </w:r>
    </w:p>
    <w:p>
      <w:pPr>
        <w:pStyle w:val="Compact"/>
        <w:numPr>
          <w:ilvl w:val="0"/>
          <w:numId w:val="1006"/>
        </w:numPr>
      </w:pPr>
      <w:r>
        <w:rPr>
          <w:b/>
          <w:bCs/>
        </w:rPr>
        <w:t xml:space="preserve">Incomplete conversion</w:t>
      </w:r>
      <w:r>
        <w:t xml:space="preserve">: the transformation of the non-psychoactive precursor THCA into THC (decarboxylation) requires specific conditions. During baking, more than half of the potential THC may remain unconverted.</w:t>
      </w:r>
    </w:p>
    <w:p>
      <w:pPr>
        <w:pStyle w:val="Compact"/>
        <w:numPr>
          <w:ilvl w:val="0"/>
          <w:numId w:val="1006"/>
        </w:numPr>
      </w:pPr>
      <w:r>
        <w:rPr>
          <w:b/>
          <w:bCs/>
        </w:rPr>
        <w:t xml:space="preserve">Thermal degradation</w:t>
      </w:r>
      <w:r>
        <w:t xml:space="preserve">: THC is thermolabile and degrades with excessive heat, converting to cannabinol (CBN), a compound with no psychoactive effect.</w:t>
      </w:r>
    </w:p>
    <w:p>
      <w:pPr>
        <w:pStyle w:val="FirstParagraph"/>
      </w:pPr>
      <w:r>
        <w:rPr>
          <w:b/>
          <w:bCs/>
        </w:rPr>
        <w:t xml:space="preserve">Critical observation</w:t>
      </w:r>
      <w:r>
        <w:t xml:space="preserve">: This processing scenario is </w:t>
      </w:r>
      <w:r>
        <w:rPr>
          <w:b/>
          <w:bCs/>
        </w:rPr>
        <w:t xml:space="preserve">equally feasible with 0.3% THC material </w:t>
      </w:r>
      <w:r>
        <w:t xml:space="preserve">as with 1% material. If someone wanted to extract cannabinoids for domestic processing, they would simply need more 0.3% material to achieve the same result. The PAC/OCM classification threshold </w:t>
      </w:r>
      <w:r>
        <w:rPr>
          <w:b/>
          <w:bCs/>
        </w:rPr>
        <w:t xml:space="preserve">does not alter this equation</w:t>
      </w:r>
      <w:r>
        <w:t xml:space="preserve">: anyone with the intention, equipment and time to perform an extraction can do so with any material containing THC.</w:t>
      </w:r>
    </w:p>
    <w:p>
      <w:pPr>
        <w:pStyle w:val="BodyText"/>
      </w:pPr>
      <w:r>
        <w:rPr>
          <w:b/>
          <w:bCs/>
        </w:rPr>
        <w:t xml:space="preserve">Decisive economic argument</w:t>
      </w:r>
      <w:r>
        <w:t xml:space="preserve">: Even assuming that this scenario were technically feasible, </w:t>
      </w:r>
      <w:r>
        <w:rPr>
          <w:b/>
          <w:bCs/>
        </w:rPr>
        <w:t xml:space="preserve">it would in no way be an attractive practice for drug traffickers</w:t>
      </w:r>
      <w:r>
        <w:t xml:space="preserve">. The extraction of THC from industrial hemp—whether 0.3% or 1%—is </w:t>
      </w:r>
      <w:r>
        <w:rPr>
          <w:b/>
          <w:bCs/>
        </w:rPr>
        <w:t xml:space="preserve">economically unviable </w:t>
      </w:r>
      <w:r>
        <w:t xml:space="preserve">for the black market. An illicit operator would need to process between</w:t>
      </w:r>
      <w:r>
        <w:rPr>
          <w:b/>
          <w:bCs/>
        </w:rPr>
        <w:t xml:space="preserve"> 13 and 43 times more biomass </w:t>
      </w:r>
      <w:r>
        <w:t xml:space="preserve">to obtain the same amount of THC that they would extract from illicit high-content cannabis (&gt;13%) [78], which is also widely available. The cost in raw materials, time, equipment and risk of detection makes this route completely irrational from any criminal perspective.</w:t>
      </w:r>
    </w:p>
    <w:p>
      <w:pPr>
        <w:pStyle w:val="BodyText"/>
      </w:pPr>
      <w:r>
        <w:t xml:space="preserve">Therefore, </w:t>
      </w:r>
      <w:r>
        <w:rPr>
          <w:b/>
          <w:bCs/>
        </w:rPr>
        <w:t xml:space="preserve">the processing scenario does not constitute a valid argument </w:t>
      </w:r>
      <w:r>
        <w:t xml:space="preserve">for maintaining an artificially low threshold: it is equally inefficient regardless of the threshold, and those seeking THC for illicit purposes have much more profitable alternatives.</w:t>
      </w:r>
    </w:p>
    <w:bookmarkEnd w:id="42"/>
    <w:bookmarkStart w:name="Xc51bc1a080a9dc0085f2663091235db2a125ed5" w:id="48"/>
    <w:p>
      <w:pPr>
        <w:pStyle w:val="Heading4"/>
      </w:pPr>
      <w:r>
        <w:t xml:space="preserve">B. Direct combustion scenario: from hypothetical risk to validated commercial reality</w:t>
      </w:r>
    </w:p>
    <w:p>
      <w:pPr>
        <w:pStyle w:val="FirstParagraph"/>
      </w:pPr>
      <w:r>
        <w:t xml:space="preserve">Another scenario in which there could be a risk of intoxication—perhaps more readily—would be the direct combustion of the product in the form of a cigarette, given its similarity in appearance to traditional psychoactive cannabis.</w:t>
      </w:r>
    </w:p>
    <w:p>
      <w:pPr>
        <w:pStyle w:val="BodyText"/>
      </w:pPr>
      <w:r>
        <w:t xml:space="preserve">The key question is: </w:t>
      </w:r>
      <w:r>
        <w:rPr>
          <w:b/>
          <w:bCs/>
        </w:rPr>
        <w:t xml:space="preserve">would a 1% THC industrial hemp product be psychoactive when smoked?</w:t>
      </w:r>
    </w:p>
    <w:bookmarkStart w:name="Xb35ae96c448ac852ec035ee55dd8612de2697a2" w:id="43"/>
    <w:p>
      <w:pPr>
        <w:pStyle w:val="Heading5"/>
      </w:pPr>
      <w:r>
        <w:t xml:space="preserve">B.1 The European precedent: political, regulatory and health validation</w:t>
      </w:r>
    </w:p>
    <w:p>
      <w:pPr>
        <w:pStyle w:val="FirstParagraph"/>
      </w:pPr>
      <w:r>
        <w:t xml:space="preserve">Although this is an issue that must be carefully verified scientifically, we must first look at the reality of the market and existing precedents.</w:t>
      </w:r>
    </w:p>
    <w:p>
      <w:pPr>
        <w:pStyle w:val="BodyText"/>
      </w:pPr>
      <w:r>
        <w:rPr>
          <w:b/>
          <w:bCs/>
        </w:rPr>
        <w:t xml:space="preserve">Swissmedic</w:t>
      </w:r>
      <w:r>
        <w:t xml:space="preserve">, the Swiss Agency for Therapeutic Products [55], endorses inhalable hemp products with &lt;1% THC as </w:t>
      </w:r>
      <w:r>
        <w:rPr>
          <w:b/>
          <w:bCs/>
        </w:rPr>
        <w:t xml:space="preserve">safe and non-psychoactive</w:t>
      </w:r>
      <w:r>
        <w:t xml:space="preserve">. Since 2011 [44], Switzerland has allowed the free sale of hemp flowers (&lt;1% THC) as a substitute for herbal tobacco, marketed in specialised shops.</w:t>
      </w:r>
    </w:p>
    <w:p>
      <w:pPr>
        <w:pStyle w:val="BodyText"/>
      </w:pPr>
      <w:r>
        <w:rPr>
          <w:b/>
          <w:bCs/>
        </w:rPr>
        <w:t xml:space="preserve">The Czech Republic </w:t>
      </w:r>
      <w:r>
        <w:t xml:space="preserve">aligned itself with the Swiss threshold (</w:t>
      </w:r>
      <w:r>
        <w:rPr>
          <w:b/>
          <w:bCs/>
        </w:rPr>
        <w:t xml:space="preserve">1% THC</w:t>
      </w:r>
      <w:r>
        <w:t xml:space="preserve">) in January 2025 through Act Col. 166/2024 [56].</w:t>
      </w:r>
      <w:r>
        <w:t xml:space="preserve"> </w:t>
      </w:r>
      <w:r>
        <w:rPr>
          <w:b/>
          <w:bCs/>
        </w:rPr>
        <w:t xml:space="preserve">Luxembourg</w:t>
      </w:r>
      <w:r>
        <w:t xml:space="preserve">, a Member State, also aligned itself with Switzerland in 2023, allowing the </w:t>
      </w:r>
      <w:r>
        <w:rPr>
          <w:b/>
          <w:bCs/>
        </w:rPr>
        <w:t xml:space="preserve">import and marketing </w:t>
      </w:r>
      <w:r>
        <w:t xml:space="preserve">of industrial hemp products with </w:t>
      </w:r>
      <w:r>
        <w:t xml:space="preserve">up </w:t>
      </w:r>
      <w:r>
        <w:rPr>
          <w:b/>
          <w:bCs/>
        </w:rPr>
        <w:t xml:space="preserve">to 1% THC </w:t>
      </w:r>
      <w:r>
        <w:t xml:space="preserve">as tobacco substitutes [51]. These products are </w:t>
      </w:r>
      <w:r>
        <w:rPr>
          <w:b/>
          <w:bCs/>
        </w:rPr>
        <w:t xml:space="preserve">registered on the EU-CEG </w:t>
      </w:r>
      <w:r>
        <w:t xml:space="preserve">(Common Entry Gate) </w:t>
      </w:r>
      <w:r>
        <w:rPr>
          <w:b/>
          <w:bCs/>
        </w:rPr>
        <w:t xml:space="preserve">portal </w:t>
      </w:r>
      <w:r>
        <w:t xml:space="preserve">and fall under the </w:t>
      </w:r>
      <w:r>
        <w:t xml:space="preserve">European </w:t>
      </w:r>
      <w:r>
        <w:rPr>
          <w:b/>
          <w:bCs/>
        </w:rPr>
        <w:t xml:space="preserve">Tobacco Products Directive (TPD 2014/40/EU) </w:t>
      </w:r>
      <w:r>
        <w:t xml:space="preserve">[57] as </w:t>
      </w:r>
      <w:r>
        <w:t xml:space="preserve">"smoking herbs</w:t>
      </w:r>
      <w:r>
        <w:t xml:space="preserve">".</w:t>
      </w:r>
    </w:p>
    <w:p>
      <w:pPr>
        <w:pStyle w:val="BodyText"/>
      </w:pPr>
      <w:r>
        <w:t xml:space="preserve">The regulatory framework for hemp products in the TPD also applies in </w:t>
      </w:r>
      <w:r>
        <w:rPr>
          <w:b/>
          <w:bCs/>
        </w:rPr>
        <w:t xml:space="preserve">Austria, Belgium, France, Poland, Germany and Greece</w:t>
      </w:r>
      <w:r>
        <w:t xml:space="preserve">.</w:t>
      </w:r>
    </w:p>
    <w:p>
      <w:pPr>
        <w:pStyle w:val="BodyText"/>
      </w:pPr>
      <w:r>
        <w:t xml:space="preserve">In Member States where this registration is not formally required, the same products imported from the Czech Republic or Luxembourg, with</w:t>
      </w:r>
      <w:r>
        <w:rPr>
          <w:b/>
          <w:bCs/>
        </w:rPr>
        <w:t xml:space="preserve"> 1% THC</w:t>
      </w:r>
      <w:r>
        <w:t xml:space="preserve">, must—and in fact do—circulate under the principle of </w:t>
      </w:r>
      <w:r>
        <w:rPr>
          <w:b/>
          <w:bCs/>
        </w:rPr>
        <w:t xml:space="preserve">free movement of goods </w:t>
      </w:r>
      <w:r>
        <w:t xml:space="preserve">(Articles 34-36 TFEU).</w:t>
      </w:r>
    </w:p>
    <w:bookmarkEnd w:id="43"/>
    <w:bookmarkStart w:name="X427e6ffdedc2bd2e1a1b7274f02627f3dd33253" w:id="45"/>
    <w:p>
      <w:pPr>
        <w:pStyle w:val="Heading5"/>
      </w:pPr>
      <w:r>
        <w:t xml:space="preserve">B.2 Pharmacokinetic confirmation: 1% THC does not produce psychoactive effects</w:t>
      </w:r>
    </w:p>
    <w:p>
      <w:pPr>
        <w:pStyle w:val="FirstParagraph"/>
      </w:pPr>
      <w:r>
        <w:t xml:space="preserve">Beyond the commercial and regulatory precedent, </w:t>
      </w:r>
      <w:r>
        <w:rPr>
          <w:b/>
          <w:bCs/>
        </w:rPr>
        <w:t xml:space="preserve">direct clinical evidence confirms that hemp with 1% THC does not produce psychoactive effects</w:t>
      </w:r>
      <w:r>
        <w:t xml:space="preserve">.</w:t>
      </w:r>
    </w:p>
    <w:p>
      <w:pPr>
        <w:pStyle w:val="BodyText"/>
      </w:pPr>
      <w:r>
        <w:t xml:space="preserve">Three recent clinical trials evaluated CBD-dominant products with THC contents comparable to or greater than 1%:</w:t>
      </w:r>
    </w:p>
    <w:p>
      <w:pPr>
        <w:numPr>
          <w:ilvl w:val="0"/>
          <w:numId w:val="1007"/>
        </w:numPr>
      </w:pPr>
      <w:r>
        <w:rPr>
          <w:b/>
          <w:bCs/>
        </w:rPr>
        <w:t xml:space="preserve">Arkell et al. (2020) </w:t>
      </w:r>
      <w:r>
        <w:t xml:space="preserve">[21], published in </w:t>
      </w:r>
      <w:r>
        <w:rPr>
          <w:i/>
          <w:iCs/>
        </w:rPr>
        <w:t xml:space="preserve">JAMA</w:t>
      </w:r>
      <w:r>
        <w:t xml:space="preserve">, studied vaporised cannabis with &lt;1% THC in real-world driving tests: </w:t>
      </w:r>
      <w:r>
        <w:rPr>
          <w:b/>
          <w:bCs/>
        </w:rPr>
        <w:t xml:space="preserve">no significant differences from placebo </w:t>
      </w:r>
      <w:r>
        <w:t xml:space="preserve">in lateral deviation or cognitive performance.</w:t>
      </w:r>
    </w:p>
    <w:p>
      <w:pPr>
        <w:numPr>
          <w:ilvl w:val="0"/>
          <w:numId w:val="1007"/>
        </w:numPr>
      </w:pPr>
      <w:r>
        <w:rPr>
          <w:b/>
          <w:bCs/>
        </w:rPr>
        <w:t xml:space="preserve">Egloff et al. (2023) </w:t>
      </w:r>
      <w:r>
        <w:t xml:space="preserve">[22], from the University of Basel, evaluated vaporised cannabis &lt;1% THC in drivers: </w:t>
      </w:r>
      <w:r>
        <w:rPr>
          <w:b/>
          <w:bCs/>
        </w:rPr>
        <w:t xml:space="preserve">no participant showed impaired driving ability </w:t>
      </w:r>
      <w:r>
        <w:t xml:space="preserve">compared to placebo, and blood THC concentrations remained well below Swiss legal thresholds.</w:t>
      </w:r>
    </w:p>
    <w:p>
      <w:pPr>
        <w:numPr>
          <w:ilvl w:val="0"/>
          <w:numId w:val="1007"/>
        </w:numPr>
      </w:pPr>
      <w:r>
        <w:rPr>
          <w:b/>
          <w:bCs/>
        </w:rPr>
        <w:t xml:space="preserve">Spindle et al. (2020) </w:t>
      </w:r>
      <w:r>
        <w:t xml:space="preserve">[23], from Johns Hopkins, administered vaporised CBD-dominant cannabis (100 mg CBD + 3.7 mg THC): </w:t>
      </w:r>
      <w:r>
        <w:rPr>
          <w:b/>
          <w:bCs/>
        </w:rPr>
        <w:t xml:space="preserve">no cognitive or psychomotor impairment </w:t>
      </w:r>
      <w:r>
        <w:t xml:space="preserve">in any of the tasks evaluated.</w:t>
      </w:r>
    </w:p>
    <w:p>
      <w:pPr>
        <w:pStyle w:val="FirstParagraph"/>
      </w:pPr>
      <w:r>
        <w:t xml:space="preserve">Pharmacokinetic analysis corroborates these findings. Applying the bioavailability parameters established in peer-reviewed literature — 12.6% transfer to mainstream smoke (Sheehan et al., 2019) [13] and 28.7% pulmonary bioavailability (Naef et al., 2004) [14]—the maximum systemic dose resulting from smoking 1 gram of hemp at 1% THC is approximately</w:t>
      </w:r>
      <w:r>
        <w:rPr>
          <w:b/>
          <w:bCs/>
        </w:rPr>
        <w:t xml:space="preserve"> 0.36 mg</w:t>
      </w:r>
      <w:r>
        <w:t xml:space="preserve">, i.e. </w:t>
      </w:r>
      <w:r>
        <w:rPr>
          <w:b/>
          <w:bCs/>
        </w:rPr>
        <w:t xml:space="preserve">between 8 and 17 times lower </w:t>
      </w:r>
      <w:r>
        <w:t xml:space="preserve">than the documented threshold for perceptible psychoactive effects of 3.1 mg (Perez-Reyes et al., 1972) [20] according to the EFSA assessment (2015) [4].</w:t>
      </w:r>
    </w:p>
    <w:p>
      <w:pPr>
        <w:pStyle w:val="BodyText"/>
      </w:pPr>
      <w:r>
        <w:t xml:space="preserve">Additionally, the antagonistic effect of CBD present in hemp —with typical CBD:THC ratios of 2:1 to 17:1— negatively modulates the activation of CB1 receptors, further reducing any potential impact.</w:t>
      </w:r>
    </w:p>
    <w:p>
      <w:pPr>
        <w:pStyle w:val="BlockText"/>
      </w:pPr>
      <w:r>
        <w:rPr>
          <w:b/>
          <w:bCs/>
        </w:rPr>
        <w:t xml:space="preserve">Detailed calculations and complete methodology are provided in </w:t>
      </w:r>
      <w:hyperlink r:id="rId44">
        <w:r>
          <w:rPr>
            <w:rStyle w:val="Hyperlink"/>
            <w:b/>
            <w:bCs/>
          </w:rPr>
          <w:t xml:space="preserve">Annex A</w:t>
        </w:r>
      </w:hyperlink>
      <w:r>
        <w:rPr>
          <w:b/>
          <w:bCs/>
        </w:rPr>
        <w:t xml:space="preserve">.</w:t>
      </w:r>
    </w:p>
    <w:bookmarkEnd w:id="45"/>
    <w:bookmarkStart w:name="X269c10c1ec16c474f15d0430bc87d5679ca035b" w:id="47"/>
    <w:p>
      <w:pPr>
        <w:pStyle w:val="Heading5"/>
      </w:pPr>
      <w:r>
        <w:t xml:space="preserve">B.3 Conclusion: 1% THC is safe for inhalation</w:t>
      </w:r>
    </w:p>
    <w:p>
      <w:pPr>
        <w:pStyle w:val="FirstParagraph"/>
      </w:pPr>
      <w:r>
        <w:t xml:space="preserve">The direct combustion scenario is not hypothetical: </w:t>
      </w:r>
      <w:r>
        <w:rPr>
          <w:b/>
          <w:bCs/>
        </w:rPr>
        <w:t xml:space="preserve">it is an established commercial reality in Europe</w:t>
      </w:r>
      <w:r>
        <w:t xml:space="preserve">.</w:t>
      </w:r>
    </w:p>
    <w:p>
      <w:pPr>
        <w:pStyle w:val="BodyText"/>
      </w:pPr>
      <w:r>
        <w:rPr>
          <w:b/>
          <w:bCs/>
        </w:rPr>
        <w:t xml:space="preserve">Regulatory validation: </w:t>
      </w:r>
      <w:r>
        <w:t xml:space="preserve">- Switzerland has permitted the sale of flowers containing &lt;1% THC as a tobacco substitute since 2011 </w:t>
      </w:r>
      <w:r>
        <w:t xml:space="preserve">- Luxembourg (EU Member State) has authorised products containing up to 1% THC since 2023 </w:t>
      </w:r>
      <w:r>
        <w:t xml:space="preserve">- Active markets operate in Austria, Belgium, France, Poland, Germany, and Greece</w:t>
      </w:r>
      <w:r>
        <w:t xml:space="preserve"> </w:t>
      </w:r>
      <w:r>
        <w:t xml:space="preserve">- Swissmedic [55] —authority with MRA with the EU— classifies these products outside the control of narcotics </w:t>
      </w:r>
      <w:r>
        <w:t xml:space="preserve">- The Kanavape doctrine (C-663/18) [39] prevents bans without proof of actual risk</w:t>
      </w:r>
    </w:p>
    <w:p>
      <w:pPr>
        <w:pStyle w:val="BodyText"/>
      </w:pPr>
      <w:r>
        <w:rPr>
          <w:b/>
          <w:bCs/>
        </w:rPr>
        <w:t xml:space="preserve">Pharmacokinetic validation: </w:t>
      </w:r>
      <w:r>
        <w:t xml:space="preserve">- Safety margins of ×8-17 relative to the psychoactive threshold (see </w:t>
      </w:r>
      <w:hyperlink r:id="rId46">
        <w:r>
          <w:rPr>
            <w:rStyle w:val="Hyperlink"/>
          </w:rPr>
          <w:t xml:space="preserve">Annex A</w:t>
        </w:r>
      </w:hyperlink>
      <w:r>
        <w:t xml:space="preserve">) </w:t>
      </w:r>
      <w:r>
        <w:t xml:space="preserve">- Direct clinical trials confirm absence of cognitive/psychomotor impairment</w:t>
      </w:r>
    </w:p>
    <w:p>
      <w:pPr>
        <w:pStyle w:val="BodyText"/>
      </w:pPr>
      <w:r>
        <w:rPr>
          <w:b/>
          <w:bCs/>
        </w:rPr>
        <w:t xml:space="preserve">Conclusion</w:t>
      </w:r>
      <w:r>
        <w:t xml:space="preserve">: Smoking hemp with 1% THC </w:t>
      </w:r>
      <w:r>
        <w:rPr>
          <w:b/>
          <w:bCs/>
        </w:rPr>
        <w:t xml:space="preserve">does not produce psychoactive effects</w:t>
      </w:r>
      <w:r>
        <w:t xml:space="preserve">. Regulatory evidence (&gt;15 years on the European market without incident) and scientific evidence (pharmacokinetics + clinical trials) confirm this unequivocally.</w:t>
      </w:r>
    </w:p>
    <w:p>
      <w:r>
        <w:pict>
          <v:rect style="width:0;height:1.5pt" o:hr="t" o:hrstd="t" o:hralign="center"/>
        </w:pict>
      </w:r>
    </w:p>
    <w:bookmarkEnd w:id="47"/>
    <w:bookmarkEnd w:id="48"/>
    <w:bookmarkEnd w:id="49"/>
    <w:bookmarkEnd w:id="50"/>
    <w:bookmarkEnd w:id="51"/>
    <w:bookmarkStart w:name="conclusión-y-propuesta-de-enmienda" w:id="58"/>
    <w:p>
      <w:pPr>
        <w:pStyle w:val="Heading1"/>
      </w:pPr>
      <w:r>
        <w:t xml:space="preserve">3. CONCLUSION AND PROPOSED AMENDMENT</w:t>
      </w:r>
    </w:p>
    <w:bookmarkStart w:name="propuesta" w:id="52"/>
    <w:p>
      <w:pPr>
        <w:pStyle w:val="Heading2"/>
      </w:pPr>
      <w:r>
        <w:t xml:space="preserve">3.1 Proposal</w:t>
      </w:r>
    </w:p>
    <w:p>
      <w:pPr>
        <w:pStyle w:val="FirstParagraph"/>
      </w:pPr>
      <w:r>
        <w:t xml:space="preserve">Cannabis Hub proposes </w:t>
      </w:r>
      <w:r>
        <w:rPr>
          <w:b/>
          <w:bCs/>
        </w:rPr>
        <w:t xml:space="preserve">replacing the 0.3% threshold with 1.0% THC </w:t>
      </w:r>
      <w:r>
        <w:t xml:space="preserve">in all CAP and CMO provisions where this criterion operates as a definition of </w:t>
      </w:r>
      <w:r>
        <w:rPr>
          <w:b/>
          <w:bCs/>
        </w:rPr>
        <w:t xml:space="preserve">industrial hemp</w:t>
      </w:r>
      <w:r>
        <w:t xml:space="preserve">, maintaining the existing control architecture and adding a </w:t>
      </w:r>
      <w:r>
        <w:rPr>
          <w:b/>
          <w:bCs/>
        </w:rPr>
        <w:t xml:space="preserve">minimum technical clause </w:t>
      </w:r>
      <w:r>
        <w:t xml:space="preserve">to close the interpretative ambiguity.</w:t>
      </w:r>
    </w:p>
    <w:p>
      <w:pPr>
        <w:pStyle w:val="BodyText"/>
      </w:pPr>
      <w:r>
        <w:t xml:space="preserve">This reform: </w:t>
      </w:r>
      <w:r>
        <w:t xml:space="preserve">- </w:t>
      </w:r>
      <w:r>
        <w:rPr>
          <w:b/>
          <w:bCs/>
        </w:rPr>
        <w:t xml:space="preserve">Resolves </w:t>
      </w:r>
      <w:r>
        <w:t xml:space="preserve">the fragmentation of the internal market and documented legal uncertainty. </w:t>
      </w:r>
      <w:r>
        <w:t xml:space="preserve">- </w:t>
      </w:r>
      <w:r>
        <w:rPr>
          <w:b/>
          <w:bCs/>
        </w:rPr>
        <w:t xml:space="preserve">Protects </w:t>
      </w:r>
      <w:r>
        <w:t xml:space="preserve">farmers from losses due to agronomic and climatic variability (</w:t>
      </w:r>
      <w:r>
        <w:t xml:space="preserve">"hot crops"</w:t>
      </w:r>
      <w:r>
        <w:t xml:space="preserve">). </w:t>
      </w:r>
      <w:r>
        <w:t xml:space="preserve">- </w:t>
      </w:r>
      <w:r>
        <w:rPr>
          <w:b/>
          <w:bCs/>
        </w:rPr>
        <w:t xml:space="preserve">Aligns </w:t>
      </w:r>
      <w:r>
        <w:t xml:space="preserve">the EU with the international 1% bloc (18 verified jurisdictions) and strengthens its competitiveness.</w:t>
      </w:r>
      <w:r>
        <w:t xml:space="preserve"> </w:t>
      </w:r>
      <w:r>
        <w:t xml:space="preserve">- </w:t>
      </w:r>
      <w:r>
        <w:rPr>
          <w:b/>
          <w:bCs/>
        </w:rPr>
        <w:t xml:space="preserve">Maintains </w:t>
      </w:r>
      <w:r>
        <w:t xml:space="preserve">official control through the harmonised EU method (Delegated Regulation 2017/1155) [31].</w:t>
      </w:r>
    </w:p>
    <w:p>
      <w:r>
        <w:pict>
          <v:rect style="width:0;height:1.5pt" o:hr="t" o:hrstd="t" o:hralign="center"/>
        </w:pict>
      </w:r>
    </w:p>
    <w:bookmarkEnd w:id="52"/>
    <w:bookmarkStart w:name="enmiendas-nucleares-03-10" w:id="55"/>
    <w:p>
      <w:pPr>
        <w:pStyle w:val="Heading2"/>
      </w:pPr>
      <w:r>
        <w:t xml:space="preserve">3.2 Core amendments: 0.3% → 1.0%</w:t>
      </w:r>
    </w:p>
    <w:bookmarkStart w:name="pac-com2025-560" w:id="53"/>
    <w:p>
      <w:pPr>
        <w:pStyle w:val="Heading3"/>
      </w:pPr>
      <w:r>
        <w:t xml:space="preserve">CAP — COM(2025) 560</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pPr>
              <w:pStyle w:val="Compact"/>
            </w:pPr>
            <w:r>
              <w:t xml:space="preserve">Commission proposal</w:t>
            </w:r>
          </w:p>
        </w:tc>
        <w:tc>
          <w:tcPr/>
          <w:p>
            <w:pPr>
              <w:pStyle w:val="Compact"/>
            </w:pPr>
            <w:r>
              <w:t xml:space="preserve">Proposed amendment</w:t>
            </w:r>
          </w:p>
        </w:tc>
      </w:tr>
      <w:tr>
        <w:tc>
          <w:tcPr/>
          <w:p>
            <w:pPr>
              <w:pStyle w:val="Compact"/>
            </w:pPr>
            <w:r>
              <w:rPr>
                <w:b/>
                <w:bCs/>
              </w:rPr>
              <w:t xml:space="preserve">Article 5 </w:t>
            </w:r>
            <w:r>
              <w:t xml:space="preserve">— Types of aid </w:t>
            </w:r>
            <w:r>
              <w:rPr>
                <w:i/>
                <w:iCs/>
              </w:rPr>
              <w:t xml:space="preserve">(…) </w:t>
            </w:r>
            <w:r>
              <w:t xml:space="preserve">The production of hemp varieties with a tetrahydrocannabinol (THC) content exceeding</w:t>
            </w:r>
            <w:r>
              <w:rPr>
                <w:b/>
                <w:bCs/>
              </w:rPr>
              <w:t xml:space="preserve"> 0.3% </w:t>
            </w:r>
            <w:r>
              <w:t xml:space="preserve">shall not be eligible for aid under this Regulation.</w:t>
            </w:r>
          </w:p>
        </w:tc>
        <w:tc>
          <w:tcPr/>
          <w:p>
            <w:pPr>
              <w:pStyle w:val="Compact"/>
            </w:pPr>
            <w:r>
              <w:rPr>
                <w:b/>
                <w:bCs/>
              </w:rPr>
              <w:t xml:space="preserve">Article 5 </w:t>
            </w:r>
            <w:r>
              <w:t xml:space="preserve">— Types of aid </w:t>
            </w:r>
            <w:r>
              <w:rPr>
                <w:i/>
                <w:iCs/>
              </w:rPr>
              <w:t xml:space="preserve">(…) </w:t>
            </w:r>
            <w:r>
              <w:t xml:space="preserve">The production of hemp varieties with a tetrahydrocannabinol (THC) content exceeding</w:t>
            </w:r>
            <w:r>
              <w:rPr>
                <w:b/>
                <w:bCs/>
              </w:rPr>
              <w:t xml:space="preserve"> 1.0% </w:t>
            </w:r>
            <w:r>
              <w:t xml:space="preserve">shall not be eligible for aid under this Regulation.</w:t>
            </w:r>
          </w:p>
        </w:tc>
      </w:tr>
    </w:tbl>
    <w:bookmarkEnd w:id="53"/>
    <w:bookmarkStart w:name="X68a6f5b82b3ab7399ecf85ffa2f14872662aa10" w:id="54"/>
    <w:p>
      <w:pPr>
        <w:pStyle w:val="Heading3"/>
      </w:pPr>
      <w:r>
        <w:t xml:space="preserve">CMO — COM(2025) 553 (amending Reg. (EU) 1308/2013)</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pPr>
              <w:pStyle w:val="Compact"/>
            </w:pPr>
            <w:r>
              <w:t xml:space="preserve">Commission proposal</w:t>
            </w:r>
          </w:p>
        </w:tc>
        <w:tc>
          <w:tcPr/>
          <w:p>
            <w:pPr>
              <w:pStyle w:val="Compact"/>
            </w:pPr>
            <w:r>
              <w:t xml:space="preserve">Proposed amendment</w:t>
            </w:r>
          </w:p>
        </w:tc>
      </w:tr>
      <w:tr>
        <w:tc>
          <w:tcPr/>
          <w:p>
            <w:pPr>
              <w:pStyle w:val="Compact"/>
            </w:pPr>
            <w:r>
              <w:rPr>
                <w:b/>
                <w:bCs/>
              </w:rPr>
              <w:t xml:space="preserve">Article 147b </w:t>
            </w:r>
            <w:r>
              <w:t xml:space="preserve">— Production of hemp. 1. The following products may be produced in the Union if they come from a variety of </w:t>
            </w:r>
            <w:r>
              <w:rPr>
                <w:i/>
                <w:iCs/>
              </w:rPr>
              <w:t xml:space="preserve">Cannabis Sativa </w:t>
            </w:r>
            <w:r>
              <w:t xml:space="preserve">L. listed in the common catalogue, have a maximum Δ9-tetrahydrocannabinol content not exceeding</w:t>
            </w:r>
            <w:r>
              <w:rPr>
                <w:b/>
                <w:bCs/>
              </w:rPr>
              <w:t xml:space="preserve"> 0.3% </w:t>
            </w:r>
            <w:r>
              <w:t xml:space="preserve">and meet the following conditions: </w:t>
            </w:r>
            <w:r>
              <w:rPr>
                <w:i/>
                <w:iCs/>
              </w:rPr>
              <w:t xml:space="preserve">(...)</w:t>
            </w:r>
          </w:p>
        </w:tc>
        <w:tc>
          <w:tcPr/>
          <w:p>
            <w:pPr>
              <w:pStyle w:val="Compact"/>
            </w:pPr>
            <w:r>
              <w:rPr>
                <w:b/>
                <w:bCs/>
              </w:rPr>
              <w:t xml:space="preserve">Article 147b </w:t>
            </w:r>
            <w:r>
              <w:t xml:space="preserve">— Production of hemp. 1. The following products may be produced in the Union if they come from a variety of </w:t>
            </w:r>
            <w:r>
              <w:rPr>
                <w:i/>
                <w:iCs/>
              </w:rPr>
              <w:t xml:space="preserve">Cannabis Sativa </w:t>
            </w:r>
            <w:r>
              <w:t xml:space="preserve">L. listed in the common catalogue, have a maximum Δ9-tetrahydrocannabinol content not exceeding</w:t>
            </w:r>
            <w:r>
              <w:rPr>
                <w:b/>
                <w:bCs/>
              </w:rPr>
              <w:t xml:space="preserve"> 1.0% </w:t>
            </w:r>
            <w:r>
              <w:t xml:space="preserve">and meet the following conditions: </w:t>
            </w:r>
            <w:r>
              <w:rPr>
                <w:i/>
                <w:iCs/>
              </w:rPr>
              <w:t xml:space="preserve">(...)</w:t>
            </w:r>
          </w:p>
        </w:tc>
      </w:tr>
      <w:tr>
        <w:tc>
          <w:tcPr/>
          <w:p>
            <w:pPr>
              <w:pStyle w:val="Compact"/>
            </w:pPr>
            <w:r>
              <w:rPr>
                <w:b/>
                <w:bCs/>
              </w:rPr>
              <w:t xml:space="preserve">Article 147c </w:t>
            </w:r>
            <w:r>
              <w:t xml:space="preserve">— Marketing of hemp. 1. The following products may only be marketed in the Union if the conditions listed below are met: </w:t>
            </w:r>
            <w:r>
              <w:rPr>
                <w:b/>
                <w:bCs/>
              </w:rPr>
              <w:t xml:space="preserve">(a) </w:t>
            </w:r>
            <w:r>
              <w:t xml:space="preserve">raw hemp falling within </w:t>
            </w:r>
            <w:r>
              <w:rPr>
                <w:b/>
                <w:bCs/>
              </w:rPr>
              <w:t xml:space="preserve">CN </w:t>
            </w:r>
            <w:r>
              <w:t xml:space="preserve">code</w:t>
            </w:r>
            <w:r>
              <w:rPr>
                <w:b/>
                <w:bCs/>
              </w:rPr>
              <w:t xml:space="preserve"> 5302 </w:t>
            </w:r>
            <w:r>
              <w:rPr>
                <w:i/>
                <w:iCs/>
              </w:rPr>
              <w:t xml:space="preserve">(...) </w:t>
            </w:r>
            <w:r>
              <w:t xml:space="preserve">with a maximum Δ9-THC content not exceeding</w:t>
            </w:r>
            <w:r>
              <w:rPr>
                <w:b/>
                <w:bCs/>
              </w:rPr>
              <w:t xml:space="preserve"> 0.3% </w:t>
            </w:r>
            <w:r>
              <w:rPr>
                <w:i/>
                <w:iCs/>
              </w:rPr>
              <w:t xml:space="preserve">(...)</w:t>
            </w:r>
            <w:r>
              <w:t xml:space="preserve">;</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 xml:space="preserve">with a maximum Δ9-THC content not exceeding</w:t>
            </w:r>
            <w:r>
              <w:rPr>
                <w:b/>
                <w:bCs/>
              </w:rPr>
              <w:t xml:space="preserve"> 0.3% </w:t>
            </w:r>
            <w:r>
              <w:rPr>
                <w:i/>
                <w:iCs/>
              </w:rPr>
              <w:t xml:space="preserve">(...)</w:t>
            </w:r>
            <w:r>
              <w:t xml:space="preserve">;</w:t>
            </w:r>
            <w:r>
              <w:t xml:space="preserve"> </w:t>
            </w:r>
            <w:r>
              <w:rPr>
                <w:b/>
                <w:bCs/>
              </w:rPr>
              <w:t xml:space="preserve">(c) </w:t>
            </w:r>
            <w:r>
              <w:t xml:space="preserve">other parts of the hemp plant falling within </w:t>
            </w:r>
            <w:r>
              <w:rPr>
                <w:b/>
                <w:bCs/>
              </w:rPr>
              <w:t xml:space="preserve">CN </w:t>
            </w:r>
            <w:r>
              <w:t xml:space="preserve">code</w:t>
            </w:r>
            <w:r>
              <w:rPr>
                <w:b/>
                <w:bCs/>
              </w:rPr>
              <w:t xml:space="preserve"> 1211 90 86 </w:t>
            </w:r>
            <w:r>
              <w:rPr>
                <w:i/>
                <w:iCs/>
              </w:rPr>
              <w:t xml:space="preserve">(...) </w:t>
            </w:r>
            <w:r>
              <w:t xml:space="preserve">with a maximum Δ9-THC content not exceeding</w:t>
            </w:r>
            <w:r>
              <w:rPr>
                <w:b/>
                <w:bCs/>
              </w:rPr>
              <w:t xml:space="preserve"> 0.3% </w:t>
            </w:r>
            <w:r>
              <w:rPr>
                <w:i/>
                <w:iCs/>
              </w:rPr>
              <w:t xml:space="preserve">(...)</w:t>
            </w:r>
            <w:r>
              <w:t xml:space="preserve">.</w:t>
            </w:r>
          </w:p>
        </w:tc>
        <w:tc>
          <w:tcPr/>
          <w:p>
            <w:pPr>
              <w:pStyle w:val="Compact"/>
            </w:pPr>
            <w:r>
              <w:rPr>
                <w:b/>
                <w:bCs/>
              </w:rPr>
              <w:t xml:space="preserve">Article 147c </w:t>
            </w:r>
            <w:r>
              <w:t xml:space="preserve">— Marketing of hemp. 1. The following products may only be marketed in the Union if the conditions listed below are met: </w:t>
            </w:r>
            <w:r>
              <w:rPr>
                <w:b/>
                <w:bCs/>
              </w:rPr>
              <w:t xml:space="preserve">(a) </w:t>
            </w:r>
            <w:r>
              <w:t xml:space="preserve">raw hemp falling within </w:t>
            </w:r>
            <w:r>
              <w:rPr>
                <w:b/>
                <w:bCs/>
              </w:rPr>
              <w:t xml:space="preserve">CN </w:t>
            </w:r>
            <w:r>
              <w:t xml:space="preserve">code</w:t>
            </w:r>
            <w:r>
              <w:rPr>
                <w:b/>
                <w:bCs/>
              </w:rPr>
              <w:t xml:space="preserve"> 5302 </w:t>
            </w:r>
            <w:r>
              <w:rPr>
                <w:i/>
                <w:iCs/>
              </w:rPr>
              <w:t xml:space="preserve">(...) </w:t>
            </w:r>
            <w:r>
              <w:t xml:space="preserve">with a maximum Δ9-THC content not exceeding</w:t>
            </w:r>
            <w:r>
              <w:rPr>
                <w:b/>
                <w:bCs/>
              </w:rPr>
              <w:t xml:space="preserve"> 1.0% </w:t>
            </w:r>
            <w:r>
              <w:rPr>
                <w:i/>
                <w:iCs/>
              </w:rPr>
              <w:t xml:space="preserve">(...)</w:t>
            </w:r>
            <w:r>
              <w:t xml:space="preserve">;</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 xml:space="preserve">with a maximum Δ9-THC content not exceeding</w:t>
            </w:r>
            <w:r>
              <w:rPr>
                <w:b/>
                <w:bCs/>
              </w:rPr>
              <w:t xml:space="preserve"> 1.0% </w:t>
            </w:r>
            <w:r>
              <w:rPr>
                <w:i/>
                <w:iCs/>
              </w:rPr>
              <w:t xml:space="preserve">(...)</w:t>
            </w:r>
            <w:r>
              <w:t xml:space="preserve">;</w:t>
            </w:r>
            <w:r>
              <w:t xml:space="preserve"> </w:t>
            </w:r>
            <w:r>
              <w:rPr>
                <w:b/>
                <w:bCs/>
              </w:rPr>
              <w:t xml:space="preserve">(c) </w:t>
            </w:r>
            <w:r>
              <w:t xml:space="preserve">other parts of the hemp plant falling within </w:t>
            </w:r>
            <w:r>
              <w:rPr>
                <w:b/>
                <w:bCs/>
              </w:rPr>
              <w:t xml:space="preserve">CN </w:t>
            </w:r>
            <w:r>
              <w:t xml:space="preserve">code</w:t>
            </w:r>
            <w:r>
              <w:rPr>
                <w:b/>
                <w:bCs/>
              </w:rPr>
              <w:t xml:space="preserve"> 1211 90 86 </w:t>
            </w:r>
            <w:r>
              <w:rPr>
                <w:i/>
                <w:iCs/>
              </w:rPr>
              <w:t xml:space="preserve">(...) </w:t>
            </w:r>
            <w:r>
              <w:t xml:space="preserve">with a maximum Δ9-THC content not exceeding</w:t>
            </w:r>
            <w:r>
              <w:rPr>
                <w:b/>
                <w:bCs/>
              </w:rPr>
              <w:t xml:space="preserve"> 1.0% </w:t>
            </w:r>
            <w:r>
              <w:rPr>
                <w:i/>
                <w:iCs/>
              </w:rPr>
              <w:t xml:space="preserve">(...)</w:t>
            </w:r>
            <w:r>
              <w:t xml:space="preserve">.</w:t>
            </w:r>
          </w:p>
        </w:tc>
      </w:tr>
      <w:tr>
        <w:tc>
          <w:tcPr/>
          <w:p>
            <w:pPr>
              <w:pStyle w:val="Compact"/>
            </w:pPr>
            <w:r>
              <w:rPr>
                <w:b/>
                <w:bCs/>
              </w:rPr>
              <w:t xml:space="preserve">Article 189 </w:t>
            </w:r>
            <w:r>
              <w:t xml:space="preserve">— Imports of hemp. 1. The following products may only be imported into the Union if the conditions listed below are met: </w:t>
            </w:r>
            <w:r>
              <w:rPr>
                <w:b/>
                <w:bCs/>
              </w:rPr>
              <w:t xml:space="preserve">(a) </w:t>
            </w:r>
            <w:r>
              <w:t xml:space="preserve">raw hemp falling within </w:t>
            </w:r>
            <w:r>
              <w:rPr>
                <w:b/>
                <w:bCs/>
              </w:rPr>
              <w:t xml:space="preserve">CN </w:t>
            </w:r>
            <w:r>
              <w:t xml:space="preserve">code</w:t>
            </w:r>
            <w:r>
              <w:rPr>
                <w:b/>
                <w:bCs/>
              </w:rPr>
              <w:t xml:space="preserve"> 5302 </w:t>
            </w:r>
            <w:r>
              <w:rPr>
                <w:i/>
                <w:iCs/>
              </w:rPr>
              <w:t xml:space="preserve">(...) </w:t>
            </w:r>
            <w:r>
              <w:t xml:space="preserve">with a maximum Δ9-THC content not exceeding</w:t>
            </w:r>
            <w:r>
              <w:rPr>
                <w:b/>
                <w:bCs/>
              </w:rPr>
              <w:t xml:space="preserve"> 0.3% </w:t>
            </w:r>
            <w:r>
              <w:rPr>
                <w:i/>
                <w:iCs/>
              </w:rPr>
              <w:t xml:space="preserve">(...)</w:t>
            </w:r>
            <w:r>
              <w:t xml:space="preserve">;</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 xml:space="preserve">with a maximum Δ9-THC content not exceeding</w:t>
            </w:r>
            <w:r>
              <w:rPr>
                <w:b/>
                <w:bCs/>
              </w:rPr>
              <w:t xml:space="preserve"> 0.3% </w:t>
            </w:r>
            <w:r>
              <w:rPr>
                <w:i/>
                <w:iCs/>
              </w:rPr>
              <w:t xml:space="preserve">(...)</w:t>
            </w:r>
            <w:r>
              <w:t xml:space="preserve">;</w:t>
            </w:r>
            <w:r>
              <w:t xml:space="preserve"> </w:t>
            </w:r>
            <w:r>
              <w:rPr>
                <w:b/>
                <w:bCs/>
              </w:rPr>
              <w:t xml:space="preserve">(d) </w:t>
            </w:r>
            <w:r>
              <w:t xml:space="preserve">other parts of the hemp plant falling within </w:t>
            </w:r>
            <w:r>
              <w:rPr>
                <w:b/>
                <w:bCs/>
              </w:rPr>
              <w:t xml:space="preserve">CN </w:t>
            </w:r>
            <w:r>
              <w:t xml:space="preserve">code</w:t>
            </w:r>
            <w:r>
              <w:rPr>
                <w:b/>
                <w:bCs/>
              </w:rPr>
              <w:t xml:space="preserve"> 1211 90 86 </w:t>
            </w:r>
            <w:r>
              <w:rPr>
                <w:i/>
                <w:iCs/>
              </w:rPr>
              <w:t xml:space="preserve">(...) </w:t>
            </w:r>
            <w:r>
              <w:t xml:space="preserve">with a maximum Δ9-THC content not exceeding</w:t>
            </w:r>
            <w:r>
              <w:rPr>
                <w:b/>
                <w:bCs/>
              </w:rPr>
              <w:t xml:space="preserve"> 0.3% </w:t>
            </w:r>
            <w:r>
              <w:rPr>
                <w:i/>
                <w:iCs/>
              </w:rPr>
              <w:t xml:space="preserve">(...)</w:t>
            </w:r>
            <w:r>
              <w:t xml:space="preserve">.</w:t>
            </w:r>
          </w:p>
        </w:tc>
        <w:tc>
          <w:tcPr/>
          <w:p>
            <w:pPr>
              <w:pStyle w:val="Compact"/>
            </w:pPr>
            <w:r>
              <w:rPr>
                <w:b/>
                <w:bCs/>
              </w:rPr>
              <w:t xml:space="preserve">Article 189 </w:t>
            </w:r>
            <w:r>
              <w:t xml:space="preserve">— Imports of hemp. 1. The following products may only be imported into the Union if the conditions listed below are met: </w:t>
            </w:r>
            <w:r>
              <w:rPr>
                <w:b/>
                <w:bCs/>
              </w:rPr>
              <w:t xml:space="preserve">(a) </w:t>
            </w:r>
            <w:r>
              <w:t xml:space="preserve">raw hemp falling within </w:t>
            </w:r>
            <w:r>
              <w:rPr>
                <w:b/>
                <w:bCs/>
              </w:rPr>
              <w:t xml:space="preserve">CN </w:t>
            </w:r>
            <w:r>
              <w:t xml:space="preserve">code</w:t>
            </w:r>
            <w:r>
              <w:rPr>
                <w:b/>
                <w:bCs/>
              </w:rPr>
              <w:t xml:space="preserve"> 5302 </w:t>
            </w:r>
            <w:r>
              <w:rPr>
                <w:i/>
                <w:iCs/>
              </w:rPr>
              <w:t xml:space="preserve">(...) </w:t>
            </w:r>
            <w:r>
              <w:t xml:space="preserve">with a maximum Δ9-THC content not exceeding</w:t>
            </w:r>
            <w:r>
              <w:rPr>
                <w:b/>
                <w:bCs/>
              </w:rPr>
              <w:t xml:space="preserve"> 1.0% </w:t>
            </w:r>
            <w:r>
              <w:rPr>
                <w:i/>
                <w:iCs/>
              </w:rPr>
              <w:t xml:space="preserve">(...)</w:t>
            </w:r>
            <w:r>
              <w:t xml:space="preserve">;</w:t>
            </w:r>
            <w:r>
              <w:t xml:space="preserve"> </w:t>
            </w:r>
            <w:r>
              <w:rPr>
                <w:b/>
                <w:bCs/>
              </w:rPr>
              <w:t xml:space="preserve">(b) </w:t>
            </w:r>
            <w:r>
              <w:t xml:space="preserve">hemp seeds for sowing falling within </w:t>
            </w:r>
            <w:r>
              <w:rPr>
                <w:b/>
                <w:bCs/>
              </w:rPr>
              <w:t xml:space="preserve">CN </w:t>
            </w:r>
            <w:r>
              <w:t xml:space="preserve">code </w:t>
            </w:r>
            <w:r>
              <w:rPr>
                <w:b/>
                <w:bCs/>
              </w:rPr>
              <w:t xml:space="preserve">ex 1207 99 20 </w:t>
            </w:r>
            <w:r>
              <w:rPr>
                <w:i/>
                <w:iCs/>
              </w:rPr>
              <w:t xml:space="preserve">(...) </w:t>
            </w:r>
            <w:r>
              <w:t xml:space="preserve">with a maximum Δ9-THC content not exceeding</w:t>
            </w:r>
            <w:r>
              <w:rPr>
                <w:b/>
                <w:bCs/>
              </w:rPr>
              <w:t xml:space="preserve"> 1.0% </w:t>
            </w:r>
            <w:r>
              <w:rPr>
                <w:i/>
                <w:iCs/>
              </w:rPr>
              <w:t xml:space="preserve">(...)</w:t>
            </w:r>
            <w:r>
              <w:t xml:space="preserve">;</w:t>
            </w:r>
            <w:r>
              <w:t xml:space="preserve"> </w:t>
            </w:r>
            <w:r>
              <w:rPr>
                <w:b/>
                <w:bCs/>
              </w:rPr>
              <w:t xml:space="preserve">(d) </w:t>
            </w:r>
            <w:r>
              <w:t xml:space="preserve">other parts of the hemp plant falling within </w:t>
            </w:r>
            <w:r>
              <w:rPr>
                <w:b/>
                <w:bCs/>
              </w:rPr>
              <w:t xml:space="preserve">CN </w:t>
            </w:r>
            <w:r>
              <w:t xml:space="preserve">code</w:t>
            </w:r>
            <w:r>
              <w:rPr>
                <w:b/>
                <w:bCs/>
              </w:rPr>
              <w:t xml:space="preserve"> 1211 90 86 </w:t>
            </w:r>
            <w:r>
              <w:rPr>
                <w:i/>
                <w:iCs/>
              </w:rPr>
              <w:t xml:space="preserve">(...) </w:t>
            </w:r>
            <w:r>
              <w:t xml:space="preserve">with a maximum Δ9-THC content not exceeding</w:t>
            </w:r>
            <w:r>
              <w:rPr>
                <w:b/>
                <w:bCs/>
              </w:rPr>
              <w:t xml:space="preserve"> 1.0% </w:t>
            </w:r>
            <w:r>
              <w:rPr>
                <w:i/>
                <w:iCs/>
              </w:rPr>
              <w:t xml:space="preserve">(...)</w:t>
            </w:r>
            <w:r>
              <w:t xml:space="preserve">.</w:t>
            </w:r>
          </w:p>
        </w:tc>
      </w:tr>
    </w:tbl>
    <w:p>
      <w:pPr>
        <w:pStyle w:val="BlockText"/>
      </w:pPr>
      <w:r>
        <w:rPr>
          <w:b/>
          <w:bCs/>
        </w:rPr>
        <w:t xml:space="preserve">Note on CN 1211 90 86</w:t>
      </w:r>
      <w:r>
        <w:t xml:space="preserve">: This code (</w:t>
      </w:r>
      <w:r>
        <w:t xml:space="preserve">"other parts of the hemp plant"</w:t>
      </w:r>
      <w:r>
        <w:t xml:space="preserve">) is the key new feature of COM(2025) 553, including </w:t>
      </w:r>
      <w:r>
        <w:rPr>
          <w:b/>
          <w:bCs/>
        </w:rPr>
        <w:t xml:space="preserve">flowers, tops and biomass </w:t>
      </w:r>
      <w:r>
        <w:t xml:space="preserve">in the CMO regulatory framework </w:t>
      </w:r>
      <w:r>
        <w:t xml:space="preserve">for the first time</w:t>
      </w:r>
      <w:r>
        <w:t xml:space="preserve">. It is precisely this category that requires a robust threshold (1%) to enable the value chain of </w:t>
      </w:r>
      <w:r>
        <w:rPr>
          <w:b/>
          <w:bCs/>
        </w:rPr>
        <w:t xml:space="preserve">CBD extracts </w:t>
      </w:r>
      <w:r>
        <w:t xml:space="preserve">and derived products.</w:t>
      </w:r>
    </w:p>
    <w:p>
      <w:r>
        <w:pict>
          <v:rect style="width:0;height:1.5pt" o:hr="t" o:hrstd="t" o:hralign="center"/>
        </w:pict>
      </w:r>
    </w:p>
    <w:bookmarkEnd w:id="54"/>
    <w:bookmarkEnd w:id="55"/>
    <w:bookmarkStart w:name="cláusula-técnica-mínima-recomendada" w:id="56"/>
    <w:p>
      <w:pPr>
        <w:pStyle w:val="Heading2"/>
      </w:pPr>
      <w:r>
        <w:t xml:space="preserve">3.3 Recommended minimum technical clause</w:t>
      </w:r>
    </w:p>
    <w:p>
      <w:pPr>
        <w:pStyle w:val="FirstParagraph"/>
      </w:pPr>
      <w:r>
        <w:t xml:space="preserve">To avoid litigation due to differing interpretations, it is recommended that a technical reference be added to both instruments:</w:t>
      </w:r>
    </w:p>
    <w:p>
      <w:pPr>
        <w:pStyle w:val="BlockText"/>
      </w:pPr>
      <w:r>
        <w:rPr>
          <w:i/>
          <w:iCs/>
        </w:rPr>
        <w:t xml:space="preserve">"For the purposes of this Regulation, the tetrahydrocannabinol (Δ9-THC) content shall be determined </w:t>
      </w:r>
      <w:r>
        <w:rPr>
          <w:b/>
          <w:bCs/>
          <w:i/>
          <w:iCs/>
        </w:rPr>
        <w:t xml:space="preserve">on a dry matter basis (constant weight) </w:t>
      </w:r>
      <w:r>
        <w:rPr>
          <w:i/>
          <w:iCs/>
        </w:rPr>
        <w:t xml:space="preserve">and in accordance with the </w:t>
      </w:r>
      <w:r>
        <w:rPr>
          <w:b/>
          <w:bCs/>
          <w:i/>
          <w:iCs/>
        </w:rPr>
        <w:t xml:space="preserve">Union method </w:t>
      </w:r>
      <w:r>
        <w:rPr>
          <w:i/>
          <w:iCs/>
        </w:rPr>
        <w:t xml:space="preserve">set out in Annex III to Delegated Regulation (EU) 2017/1155 [31], or in the act replacing it."</w:t>
      </w:r>
    </w:p>
    <w:p>
      <w:r>
        <w:pict>
          <v:rect style="width:0;height:1.5pt" o:hr="t" o:hrstd="t" o:hralign="center"/>
        </w:pict>
      </w:r>
    </w:p>
    <w:bookmarkEnd w:id="56"/>
    <w:bookmarkStart w:name="conclusiones" w:id="57"/>
    <w:p>
      <w:pPr>
        <w:pStyle w:val="Heading2"/>
      </w:pPr>
      <w:r>
        <w:t xml:space="preserve">3.4 Conclusions</w:t>
      </w:r>
    </w:p>
    <w:p>
      <w:pPr>
        <w:pStyle w:val="FirstParagraph"/>
      </w:pPr>
      <w:r>
        <w:t xml:space="preserve">Raising the threshold to</w:t>
      </w:r>
      <w:r>
        <w:rPr>
          <w:b/>
          <w:bCs/>
        </w:rPr>
        <w:t xml:space="preserve"> 1.0% THC </w:t>
      </w:r>
      <w:r>
        <w:t xml:space="preserve">is not an excessive request: it is the logical conclusion of the reasoning initiated by the European Parliament and the sector itself. The same arguments that justify 0.5% logically lead to 1%, supported by:</w:t>
      </w:r>
    </w:p>
    <w:p>
      <w:pPr>
        <w:pStyle w:val="BodyText"/>
      </w:pPr>
      <w:r>
        <w:rPr>
          <w:b/>
          <w:bCs/>
        </w:rPr>
        <w:t xml:space="preserve">Historical basis</w:t>
      </w:r>
      <w:r>
        <w:t xml:space="preserve">: The 0.3% threshold was adopted </w:t>
      </w:r>
      <w:r>
        <w:rPr>
          <w:i/>
          <w:iCs/>
        </w:rPr>
        <w:t xml:space="preserve">"arbitrarily" </w:t>
      </w:r>
      <w:r>
        <w:t xml:space="preserve">for taxonomy in 1976, not for industrial regulation. Its own author, Dr Ernest Small, acknowledges that </w:t>
      </w:r>
      <w:r>
        <w:rPr>
          <w:i/>
          <w:iCs/>
        </w:rPr>
        <w:t xml:space="preserve">"1% THC would be a more suitable criterion</w:t>
      </w:r>
      <w:r>
        <w:t xml:space="preserve">".</w:t>
      </w:r>
    </w:p>
    <w:p>
      <w:pPr>
        <w:pStyle w:val="BodyText"/>
      </w:pPr>
      <w:r>
        <w:rPr>
          <w:b/>
          <w:bCs/>
        </w:rPr>
        <w:t xml:space="preserve">Agronomic basis</w:t>
      </w:r>
      <w:r>
        <w:t xml:space="preserve">: The highest-yielding varieties —Carmagnola (+87%), Asian germplasm (×4-7)— express THC in the range of 0.4-0.9%. A threshold of 0.3% systematically excludes the best available germplasm.</w:t>
      </w:r>
    </w:p>
    <w:p>
      <w:pPr>
        <w:pStyle w:val="BodyText"/>
      </w:pPr>
      <w:r>
        <w:rPr>
          <w:b/>
          <w:bCs/>
        </w:rPr>
        <w:t xml:space="preserve">International basis</w:t>
      </w:r>
      <w:r>
        <w:t xml:space="preserve">: More than 18 jurisdictions operate with 1% THC without public safety incidents. Europe, with 0.3%, is at a structural competitive disadvantage.</w:t>
      </w:r>
    </w:p>
    <w:p>
      <w:pPr>
        <w:pStyle w:val="BodyText"/>
      </w:pPr>
      <w:r>
        <w:rPr>
          <w:b/>
          <w:bCs/>
        </w:rPr>
        <w:t xml:space="preserve">Safety rationale</w:t>
      </w:r>
      <w:r>
        <w:t xml:space="preserve">: Pharmacokinetic evidence (×8-17 margins vs psychoactive threshold) and direct clinical trials confirm that 1% THC hemp </w:t>
      </w:r>
      <w:r>
        <w:rPr>
          <w:b/>
          <w:bCs/>
        </w:rPr>
        <w:t xml:space="preserve">does not produce psychoactive effects</w:t>
      </w:r>
      <w:r>
        <w:t xml:space="preserve">.</w:t>
      </w:r>
    </w:p>
    <w:p>
      <w:pPr>
        <w:pStyle w:val="BodyText"/>
      </w:pPr>
      <w:r>
        <w:t xml:space="preserve">The proposed reform will enable the hemp sector to contribute fully to the EU's climate and competitiveness objectives, with a </w:t>
      </w:r>
      <w:r>
        <w:rPr>
          <w:b/>
          <w:bCs/>
        </w:rPr>
        <w:t xml:space="preserve">harmonised, workable and defensible </w:t>
      </w:r>
      <w:r>
        <w:t xml:space="preserve">regulatory framework</w:t>
      </w:r>
      <w:r>
        <w:t xml:space="preserve">.</w:t>
      </w:r>
    </w:p>
    <w:p>
      <w:r>
        <w:pict>
          <v:rect style="width:0;height:1.5pt" o:hr="t" o:hrstd="t" o:hralign="center"/>
        </w:pict>
      </w:r>
    </w:p>
    <w:p>
      <w:r>
        <w:pict>
          <v:rect style="width:0;height:1.5pt" o:hr="t" o:hrstd="t" o:hralign="center"/>
        </w:pict>
      </w:r>
    </w:p>
    <w:bookmarkEnd w:id="57"/>
    <w:bookmarkEnd w:id="58"/>
    <w:bookmarkStart w:name="bibliografía" w:id="71"/>
    <w:p>
      <w:pPr>
        <w:pStyle w:val="Heading1"/>
      </w:pPr>
      <w:r>
        <w:t xml:space="preserve">BIBLIOGRAPHY</w:t>
      </w:r>
    </w:p>
    <w:bookmarkStart w:name="referencias-científicas" w:id="59"/>
    <w:p>
      <w:pPr>
        <w:pStyle w:val="Heading2"/>
      </w:pPr>
      <w:r>
        <w:t xml:space="preserve">Scientific References</w:t>
      </w:r>
    </w:p>
    <w:p>
      <w:pPr>
        <w:numPr>
          <w:ilvl w:val="0"/>
          <w:numId w:val="1008"/>
        </w:numPr>
      </w:pPr>
      <w:r>
        <w:t xml:space="preserve">Small E, Cronquist A. A practical and natural taxonomy for Cannabis. </w:t>
      </w:r>
      <w:r>
        <w:rPr>
          <w:i/>
          <w:iCs/>
        </w:rPr>
        <w:t xml:space="preserve">Taxon</w:t>
      </w:r>
      <w:r>
        <w:t xml:space="preserve">. 1976;25(4):405-435. DOI: https://www.jstor.org/stable/1220524</w:t>
      </w:r>
    </w:p>
    <w:p>
      <w:pPr>
        <w:numPr>
          <w:ilvl w:val="0"/>
          <w:numId w:val="1008"/>
        </w:numPr>
      </w:pPr>
      <w:r>
        <w:t xml:space="preserve">Small E. Statement on Regulated Maximum THC Levels in Industrial Hemp Inflorescence. Canadian Hemp Trade Association. 18 June 2021.</w:t>
      </w:r>
    </w:p>
    <w:p>
      <w:pPr>
        <w:numPr>
          <w:ilvl w:val="0"/>
          <w:numId w:val="1008"/>
        </w:numPr>
      </w:pPr>
      <w:r>
        <w:t xml:space="preserve">Small E, Beckstead HD, Chan A. The evolution of cannabinoid phenotypes in Cannabis. </w:t>
      </w:r>
      <w:r>
        <w:rPr>
          <w:i/>
          <w:iCs/>
        </w:rPr>
        <w:t xml:space="preserve">Economic Botany</w:t>
      </w:r>
      <w:r>
        <w:t xml:space="preserve">. 1975;29(2):219-232.</w:t>
      </w:r>
    </w:p>
    <w:p>
      <w:pPr>
        <w:numPr>
          <w:ilvl w:val="0"/>
          <w:numId w:val="1008"/>
        </w:numPr>
      </w:pPr>
      <w:r>
        <w:t xml:space="preserve">EFSA CONTAM Panel (EFSA Panel on Contaminants in the Food Chain). Scientific Opinion on the risks for human health related to the presence of tetrahydrocannabinol (THC) in milk and other food of animal origin. </w:t>
      </w:r>
      <w:r>
        <w:rPr>
          <w:i/>
          <w:iCs/>
        </w:rPr>
        <w:t xml:space="preserve">EFSA Journal</w:t>
      </w:r>
      <w:r>
        <w:t xml:space="preserve">. 2015;13(6):4141. DOI: 10.2903/j.efsa.2015.4141</w:t>
      </w:r>
    </w:p>
    <w:p>
      <w:pPr>
        <w:numPr>
          <w:ilvl w:val="0"/>
          <w:numId w:val="1008"/>
        </w:numPr>
      </w:pPr>
      <w:r>
        <w:t xml:space="preserve">Halker ET, Angima SD, Rongione BL, et al. Evaluating Chinese fibre hemp varieties and planting dates in North Carolina. </w:t>
      </w:r>
      <w:r>
        <w:rPr>
          <w:i/>
          <w:iCs/>
        </w:rPr>
        <w:t xml:space="preserve">Agrosystems, Geosciences &amp; Environment</w:t>
      </w:r>
      <w:r>
        <w:t xml:space="preserve">. 2024;7:e20569. DOI: 10.1002/agg2.20569</w:t>
      </w:r>
    </w:p>
    <w:p>
      <w:pPr>
        <w:numPr>
          <w:ilvl w:val="0"/>
          <w:numId w:val="1008"/>
        </w:numPr>
      </w:pPr>
      <w:r>
        <w:t xml:space="preserve">Rahemi A, Fatahi R, Ebadi A, et al. Morphological diversity and oil content of Cannabis sativa L. accessions. </w:t>
      </w:r>
      <w:r>
        <w:rPr>
          <w:i/>
          <w:iCs/>
        </w:rPr>
        <w:t xml:space="preserve">Agronomy</w:t>
      </w:r>
      <w:r>
        <w:t xml:space="preserve">. 2021;11(11):2321. DOI: 10.3390/agronomy11112321</w:t>
      </w:r>
    </w:p>
    <w:p>
      <w:pPr>
        <w:numPr>
          <w:ilvl w:val="0"/>
          <w:numId w:val="1008"/>
        </w:numPr>
      </w:pPr>
      <w:r>
        <w:t xml:space="preserve">Bócsa I. Breeding and seed production of monoecious hemp varieties (Cannabis sativa L.). </w:t>
      </w:r>
      <w:r>
        <w:rPr>
          <w:i/>
          <w:iCs/>
        </w:rPr>
        <w:t xml:space="preserve">Journal of the International Hemp Association</w:t>
      </w:r>
      <w:r>
        <w:t xml:space="preserve">. 1994;2(2):78–81.</w:t>
      </w:r>
    </w:p>
    <w:p>
      <w:pPr>
        <w:numPr>
          <w:ilvl w:val="0"/>
          <w:numId w:val="1008"/>
        </w:numPr>
      </w:pPr>
      <w:r>
        <w:t xml:space="preserve">Clarke RC, Merlin MD. Cannabis evolution and ethnobotany. </w:t>
      </w:r>
      <w:r>
        <w:rPr>
          <w:i/>
          <w:iCs/>
        </w:rPr>
        <w:t xml:space="preserve">Critical Reviews in Plant Sciences</w:t>
      </w:r>
      <w:r>
        <w:t xml:space="preserve">. 2016;35:293-327. DOI: 10.1080/07352689.2016.1273010</w:t>
      </w:r>
    </w:p>
    <w:p>
      <w:pPr>
        <w:numPr>
          <w:ilvl w:val="0"/>
          <w:numId w:val="1008"/>
        </w:numPr>
      </w:pPr>
      <w:r>
        <w:t xml:space="preserve">Zager JJ, Lange I, Srividya N, et al. Gene networks underlying cannabinoid and terpenoid accumulation in cannabis. </w:t>
      </w:r>
      <w:r>
        <w:rPr>
          <w:i/>
          <w:iCs/>
        </w:rPr>
        <w:t xml:space="preserve">Plant Physiology</w:t>
      </w:r>
      <w:r>
        <w:t xml:space="preserve">. 2019;180(4):1877-1897. DOI: 10.1104/pp.18.01506</w:t>
      </w:r>
    </w:p>
    <w:p>
      <w:pPr>
        <w:numPr>
          <w:ilvl w:val="0"/>
          <w:numId w:val="1008"/>
        </w:numPr>
      </w:pPr>
      <w:r>
        <w:t xml:space="preserve">Stack GM, Toth JA, Carlson CH, et al. Season-long characterisation of high-cannabinoid hemp (Cannabis sativa L.) reveals viable seed production and key physiological traits. </w:t>
      </w:r>
      <w:r>
        <w:rPr>
          <w:i/>
          <w:iCs/>
        </w:rPr>
        <w:t xml:space="preserve">Horticulture Research</w:t>
      </w:r>
      <w:r>
        <w:t xml:space="preserve">. 2023;10(11):uhad188. DOI: 10.1093/hr/uhad188</w:t>
      </w:r>
    </w:p>
    <w:p>
      <w:pPr>
        <w:numPr>
          <w:ilvl w:val="0"/>
          <w:numId w:val="1008"/>
        </w:numPr>
      </w:pPr>
      <w:r>
        <w:t xml:space="preserve">Huestis MA, Henningfield JE, Cone EJ. Blood cannabinoids. I. Absorption of THC and formation of 11-OH-THC and THCCOOH during and after smoking marijuana. </w:t>
      </w:r>
      <w:r>
        <w:rPr>
          <w:i/>
          <w:iCs/>
        </w:rPr>
        <w:t xml:space="preserve">Journal of Analytical Toxicology</w:t>
      </w:r>
      <w:r>
        <w:t xml:space="preserve">. 1992;16(5):276-282. PMID: 1338215</w:t>
      </w:r>
    </w:p>
    <w:p>
      <w:pPr>
        <w:numPr>
          <w:ilvl w:val="0"/>
          <w:numId w:val="1008"/>
        </w:numPr>
      </w:pPr>
      <w:r>
        <w:t xml:space="preserve">Huestis MA. Human cannabinoid pharmacokinetics. </w:t>
      </w:r>
      <w:r>
        <w:rPr>
          <w:i/>
          <w:iCs/>
        </w:rPr>
        <w:t xml:space="preserve">Chemistry &amp; Biodiversity</w:t>
      </w:r>
      <w:r>
        <w:t xml:space="preserve">. 2007;4(8):1770-1804. PMID: 17712819</w:t>
      </w:r>
    </w:p>
    <w:p>
      <w:pPr>
        <w:numPr>
          <w:ilvl w:val="0"/>
          <w:numId w:val="1008"/>
        </w:numPr>
      </w:pPr>
      <w:r>
        <w:t xml:space="preserve">Sheehan TJ, Hecksel CW, Marquez SS, et al. Quantitative analysis of cannabinoids in Cannabis smoke condensate using liquid chromatography-electrospray ionisation mass spectrometry. </w:t>
      </w:r>
      <w:r>
        <w:rPr>
          <w:i/>
          <w:iCs/>
        </w:rPr>
        <w:t xml:space="preserve">Journal of Analytical Toxicology</w:t>
      </w:r>
      <w:r>
        <w:t xml:space="preserve">. 2019;43(4):307-313. PMID: 31304445</w:t>
      </w:r>
    </w:p>
    <w:p>
      <w:pPr>
        <w:numPr>
          <w:ilvl w:val="0"/>
          <w:numId w:val="1008"/>
        </w:numPr>
      </w:pPr>
      <w:r>
        <w:t xml:space="preserve">Naef M, Russmann S, Petersen-Braun M, Brenneisen R. Development and pharmacokinetic characterisation of pulmonary and intravenous delta-9-tetrahydrocannabinol (THC) in humans. </w:t>
      </w:r>
      <w:r>
        <w:rPr>
          <w:i/>
          <w:iCs/>
        </w:rPr>
        <w:t xml:space="preserve">Journal of Pharmaceutical Sciences</w:t>
      </w:r>
      <w:r>
        <w:t xml:space="preserve">. 2004;93(5):1176-1184. PMID: 15067694</w:t>
      </w:r>
    </w:p>
    <w:p>
      <w:pPr>
        <w:numPr>
          <w:ilvl w:val="0"/>
          <w:numId w:val="1008"/>
        </w:numPr>
      </w:pPr>
      <w:r>
        <w:t xml:space="preserve">Wall ME, Sadler BM, Brine D, Taylor H, Perez-Reyes M. Metabolism, disposition, and kinetics of delta-9-tetrahydrocannabinol in men and women. </w:t>
      </w:r>
      <w:r>
        <w:rPr>
          <w:i/>
          <w:iCs/>
        </w:rPr>
        <w:t xml:space="preserve">Clinical Pharmacology &amp; Therapeutics</w:t>
      </w:r>
      <w:r>
        <w:t xml:space="preserve">. 1983;34(3):352-363. PMID: 6309462</w:t>
      </w:r>
    </w:p>
    <w:p>
      <w:pPr>
        <w:numPr>
          <w:ilvl w:val="0"/>
          <w:numId w:val="1008"/>
        </w:numPr>
      </w:pPr>
      <w:r>
        <w:t xml:space="preserve">McGilveray IJ. Pharmacokinetics of cannabinoids. </w:t>
      </w:r>
      <w:r>
        <w:rPr>
          <w:i/>
          <w:iCs/>
        </w:rPr>
        <w:t xml:space="preserve">Pain Research and Management</w:t>
      </w:r>
      <w:r>
        <w:t xml:space="preserve">. 2005;10 Suppl A:15A-22A. PMID: 16237477</w:t>
      </w:r>
    </w:p>
    <w:p>
      <w:pPr>
        <w:numPr>
          <w:ilvl w:val="0"/>
          <w:numId w:val="1008"/>
        </w:numPr>
      </w:pPr>
      <w:r>
        <w:t xml:space="preserve">Elzinga S, Fischedick J, Podkolinski R, Raber JC. Cannabinoids and terpenes as chemotaxonomic markers in cannabis. </w:t>
      </w:r>
      <w:r>
        <w:rPr>
          <w:i/>
          <w:iCs/>
        </w:rPr>
        <w:t xml:space="preserve">Natural Products Chemistry &amp; Research</w:t>
      </w:r>
      <w:r>
        <w:t xml:space="preserve">. 2015;3:163. DOI: 10.4172/2329-6836.1000163</w:t>
      </w:r>
    </w:p>
    <w:p>
      <w:pPr>
        <w:numPr>
          <w:ilvl w:val="0"/>
          <w:numId w:val="1008"/>
        </w:numPr>
      </w:pPr>
      <w:r>
        <w:t xml:space="preserve">Brym ZT, Panter KL, Gómez-Martínez C, et al. Molecular identification of Cannabis cultivars. </w:t>
      </w:r>
      <w:r>
        <w:rPr>
          <w:i/>
          <w:iCs/>
        </w:rPr>
        <w:t xml:space="preserve">Genetics</w:t>
      </w:r>
      <w:r>
        <w:t xml:space="preserve">. 2020;216(2):435–447. DOI: 10.1534/genetics.120.303511</w:t>
      </w:r>
    </w:p>
    <w:p>
      <w:pPr>
        <w:numPr>
          <w:ilvl w:val="0"/>
          <w:numId w:val="1008"/>
        </w:numPr>
      </w:pPr>
      <w:r>
        <w:t xml:space="preserve">Grotenhermen F, Karus M. Industrial hemp contains enough THC to be detected by sensitive drug tests. </w:t>
      </w:r>
      <w:r>
        <w:rPr>
          <w:i/>
          <w:iCs/>
        </w:rPr>
        <w:t xml:space="preserve">Journal of the International Hemp Association</w:t>
      </w:r>
      <w:r>
        <w:t xml:space="preserve">. 1998;5(2):96-101.</w:t>
      </w:r>
    </w:p>
    <w:p>
      <w:pPr>
        <w:numPr>
          <w:ilvl w:val="0"/>
          <w:numId w:val="1008"/>
        </w:numPr>
      </w:pPr>
      <w:r>
        <w:t xml:space="preserve">Perez-Reyes M, Timmons MC, Lipton MA, et al. Intravenous injection in man of Δ9-tetrahydrocannabinol and 11-OH-Δ9-tetrahydrocannabinol. </w:t>
      </w:r>
      <w:r>
        <w:rPr>
          <w:i/>
          <w:iCs/>
        </w:rPr>
        <w:t xml:space="preserve">Science</w:t>
      </w:r>
      <w:r>
        <w:t xml:space="preserve">. 1972;177(4046):633-635. PMID: 4625893</w:t>
      </w:r>
    </w:p>
    <w:p>
      <w:pPr>
        <w:numPr>
          <w:ilvl w:val="0"/>
          <w:numId w:val="1008"/>
        </w:numPr>
      </w:pPr>
      <w:r>
        <w:t xml:space="preserve">Arkell TR, Vinckenbosch F, Kevin RC, et al. Effect of Cannabidiol and Δ9-Tetrahydrocannabinol on Driving Performance: A Randomised Clinical Trial. </w:t>
      </w:r>
      <w:r>
        <w:rPr>
          <w:i/>
          <w:iCs/>
        </w:rPr>
        <w:t xml:space="preserve">JAMA</w:t>
      </w:r>
      <w:r>
        <w:t xml:space="preserve">. 2020;324(21):2177-2186. DOI: 10.1001/jama.2020.21218. PMID: 33258890</w:t>
      </w:r>
    </w:p>
    <w:p>
      <w:pPr>
        <w:numPr>
          <w:ilvl w:val="0"/>
          <w:numId w:val="1008"/>
        </w:numPr>
      </w:pPr>
      <w:r>
        <w:t xml:space="preserve">Egloff L, Frei P, Gerlach K, et al. Effect of vaporising cannabis rich in cannabidiol on cannabinoid levels in blood and on driving ability – a randomised clinical trial. </w:t>
      </w:r>
      <w:r>
        <w:rPr>
          <w:i/>
          <w:iCs/>
        </w:rPr>
        <w:t xml:space="preserve">International Journal of Legal Medicine</w:t>
      </w:r>
      <w:r>
        <w:t xml:space="preserve">. 2023;137(6):1713-1723. DOI: 10.1007/s00414-023-03076-0. PMID: 37626214</w:t>
      </w:r>
    </w:p>
    <w:p>
      <w:pPr>
        <w:numPr>
          <w:ilvl w:val="0"/>
          <w:numId w:val="1008"/>
        </w:numPr>
      </w:pPr>
      <w:r>
        <w:t xml:space="preserve">Spindle TR, Cone EJ, Goffi E, et al. Pharmacodynamic effects of vaporised and oral cannabidiol (CBD) and vaporised CBD-dominant cannabis in infrequent cannabis users. </w:t>
      </w:r>
      <w:r>
        <w:rPr>
          <w:i/>
          <w:iCs/>
        </w:rPr>
        <w:t xml:space="preserve">Drug and Alcohol Dependence</w:t>
      </w:r>
      <w:r>
        <w:t xml:space="preserve">. 2020;211:107937. DOI: 10.1016/j.drugalcdep.2020.107937. PMID: 32247649</w:t>
      </w:r>
    </w:p>
    <w:p>
      <w:pPr>
        <w:numPr>
          <w:ilvl w:val="0"/>
          <w:numId w:val="1008"/>
        </w:numPr>
      </w:pPr>
      <w:r>
        <w:t xml:space="preserve">Grotenhermen F. Pharmacokinetics and Pharmacodynamics of Cannabinoids. </w:t>
      </w:r>
      <w:r>
        <w:rPr>
          <w:i/>
          <w:iCs/>
        </w:rPr>
        <w:t xml:space="preserve">Clinical Pharmacokinetics</w:t>
      </w:r>
      <w:r>
        <w:t xml:space="preserve">. 2003;42(4):327-360. DOI: 10.2165/00003088-200342040-00003</w:t>
      </w:r>
    </w:p>
    <w:p>
      <w:pPr>
        <w:numPr>
          <w:ilvl w:val="0"/>
          <w:numId w:val="1008"/>
        </w:numPr>
      </w:pPr>
      <w:r>
        <w:t xml:space="preserve">Zuardi AW, Shirakawa I, Finkelfarb E, Karniol IG. Action of cannabidiol on the anxiety and other effects produced by delta 9-THC in normal subjects. </w:t>
      </w:r>
      <w:r>
        <w:rPr>
          <w:i/>
          <w:iCs/>
        </w:rPr>
        <w:t xml:space="preserve">Psychopharmacology</w:t>
      </w:r>
      <w:r>
        <w:t xml:space="preserve">. 1982;76(3):245-250. PMID: 6285406</w:t>
      </w:r>
    </w:p>
    <w:p>
      <w:pPr>
        <w:numPr>
          <w:ilvl w:val="0"/>
          <w:numId w:val="1008"/>
        </w:numPr>
      </w:pPr>
      <w:r>
        <w:t xml:space="preserve">Dalton WS, Martz R, Lemberger L, et al. Influence of cannabidiol on delta-9-tetrahydrocannabinol effects. </w:t>
      </w:r>
      <w:r>
        <w:rPr>
          <w:i/>
          <w:iCs/>
        </w:rPr>
        <w:t xml:space="preserve">Clinical Pharmacology &amp; Therapeutics</w:t>
      </w:r>
      <w:r>
        <w:t xml:space="preserve">. 1976;19(3):300-309. PMID: 770048</w:t>
      </w:r>
    </w:p>
    <w:p>
      <w:pPr>
        <w:numPr>
          <w:ilvl w:val="0"/>
          <w:numId w:val="1008"/>
        </w:numPr>
      </w:pPr>
      <w:r>
        <w:t xml:space="preserve">Freeman AM, Petrilli K, Lees R, et al. How does cannabidiol (CBD) influence the acute effects of delta-9-tetrahydrocannabinol (THC) in humans? A systematic review. </w:t>
      </w:r>
      <w:r>
        <w:rPr>
          <w:i/>
          <w:iCs/>
        </w:rPr>
        <w:t xml:space="preserve">Neuroscience &amp; Biobehavioral Reviews</w:t>
      </w:r>
      <w:r>
        <w:t xml:space="preserve">. 2019;107:696-712. DOI: 10.1016/j.neubiorev.2019.09.036. PMID: 31715240</w:t>
      </w:r>
    </w:p>
    <w:bookmarkEnd w:id="59"/>
    <w:bookmarkStart w:name="Xc2c9b59528f8b0fc79a33e74373825f8c7b8404" w:id="60"/>
    <w:p>
      <w:pPr>
        <w:pStyle w:val="Heading2"/>
      </w:pPr>
      <w:r>
        <w:t xml:space="preserve">European Union Regulatory References</w:t>
      </w:r>
    </w:p>
    <w:p>
      <w:pPr>
        <w:numPr>
          <w:ilvl w:val="0"/>
          <w:numId w:val="1009"/>
        </w:numPr>
      </w:pPr>
      <w:r>
        <w:t xml:space="preserve">European Commission. Proposal for a Regulation of the European Parliament and of the Council laying down the conditions for the implementation of Union support for the common agricultural policy for the period 2028-2034. COM(2025) 560 final. Brussels; 2025.</w:t>
      </w:r>
    </w:p>
    <w:p>
      <w:pPr>
        <w:numPr>
          <w:ilvl w:val="0"/>
          <w:numId w:val="1009"/>
        </w:numPr>
      </w:pPr>
      <w:r>
        <w:t xml:space="preserve">European Commission. Proposal for a Regulation of the European Parliament and of the Council amending Regulation (EU) No 1308/2013 as regards the school fruit, vegetables and milk scheme, sectoral interventions, the creation of a protein crops sector, requirements for hemp, the possibility of establishing marketing standards for cheese, protein crops and meat, the application of additional import duties, rules on the availability of supplies in times of emergency and serious crisis, and guarantees. COM(2025) 553 final. Brussels; 2025.</w:t>
      </w:r>
    </w:p>
    <w:p>
      <w:pPr>
        <w:numPr>
          <w:ilvl w:val="0"/>
          <w:numId w:val="1009"/>
        </w:numPr>
      </w:pPr>
      <w:r>
        <w:t xml:space="preserve">European Parliament. European Parliament resolution of 10 September 2025 on the future of agriculture and the common agricultural policy after 2027. P10_TA(2025)0189. Strasbourg; 2025.</w:t>
      </w:r>
    </w:p>
    <w:p>
      <w:pPr>
        <w:numPr>
          <w:ilvl w:val="0"/>
          <w:numId w:val="1009"/>
        </w:numPr>
      </w:pPr>
      <w:r>
        <w:t xml:space="preserve">Commission Delegated Regulation (EU) 2017/1155 of 15 June 2017 supplementing Regulation (EU) No 1308/2013 of the European Parliament and of the Council with regard to the method for determining the delta-9-tetrahydrocannabinol content of hemp varieties.</w:t>
      </w:r>
      <w:r>
        <w:t xml:space="preserve"> </w:t>
      </w:r>
      <w:r>
        <w:rPr>
          <w:i/>
          <w:iCs/>
        </w:rPr>
        <w:t xml:space="preserve">Official Journal of the European Union</w:t>
      </w:r>
      <w:r>
        <w:t xml:space="preserve">. 2017;L 167:24-26.</w:t>
      </w:r>
    </w:p>
    <w:p>
      <w:pPr>
        <w:numPr>
          <w:ilvl w:val="0"/>
          <w:numId w:val="1009"/>
        </w:numPr>
      </w:pPr>
      <w:r>
        <w:t xml:space="preserve">Regulation (EU) No 1308/2013 of the European Parliament and of the Council of 17 December 2013 establishing a common organisation of the markets in agricultural products. </w:t>
      </w:r>
      <w:r>
        <w:rPr>
          <w:i/>
          <w:iCs/>
        </w:rPr>
        <w:t xml:space="preserve">Official Journal of the European Union</w:t>
      </w:r>
      <w:r>
        <w:t xml:space="preserve">. 2013;L 347:671-854.</w:t>
      </w:r>
    </w:p>
    <w:p>
      <w:pPr>
        <w:numPr>
          <w:ilvl w:val="0"/>
          <w:numId w:val="1009"/>
        </w:numPr>
      </w:pPr>
      <w:r>
        <w:t xml:space="preserve">Regulation (EU) 2021/2115 of the European Parliament and of the Council of 2 December 2021 laying down rules on support for strategic plans to be drawn up by Member States under the common agricultural policy. </w:t>
      </w:r>
      <w:r>
        <w:rPr>
          <w:i/>
          <w:iCs/>
        </w:rPr>
        <w:t xml:space="preserve">Official Journal of the European Union</w:t>
      </w:r>
      <w:r>
        <w:t xml:space="preserve">. 2021;L 435:1-186.</w:t>
      </w:r>
    </w:p>
    <w:bookmarkEnd w:id="60"/>
    <w:bookmarkStart w:name="referencias-institucionales" w:id="61"/>
    <w:p>
      <w:pPr>
        <w:pStyle w:val="Heading2"/>
      </w:pPr>
      <w:r>
        <w:t xml:space="preserve">Institutional References</w:t>
      </w:r>
    </w:p>
    <w:p>
      <w:pPr>
        <w:numPr>
          <w:ilvl w:val="0"/>
          <w:numId w:val="1010"/>
        </w:numPr>
      </w:pPr>
      <w:r>
        <w:t xml:space="preserve">Spanish Congress of Deputies. Non-legislative proposal in committee to promote regulation of hemp for industrial purposes and non-psychoactive cannabis that protects growers, processors, marketers and users. 161/004332. Madrid; 25 January 2023.</w:t>
      </w:r>
    </w:p>
    <w:p>
      <w:pPr>
        <w:numPr>
          <w:ilvl w:val="0"/>
          <w:numId w:val="1010"/>
        </w:numPr>
      </w:pPr>
      <w:r>
        <w:t xml:space="preserve">European Industrial Hemp Association (EIHA). Position Paper CAP 2028–2032: For a competitive European hemp sector. Brussels; 2025.</w:t>
      </w:r>
    </w:p>
    <w:p>
      <w:pPr>
        <w:numPr>
          <w:ilvl w:val="0"/>
          <w:numId w:val="1010"/>
        </w:numPr>
      </w:pPr>
      <w:r>
        <w:t xml:space="preserve">National Institute of Toxicology and Forensic Sciences (INTF). Table of minimum psychoactive doses of the main toxic substances trafficked as drugs. Madrid; updated 1 August 2021.</w:t>
      </w:r>
    </w:p>
    <w:p>
      <w:pPr>
        <w:numPr>
          <w:ilvl w:val="0"/>
          <w:numId w:val="1010"/>
        </w:numPr>
      </w:pPr>
      <w:r>
        <w:t xml:space="preserve">Single Convention on Narcotic Drugs, 1961, as amended by the 1972 Protocol amending the Single Convention on Narcotic Drugs, 1961. United Nations; 1961.</w:t>
      </w:r>
    </w:p>
    <w:p>
      <w:pPr>
        <w:numPr>
          <w:ilvl w:val="0"/>
          <w:numId w:val="1010"/>
        </w:numPr>
      </w:pPr>
      <w:r>
        <w:t xml:space="preserve">Treaty on the Functioning of the European Union (TFEU). </w:t>
      </w:r>
      <w:r>
        <w:rPr>
          <w:i/>
          <w:iCs/>
        </w:rPr>
        <w:t xml:space="preserve">Official Journal of the European Union</w:t>
      </w:r>
      <w:r>
        <w:t xml:space="preserve">. 2012; C 326:47-390. Consolidated version.</w:t>
      </w:r>
    </w:p>
    <w:bookmarkEnd w:id="61"/>
    <w:bookmarkStart w:name="jurisprudencia-del-tjue" w:id="62"/>
    <w:p>
      <w:pPr>
        <w:pStyle w:val="Heading2"/>
      </w:pPr>
      <w:r>
        <w:t xml:space="preserve">Case law of the CJEU</w:t>
      </w:r>
    </w:p>
    <w:p>
      <w:pPr>
        <w:numPr>
          <w:ilvl w:val="0"/>
          <w:numId w:val="1011"/>
        </w:numPr>
      </w:pPr>
      <w:r>
        <w:t xml:space="preserve">CJEU. Judgment of 19 November 2020, B.S. and C.A. (Kanavape), C-663/18, EU:C:2020:938. Free movement of goods and CBD extracted from hemp flowers.</w:t>
      </w:r>
    </w:p>
    <w:p>
      <w:pPr>
        <w:numPr>
          <w:ilvl w:val="0"/>
          <w:numId w:val="1011"/>
        </w:numPr>
      </w:pPr>
      <w:r>
        <w:t xml:space="preserve">CJEU. Judgment of 28 April 1988, Mulder, C-120/86, EU:C:1988:213. Principle of legitimate expectations in the agricultural sector.</w:t>
      </w:r>
    </w:p>
    <w:p>
      <w:pPr>
        <w:numPr>
          <w:ilvl w:val="0"/>
          <w:numId w:val="1011"/>
        </w:numPr>
      </w:pPr>
      <w:r>
        <w:t xml:space="preserve">CJEU. Judgment of 14 May 1975, CNTA, C-74/74, EU:C:1975:59. Principle of legitimate expectations and tolerance on the part of the authorities.</w:t>
      </w:r>
    </w:p>
    <w:p>
      <w:pPr>
        <w:numPr>
          <w:ilvl w:val="0"/>
          <w:numId w:val="1011"/>
        </w:numPr>
      </w:pPr>
      <w:r>
        <w:t xml:space="preserve">CJEU. Judgment of 26 June 1990, Sofrimport, C-152/88, EU:C:1990:259. Protection of operators who have committed resources in good faith.</w:t>
      </w:r>
    </w:p>
    <w:p>
      <w:pPr>
        <w:numPr>
          <w:ilvl w:val="0"/>
          <w:numId w:val="1011"/>
        </w:numPr>
      </w:pPr>
      <w:r>
        <w:t xml:space="preserve">CJEU. Judgment of 10 September 2009, Plantanol, C-201/08, EU:C:2009:539. Regulatory changes and obligation to adopt transitional measures.</w:t>
      </w:r>
    </w:p>
    <w:bookmarkEnd w:id="62"/>
    <w:bookmarkStart w:name="documentación-internacional" w:id="63"/>
    <w:p>
      <w:pPr>
        <w:pStyle w:val="Heading2"/>
      </w:pPr>
      <w:r>
        <w:t xml:space="preserve">International documentation</w:t>
      </w:r>
    </w:p>
    <w:p>
      <w:pPr>
        <w:numPr>
          <w:ilvl w:val="0"/>
          <w:numId w:val="1012"/>
        </w:numPr>
      </w:pPr>
      <w:r>
        <w:t xml:space="preserve">Swiss Federal Narcotics Act (Betäubungsmittelgesetz, BetmG). RS 812.121. Bern; version of 1 January 2011.</w:t>
      </w:r>
    </w:p>
    <w:p>
      <w:pPr>
        <w:numPr>
          <w:ilvl w:val="0"/>
          <w:numId w:val="1012"/>
        </w:numPr>
      </w:pPr>
      <w:r>
        <w:t xml:space="preserve">Luxembourg Tobacco Control Act. Law of 11 August 2017 on tobacco control and the sale of tobacco products. Official Journal of the Grand Duchy of Luxembourg; 2017.</w:t>
      </w:r>
    </w:p>
    <w:p>
      <w:pPr>
        <w:numPr>
          <w:ilvl w:val="0"/>
          <w:numId w:val="1012"/>
        </w:numPr>
      </w:pPr>
      <w:r>
        <w:t xml:space="preserve">Uruguayan Ministry of Livestock, Agriculture and Fisheries (MGAP). Procedure for exporting hemp flowers or biomass to the United States. Montevideo; December 2022.</w:t>
      </w:r>
    </w:p>
    <w:p>
      <w:pPr>
        <w:numPr>
          <w:ilvl w:val="0"/>
          <w:numId w:val="1012"/>
        </w:numPr>
      </w:pPr>
      <w:r>
        <w:t xml:space="preserve">Health Canada. Information for Health Care Professionals: Cannabis (marihuana, marijuana) and the cannabinoids. Ottawa; 2013.</w:t>
      </w:r>
    </w:p>
    <w:p>
      <w:pPr>
        <w:numPr>
          <w:ilvl w:val="0"/>
          <w:numId w:val="1012"/>
        </w:numPr>
      </w:pPr>
      <w:r>
        <w:t xml:space="preserve">World Health Organisation (WHO). Cannabidiol (CBD): Critical Review Report. Geneva; Expert Committee on Drug Dependence; 2018.</w:t>
      </w:r>
    </w:p>
    <w:bookmarkEnd w:id="63"/>
    <w:bookmarkStart w:name="referencias-de-farmacopeas" w:id="64"/>
    <w:p>
      <w:pPr>
        <w:pStyle w:val="Heading2"/>
      </w:pPr>
      <w:r>
        <w:t xml:space="preserve">Pharmacopoeia references</w:t>
      </w:r>
    </w:p>
    <w:p>
      <w:pPr>
        <w:numPr>
          <w:ilvl w:val="0"/>
          <w:numId w:val="1013"/>
        </w:numPr>
      </w:pPr>
      <w:r>
        <w:t xml:space="preserve">European Pharmacopoeia. Cannabis flos. Monograph 3028. 10th ed. Strasbourg: European Directorate for the Quality of Medicines &amp; HealthCare; 2020.</w:t>
      </w:r>
    </w:p>
    <w:p>
      <w:pPr>
        <w:numPr>
          <w:ilvl w:val="0"/>
          <w:numId w:val="1013"/>
        </w:numPr>
      </w:pPr>
      <w:r>
        <w:t xml:space="preserve">Deutsches Arzneibuch (DAB). Cannabis extractum normatum. Official monograph. Stuttgart: Deutscher Apotheker Verlag; 2020.</w:t>
      </w:r>
    </w:p>
    <w:bookmarkEnd w:id="64"/>
    <w:bookmarkStart w:name="referencias-adicionales" w:id="65"/>
    <w:p>
      <w:pPr>
        <w:pStyle w:val="Heading2"/>
      </w:pPr>
      <w:r>
        <w:t xml:space="preserve">Additional References</w:t>
      </w:r>
    </w:p>
    <w:p>
      <w:pPr>
        <w:numPr>
          <w:ilvl w:val="0"/>
          <w:numId w:val="1014"/>
        </w:numPr>
      </w:pPr>
      <w:r>
        <w:t xml:space="preserve">Grand Duchy of Luxembourg. Grand-Ducal Regulation of 22 December 2023 amending the Grand-Ducal Regulation of 26 April 2018 implementing certain provisions of the Law of 11 August 2006 on tobacco control. </w:t>
      </w:r>
      <w:r>
        <w:rPr>
          <w:i/>
          <w:iCs/>
        </w:rPr>
        <w:t xml:space="preserve">Official Journal of the Grand Duchy of Luxembourg</w:t>
      </w:r>
      <w:r>
        <w:t xml:space="preserve">. 2023.</w:t>
      </w:r>
    </w:p>
    <w:p>
      <w:pPr>
        <w:numPr>
          <w:ilvl w:val="0"/>
          <w:numId w:val="1014"/>
        </w:numPr>
      </w:pPr>
      <w:r>
        <w:t xml:space="preserve">Italian Republic. Law No. 242 of 2 December 2016. Provisions for the promotion of hemp cultivation and the agro-industrial supply chain. </w:t>
      </w:r>
      <w:r>
        <w:rPr>
          <w:i/>
          <w:iCs/>
        </w:rPr>
        <w:t xml:space="preserve">Official Gazette</w:t>
      </w:r>
      <w:r>
        <w:t xml:space="preserve">. 2016;304. Art. 4: tolerance threshold 0.6% THC.</w:t>
      </w:r>
    </w:p>
    <w:p>
      <w:pPr>
        <w:numPr>
          <w:ilvl w:val="0"/>
          <w:numId w:val="1014"/>
        </w:numPr>
      </w:pPr>
      <w:r>
        <w:t xml:space="preserve">Council Regulation (EEC) No. 1430/82 of 18 May 1982. </w:t>
      </w:r>
      <w:r>
        <w:rPr>
          <w:i/>
          <w:iCs/>
        </w:rPr>
        <w:t xml:space="preserve">Official Journal of the European Communities</w:t>
      </w:r>
      <w:r>
        <w:t xml:space="preserve">. 1982;L 162:27. Establishment of the THC threshold for industrial hemp in the EEC.</w:t>
      </w:r>
    </w:p>
    <w:p>
      <w:pPr>
        <w:numPr>
          <w:ilvl w:val="0"/>
          <w:numId w:val="1014"/>
        </w:numPr>
      </w:pPr>
      <w:r>
        <w:t xml:space="preserve">Republic of South Africa. Cannabis for Private Purposes Act, 2024 (Act No. 18 of 2024). </w:t>
      </w:r>
      <w:r>
        <w:rPr>
          <w:i/>
          <w:iCs/>
        </w:rPr>
        <w:t xml:space="preserve">Government Gazette</w:t>
      </w:r>
      <w:r>
        <w:t xml:space="preserve">. December 2025. Establishes a threshold of 2.0% THC for industrial hemp.</w:t>
      </w:r>
    </w:p>
    <w:p>
      <w:pPr>
        <w:numPr>
          <w:ilvl w:val="0"/>
          <w:numId w:val="1014"/>
        </w:numPr>
      </w:pPr>
      <w:r>
        <w:t xml:space="preserve">Swissmedic (Swiss Agency for Therapeutic Products). Cannabis and Cannabinoids as Medicines: Information for Professionals. Bern; updated 2024.</w:t>
      </w:r>
    </w:p>
    <w:p>
      <w:pPr>
        <w:numPr>
          <w:ilvl w:val="0"/>
          <w:numId w:val="1014"/>
        </w:numPr>
      </w:pPr>
      <w:r>
        <w:t xml:space="preserve">Česká republika. Act Col. 166/2024 Sb. (Zákon č. 166/2024 Sb.). </w:t>
      </w:r>
      <w:r>
        <w:rPr>
          <w:i/>
          <w:iCs/>
        </w:rPr>
        <w:t xml:space="preserve">Sbírka zákonů</w:t>
      </w:r>
      <w:r>
        <w:t xml:space="preserve">. 2024. Threshold of 1.0% THC for industrial hemp.</w:t>
      </w:r>
    </w:p>
    <w:p>
      <w:pPr>
        <w:numPr>
          <w:ilvl w:val="0"/>
          <w:numId w:val="1014"/>
        </w:numPr>
      </w:pPr>
      <w:r>
        <w:t xml:space="preserve">Directive 2014/40/EU of the European Parliament and of the Council of 3 April 2014 on the approximation of the laws, regulations and administrative provisions of the Member States concerning the manufacture, presentation and sale of tobacco and related products. </w:t>
      </w:r>
      <w:r>
        <w:rPr>
          <w:i/>
          <w:iCs/>
        </w:rPr>
        <w:t xml:space="preserve">Official Journal of the European Union</w:t>
      </w:r>
      <w:r>
        <w:t xml:space="preserve">. 2014;L 127:1-38.</w:t>
      </w:r>
    </w:p>
    <w:p>
      <w:pPr>
        <w:numPr>
          <w:ilvl w:val="0"/>
          <w:numId w:val="1014"/>
        </w:numPr>
      </w:pPr>
      <w:r>
        <w:t xml:space="preserve">European Commission. EU-Mercosur Association Agreement: text of the trade agreement. Brussels; 17 January 2026.</w:t>
      </w:r>
    </w:p>
    <w:p>
      <w:pPr>
        <w:numPr>
          <w:ilvl w:val="0"/>
          <w:numId w:val="1014"/>
        </w:numPr>
      </w:pPr>
      <w:r>
        <w:t xml:space="preserve">World Trade Organisation. Agreement on Technical Barriers to Trade (TBT Agreement). Uruguay Round; 1994. Art. 2.2: necessity test for technical measures.</w:t>
      </w:r>
    </w:p>
    <w:p>
      <w:pPr>
        <w:numPr>
          <w:ilvl w:val="0"/>
          <w:numId w:val="1014"/>
        </w:numPr>
      </w:pPr>
      <w:r>
        <w:t xml:space="preserve">Finnan J, Styles D. Hemp: A more sustainable annual energy crop for climate and energy policy. </w:t>
      </w:r>
      <w:r>
        <w:rPr>
          <w:i/>
          <w:iCs/>
        </w:rPr>
        <w:t xml:space="preserve">Energy Policy</w:t>
      </w:r>
      <w:r>
        <w:t xml:space="preserve">. 2013;58:152-162. DOI: 10.1016/j.enpol.2013.02.046. Biomass-CO₂ conversion factor: 1 kg dry biomass = 1.62 kg CO₂ sequestered.</w:t>
      </w:r>
    </w:p>
    <w:bookmarkEnd w:id="65"/>
    <w:bookmarkStart w:name="X6b73ddd299356e25ea726ad35b2f13833351891" w:id="69"/>
    <w:p>
      <w:pPr>
        <w:pStyle w:val="Heading2"/>
      </w:pPr>
      <w:r>
        <w:t xml:space="preserve">International Legislative References (Jurisdictions with threshold ≥1% THC)</w:t>
      </w:r>
    </w:p>
    <w:bookmarkStart w:name="latinoamérica" w:id="66"/>
    <w:p>
      <w:pPr>
        <w:pStyle w:val="Heading3"/>
      </w:pPr>
      <w:r>
        <w:t xml:space="preserve">Latin America</w:t>
      </w:r>
    </w:p>
    <w:p>
      <w:pPr>
        <w:numPr>
          <w:ilvl w:val="0"/>
          <w:numId w:val="1015"/>
        </w:numPr>
      </w:pPr>
      <w:r>
        <w:t xml:space="preserve">Argentine Republic. Law 27,669 on the Development of the Cannabis Industry. </w:t>
      </w:r>
      <w:r>
        <w:rPr>
          <w:i/>
          <w:iCs/>
        </w:rPr>
        <w:t xml:space="preserve">Official Gazette</w:t>
      </w:r>
      <w:r>
        <w:t xml:space="preserve">. 2022. Regulatory Decree 405/2023. Threshold of 1.0% THC for industrial hemp.</w:t>
      </w:r>
    </w:p>
    <w:p>
      <w:pPr>
        <w:numPr>
          <w:ilvl w:val="0"/>
          <w:numId w:val="1015"/>
        </w:numPr>
      </w:pPr>
      <w:r>
        <w:t xml:space="preserve">Republic of Paraguay. Decree 2725/2019. Regulatory framework for industrial hemp. </w:t>
      </w:r>
      <w:r>
        <w:rPr>
          <w:i/>
          <w:iCs/>
        </w:rPr>
        <w:t xml:space="preserve">Official Gazette</w:t>
      </w:r>
      <w:r>
        <w:t xml:space="preserve">. 2019. 1.0% THC threshold.</w:t>
      </w:r>
    </w:p>
    <w:p>
      <w:pPr>
        <w:numPr>
          <w:ilvl w:val="0"/>
          <w:numId w:val="1015"/>
        </w:numPr>
      </w:pPr>
      <w:r>
        <w:t xml:space="preserve">Republic of Chile. Law 20,000 (Drug Law) + SAG/ISP technical criteria. Exempt Resolution. 2021. Exclusion from narcotics control for cannabis ≤1% THC.</w:t>
      </w:r>
    </w:p>
    <w:p>
      <w:pPr>
        <w:numPr>
          <w:ilvl w:val="0"/>
          <w:numId w:val="1015"/>
        </w:numPr>
      </w:pPr>
      <w:r>
        <w:t xml:space="preserve">Republic of Colombia. Law 1787/2016 + Decree 613/2017. Regulatory framework for medical cannabis and industrial hemp. </w:t>
      </w:r>
      <w:r>
        <w:rPr>
          <w:i/>
          <w:iCs/>
        </w:rPr>
        <w:t xml:space="preserve">Official Gazette</w:t>
      </w:r>
      <w:r>
        <w:t xml:space="preserve">. 1.0% THC threshold.</w:t>
      </w:r>
    </w:p>
    <w:p>
      <w:pPr>
        <w:numPr>
          <w:ilvl w:val="0"/>
          <w:numId w:val="1015"/>
        </w:numPr>
      </w:pPr>
      <w:r>
        <w:t xml:space="preserve">Republic of Ecuador. Ministerial Agreement 109-2020. Regulation of non-psychoactive cannabis. </w:t>
      </w:r>
      <w:r>
        <w:rPr>
          <w:i/>
          <w:iCs/>
        </w:rPr>
        <w:t xml:space="preserve">Official Register</w:t>
      </w:r>
      <w:r>
        <w:t xml:space="preserve">. 2020. Threshold of 1.0% THC.</w:t>
      </w:r>
    </w:p>
    <w:p>
      <w:pPr>
        <w:numPr>
          <w:ilvl w:val="0"/>
          <w:numId w:val="1015"/>
        </w:numPr>
      </w:pPr>
      <w:r>
        <w:t xml:space="preserve">Republic of Peru. Law 32195. Law regulating the use of industrial hemp and its derivatives. </w:t>
      </w:r>
      <w:r>
        <w:rPr>
          <w:i/>
          <w:iCs/>
        </w:rPr>
        <w:t xml:space="preserve">El Peruano</w:t>
      </w:r>
      <w:r>
        <w:t xml:space="preserve">. December 2024. Threshold of 1.0% THC.</w:t>
      </w:r>
    </w:p>
    <w:p>
      <w:pPr>
        <w:numPr>
          <w:ilvl w:val="0"/>
          <w:numId w:val="1015"/>
        </w:numPr>
      </w:pPr>
      <w:r>
        <w:t xml:space="preserve">United Mexican States. General Health Law, Article 245. 2017 reform. Exclusion of industrial hemp (≤1% THC) from the narcotics regime.</w:t>
      </w:r>
    </w:p>
    <w:p>
      <w:pPr>
        <w:numPr>
          <w:ilvl w:val="0"/>
          <w:numId w:val="1015"/>
        </w:numPr>
      </w:pPr>
      <w:r>
        <w:t xml:space="preserve">Republic of Costa Rica. Law 10113 (Industrial Hemp Law) + Technical Regulation RTCR 515:2024. </w:t>
      </w:r>
      <w:r>
        <w:rPr>
          <w:i/>
          <w:iCs/>
        </w:rPr>
        <w:t xml:space="preserve">La Gaceta</w:t>
      </w:r>
      <w:r>
        <w:t xml:space="preserve">. 2022/2024. Threshold of 1.0% THC.</w:t>
      </w:r>
    </w:p>
    <w:p>
      <w:pPr>
        <w:numPr>
          <w:ilvl w:val="0"/>
          <w:numId w:val="1015"/>
        </w:numPr>
      </w:pPr>
      <w:r>
        <w:t xml:space="preserve">Republic of Panama. Law 464 of 2025. Regulation of the cultivation and industrialisation of hemp. </w:t>
      </w:r>
      <w:r>
        <w:rPr>
          <w:i/>
          <w:iCs/>
        </w:rPr>
        <w:t xml:space="preserve">Official Gazette</w:t>
      </w:r>
      <w:r>
        <w:t xml:space="preserve">. March 2025. Threshold of 1.0% THC.</w:t>
      </w:r>
    </w:p>
    <w:p>
      <w:pPr>
        <w:numPr>
          <w:ilvl w:val="0"/>
          <w:numId w:val="1015"/>
        </w:numPr>
      </w:pPr>
      <w:r>
        <w:t xml:space="preserve">Jamaica. Dangerous Drugs (Amendment) Act, 2015. </w:t>
      </w:r>
      <w:r>
        <w:rPr>
          <w:i/>
          <w:iCs/>
        </w:rPr>
        <w:t xml:space="preserve">Jamaica Gazette</w:t>
      </w:r>
      <w:r>
        <w:t xml:space="preserve">. April 2015. Legal definition of hemp: cannabis with ≤1% THC.</w:t>
      </w:r>
    </w:p>
    <w:bookmarkEnd w:id="66"/>
    <w:bookmarkStart w:name="oceanía" w:id="67"/>
    <w:p>
      <w:pPr>
        <w:pStyle w:val="Heading3"/>
      </w:pPr>
      <w:r>
        <w:t xml:space="preserve">Oceania</w:t>
      </w:r>
    </w:p>
    <w:p>
      <w:pPr>
        <w:numPr>
          <w:ilvl w:val="0"/>
          <w:numId w:val="1016"/>
        </w:numPr>
      </w:pPr>
      <w:r>
        <w:t xml:space="preserve">New Zealand. Misuse of Drugs (Amendments Relating to Hemp) Regulations 2025. </w:t>
      </w:r>
      <w:r>
        <w:rPr>
          <w:i/>
          <w:iCs/>
        </w:rPr>
        <w:t xml:space="preserve">New Zealand Gazette</w:t>
      </w:r>
      <w:r>
        <w:t xml:space="preserve">. December 2025. Threshold of 1.0% THC for cultivation and products.</w:t>
      </w:r>
    </w:p>
    <w:p>
      <w:pPr>
        <w:numPr>
          <w:ilvl w:val="0"/>
          <w:numId w:val="1016"/>
        </w:numPr>
      </w:pPr>
      <w:r>
        <w:t xml:space="preserve">Australia. Industrial Hemp Acts (variable state legislation: Queensland, Victoria, NSW, etc.). Harvest threshold generally set at 1.0% THC to recognise natural crop fluctuation.</w:t>
      </w:r>
    </w:p>
    <w:p>
      <w:pPr>
        <w:numPr>
          <w:ilvl w:val="0"/>
          <w:numId w:val="1016"/>
        </w:numPr>
      </w:pPr>
      <w:r>
        <w:t xml:space="preserve">Republic of Fiji. Illicit Drugs Control Act 2022 (Amendment). </w:t>
      </w:r>
      <w:r>
        <w:rPr>
          <w:i/>
          <w:iCs/>
        </w:rPr>
        <w:t xml:space="preserve">Fiji Government Gazette</w:t>
      </w:r>
      <w:r>
        <w:t xml:space="preserve">. July 2022. 1.0% THC threshold for industrial hemp.</w:t>
      </w:r>
    </w:p>
    <w:bookmarkEnd w:id="67"/>
    <w:bookmarkStart w:name="áfrica-y-oriente-medio" w:id="68"/>
    <w:p>
      <w:pPr>
        <w:pStyle w:val="Heading3"/>
      </w:pPr>
      <w:r>
        <w:t xml:space="preserve">Africa and the Middle East</w:t>
      </w:r>
    </w:p>
    <w:p>
      <w:pPr>
        <w:numPr>
          <w:ilvl w:val="0"/>
          <w:numId w:val="1017"/>
        </w:numPr>
      </w:pPr>
      <w:r>
        <w:t xml:space="preserve">Kingdom of Morocco. Law 13-21 on the lawful uses of cannabis + National Agency for the Regulation of Cannabis-Related Activities (ANRAC). </w:t>
      </w:r>
      <w:r>
        <w:rPr>
          <w:i/>
          <w:iCs/>
        </w:rPr>
        <w:t xml:space="preserve">Official Bulletin</w:t>
      </w:r>
      <w:r>
        <w:t xml:space="preserve">. 2021. Threshold of 1.0% THC.</w:t>
      </w:r>
    </w:p>
    <w:p>
      <w:pPr>
        <w:numPr>
          <w:ilvl w:val="0"/>
          <w:numId w:val="1017"/>
        </w:numPr>
      </w:pPr>
      <w:r>
        <w:t xml:space="preserve">Lebanese Republic. Law 178/2020. Legalisation of industrial cannabis cultivation. </w:t>
      </w:r>
      <w:r>
        <w:rPr>
          <w:i/>
          <w:iCs/>
        </w:rPr>
        <w:t xml:space="preserve">Official Journal</w:t>
      </w:r>
      <w:r>
        <w:t xml:space="preserve">. April 2020. 1.0% THC threshold.</w:t>
      </w:r>
    </w:p>
    <w:p>
      <w:pPr>
        <w:numPr>
          <w:ilvl w:val="0"/>
          <w:numId w:val="1017"/>
        </w:numPr>
      </w:pPr>
      <w:r>
        <w:t xml:space="preserve">Republic of Malawi. Cannabis Regulation Act, 2020. </w:t>
      </w:r>
      <w:r>
        <w:rPr>
          <w:i/>
          <w:iCs/>
        </w:rPr>
        <w:t xml:space="preserve">Malawi Gazette</w:t>
      </w:r>
      <w:r>
        <w:t xml:space="preserve">. May 2020. 1.0% THC threshold for industrial hemp.</w:t>
      </w:r>
    </w:p>
    <w:p>
      <w:pPr>
        <w:numPr>
          <w:ilvl w:val="0"/>
          <w:numId w:val="1017"/>
        </w:numPr>
      </w:pPr>
      <w:r>
        <w:t xml:space="preserve">Republic of Zimbabwe. Criminal Law (Codification and Reform) Amendment Bill (Cannabis Regulations). </w:t>
      </w:r>
      <w:r>
        <w:rPr>
          <w:i/>
          <w:iCs/>
        </w:rPr>
        <w:t xml:space="preserve">Government Gazette</w:t>
      </w:r>
      <w:r>
        <w:t xml:space="preserve">. February 2023. 1.0% THC threshold.</w:t>
      </w:r>
    </w:p>
    <w:bookmarkEnd w:id="68"/>
    <w:bookmarkEnd w:id="69"/>
    <w:bookmarkStart w:name="X19e227d40019402c63396e70856927f1381224b" w:id="70"/>
    <w:p>
      <w:pPr>
        <w:pStyle w:val="Heading2"/>
      </w:pPr>
      <w:r>
        <w:t xml:space="preserve">Supporting References (Calculations and Methodology)</w:t>
      </w:r>
    </w:p>
    <w:p>
      <w:pPr>
        <w:numPr>
          <w:ilvl w:val="0"/>
          <w:numId w:val="1018"/>
        </w:numPr>
      </w:pPr>
      <w:r>
        <w:t xml:space="preserve">EMCDDA (European Monitoring Centre for Drugs and Drug Addiction). European Drug Report 2024: Trends and Developments. Luxembourg: Publications Office of the European Union; 2024. Typical THC concentrations in illicit European cannabis: average 10-15%, maximum &gt;20%. Note: The calculation </w:t>
      </w:r>
      <w:r>
        <w:t xml:space="preserve">"13-43 times more biomass" </w:t>
      </w:r>
      <w:r>
        <w:t xml:space="preserve">is derived from: THC illicit cannabis (≥13%) / THC hemp (1% max.) = 13×; THC illicit (13%) / THC hemp (0.3% min.) = 43×.</w:t>
      </w:r>
    </w:p>
    <w:p>
      <w:pPr>
        <w:numPr>
          <w:ilvl w:val="0"/>
          <w:numId w:val="1018"/>
        </w:numPr>
      </w:pPr>
      <w:r>
        <w:t xml:space="preserve">Regulation (EU) 2019/515 of the European Parliament and of the Council of 19 March 2019 on the mutual recognition of goods lawfully marketed in another Member State</w:t>
      </w:r>
      <w:r>
        <w:t xml:space="preserve">. </w:t>
      </w:r>
      <w:r>
        <w:rPr>
          <w:i/>
          <w:iCs/>
        </w:rPr>
        <w:t xml:space="preserve">Official Journal of the European Union</w:t>
      </w:r>
      <w:r>
        <w:t xml:space="preserve">. 2019;L 91:1-18.</w:t>
      </w:r>
    </w:p>
    <w:p>
      <w:pPr>
        <w:numPr>
          <w:ilvl w:val="0"/>
          <w:numId w:val="1018"/>
        </w:numPr>
      </w:pPr>
      <w:r>
        <w:t xml:space="preserve">Republika e Shqipërisë. Ligji Nr. 61/2023 </w:t>
      </w:r>
      <w:r>
        <w:t xml:space="preserve">“Për kultivimin, prodhimin dhe tregtimin e bimëve mjekësore dhe aromatike” </w:t>
      </w:r>
      <w:r>
        <w:t xml:space="preserve">(Cannabis Law). </w:t>
      </w:r>
      <w:r>
        <w:rPr>
          <w:i/>
          <w:iCs/>
        </w:rPr>
        <w:t xml:space="preserve">Fletorja Zyrtare</w:t>
      </w:r>
      <w:r>
        <w:t xml:space="preserve">. 2023. Threshold of 0.8% THC for industrial hemp.</w:t>
      </w:r>
    </w:p>
    <w:p>
      <w:pPr>
        <w:numPr>
          <w:ilvl w:val="0"/>
          <w:numId w:val="1018"/>
        </w:numPr>
      </w:pPr>
      <w:r>
        <w:t xml:space="preserve">CJEU. Judgment of 20 February 1979, Rewe-Zentral AG v Bundesmonopolverwaltung für Branntwein (</w:t>
      </w:r>
      <w:r>
        <w:rPr>
          <w:i/>
          <w:iCs/>
        </w:rPr>
        <w:t xml:space="preserve">Cassis de Dijon</w:t>
      </w:r>
      <w:r>
        <w:t xml:space="preserve">), C-120/78, EU:C:1979:42. Foundational principle of mutual recognition.</w:t>
      </w:r>
    </w:p>
    <w:p>
      <w:r>
        <w:pict>
          <v:rect style="width:0;height:1.5pt" o:hr="t" o:hrstd="t" o:hralign="center"/>
        </w:pict>
      </w:r>
    </w:p>
    <w:p>
      <w:pPr>
        <w:pStyle w:val="FirstParagraph"/>
      </w:pPr>
      <w:r>
        <w:rPr>
          <w:i/>
          <w:iCs/>
        </w:rPr>
        <w:t xml:space="preserve">This document compiles verified evidence from the AECANI/Cannabis Hub repository.</w:t>
      </w:r>
    </w:p>
    <w:p>
      <w:pPr>
        <w:pStyle w:val="BodyText"/>
      </w:pPr>
      <w:r>
        <w:rPr>
          <w:b/>
          <w:bCs/>
        </w:rPr>
        <w:t xml:space="preserve">Cannabis Hub — January 2026</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61">
    <w:nsid w:val="0A994161"/>
    <w:multiLevelType w:val="multilevel"/>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78">
    <w:nsid w:val="0A994178"/>
    <w:multiLevelType w:val="multilevel"/>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3">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6">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1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8">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hyperlink" Target="ANEXOS.md#a5-efecto-modulador-del-cbd" TargetMode="External"/><Relationship Id="rId44" Type="http://schemas.openxmlformats.org/officeDocument/2006/relationships/hyperlink" Target="ANEXOS.md#anexo-a-metodolog&#237;a-farmacocin&#233;tica--an&#225;lisis-de-seguridad-del-c&#225;&#241;amo-al-1-thc-inhalado" TargetMode="External"/><Relationship Id="rId27" Type="http://schemas.openxmlformats.org/officeDocument/2006/relationships/hyperlink" Target="ANEXOS.md#anexo-b-evidencia-agron&#243;mica-detallada--rendimiento-y-coste-de-oportunidad" TargetMode="External"/><Relationship Id="rId37" Type="http://schemas.openxmlformats.org/officeDocument/2006/relationships/hyperlink" Target="ANEXOS.md#anexo-c-comparativa-internacional-detallada--jurisdicciones-con-umbral-1-thc" TargetMode="External"/><Relationship Id="rId20" Type="http://schemas.openxmlformats.org/officeDocument/2006/relationships/hyperlink" Target="ANEXOS.md#anexo-d-fundamento-jur&#237;dico--principio-de-confianza-leg&#237;tima-y-doctrina-kanavape"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ANEXOS.md#a5-efecto-modulador-del-cbd" TargetMode="External"/><Relationship Id="rId44" Type="http://schemas.openxmlformats.org/officeDocument/2006/relationships/hyperlink" Target="ANEXOS.md#anexo-a-metodolog&#237;a-farmacocin&#233;tica--an&#225;lisis-de-seguridad-del-c&#225;&#241;amo-al-1-thc-inhalado" TargetMode="External"/><Relationship Id="rId27" Type="http://schemas.openxmlformats.org/officeDocument/2006/relationships/hyperlink" Target="ANEXOS.md#anexo-b-evidencia-agron&#243;mica-detallada--rendimiento-y-coste-de-oportunidad" TargetMode="External"/><Relationship Id="rId37" Type="http://schemas.openxmlformats.org/officeDocument/2006/relationships/hyperlink" Target="ANEXOS.md#anexo-c-comparativa-internacional-detallada--jurisdicciones-con-umbral-1-thc" TargetMode="External"/><Relationship Id="rId20" Type="http://schemas.openxmlformats.org/officeDocument/2006/relationships/hyperlink" Target="ANEXOS.md#anexo-d-fundamento-jur&#237;dico--principio-de-confianza-leg&#237;tima-y-doctrina-kanava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docId:06FDF71F90209B113527B7463437934B</keywords>
  <dcterms:created xsi:type="dcterms:W3CDTF">2026-01-26T00:15:18.0000000Z</dcterms:created>
  <dcterms:modified xsi:type="dcterms:W3CDTF">2026-01-26T00:15:18.0000000Z</dcterms:modified>
</coreProperties>
</file>

<file path=docProps/custom.xml><?xml version="1.0" encoding="utf-8"?>
<Properties xmlns="http://schemas.openxmlformats.org/officeDocument/2006/custom-properties" xmlns:vt="http://schemas.openxmlformats.org/officeDocument/2006/docPropsVTypes"/>
</file>