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osition-paper"/>
    <w:p>
      <w:pPr>
        <w:pStyle w:val="Heading1"/>
      </w:pPr>
      <w:r>
        <w:t xml:space="preserve">POSITION PAPER</w:t>
      </w:r>
    </w:p>
    <w:bookmarkStart w:id="10" w:name="hemp-sector-proposal-for-cap-2028-2034"/>
    <w:p>
      <w:pPr>
        <w:pStyle w:val="Heading2"/>
      </w:pPr>
      <w:r>
        <w:t xml:space="preserve">Hemp sector proposal for CAP 2028-2034:</w:t>
      </w:r>
    </w:p>
    <w:bookmarkStart w:id="9" w:name="X29bbdd6beed89d5bbd389543e774061013641ac"/>
    <w:p>
      <w:pPr>
        <w:pStyle w:val="Heading3"/>
      </w:pPr>
      <w:r>
        <w:t xml:space="preserve">Alignment with international THC standards.</w:t>
      </w:r>
    </w:p>
    <w:p>
      <w:pPr>
        <w:pStyle w:val="FirstParagraph"/>
      </w:pPr>
      <w:r>
        <w:t xml:space="preserve">Cannabis Hub - January 2026</w:t>
      </w:r>
      <w:r>
        <w:t xml:space="preserve"> </w:t>
      </w:r>
      <w:r>
        <w:rPr>
          <w:b/>
          <w:bCs/>
        </w:rPr>
        <w:t xml:space="preserve">Cannabis Hub - January 2026</w:t>
      </w:r>
      <w:r>
        <w:t xml:space="preserve">.</w:t>
      </w:r>
    </w:p>
    <w:p>
      <w:r>
        <w:pict>
          <v:rect style="width:0;height:1.5pt" o:hralign="center" o:hrstd="t" o:hr="t"/>
        </w:pict>
      </w:r>
    </w:p>
    <w:bookmarkEnd w:id="9"/>
    <w:bookmarkEnd w:id="10"/>
    <w:bookmarkStart w:id="11" w:name="executive-summary"/>
    <w:p>
      <w:pPr>
        <w:pStyle w:val="Heading2"/>
      </w:pPr>
      <w:r>
        <w:t xml:space="preserve">Executive Summary</w:t>
      </w:r>
    </w:p>
    <w:p>
      <w:pPr>
        <w:pStyle w:val="FirstParagraph"/>
      </w:pPr>
      <w:r>
        <w:t xml:space="preserve">The European Commission has proposed the new CAP 2028-2034 (COM(2025) 560) and the revision of the CMO (COM(2025) 553), where</w:t>
      </w:r>
      <w:r>
        <w:t xml:space="preserve"> </w:t>
      </w:r>
      <w:r>
        <w:rPr>
          <w:b/>
          <w:bCs/>
        </w:rPr>
        <w:t xml:space="preserve">significant improvements</w:t>
      </w:r>
      <w:r>
        <w:t xml:space="preserve"> </w:t>
      </w:r>
      <w:r>
        <w:t xml:space="preserve">appear for the industrial hemp sector. Furthermore, the European Parliament has also spoken out to strengthen the regulatory framework for hemp and to help this crop given its</w:t>
      </w:r>
      <w:r>
        <w:t xml:space="preserve"> </w:t>
      </w:r>
      <w:r>
        <w:rPr>
          <w:b/>
          <w:bCs/>
        </w:rPr>
        <w:t xml:space="preserve">environmental, economic and social advantages</w:t>
      </w:r>
      <w:r>
        <w:t xml:space="preserve">.</w:t>
      </w:r>
    </w:p>
    <w:p>
      <w:pPr>
        <w:pStyle w:val="BodyText"/>
      </w:pPr>
      <w:r>
        <w:t xml:space="preserve">The European and Spanish hemp sector</w:t>
      </w:r>
      <w:r>
        <w:t xml:space="preserve"> </w:t>
      </w:r>
      <w:r>
        <w:rPr>
          <w:b/>
          <w:bCs/>
        </w:rPr>
        <w:t xml:space="preserve">welcomes</w:t>
      </w:r>
      <w:r>
        <w:t xml:space="preserve"> </w:t>
      </w:r>
      <w:r>
        <w:t xml:space="preserve">this willingness to improve, as well as the European Parliament’s recognition of the need to overcome regulatory criteria that have become obsolete. In order to effectively align with international standards -as the Parliament itself has expressed-, we request the establishment of a</w:t>
      </w:r>
      <w:r>
        <w:t xml:space="preserve"> </w:t>
      </w:r>
      <w:r>
        <w:rPr>
          <w:b/>
          <w:bCs/>
        </w:rPr>
        <w:t xml:space="preserve">new harmonized THC threshold</w:t>
      </w:r>
      <w:r>
        <w:t xml:space="preserve"> </w:t>
      </w:r>
      <w:r>
        <w:t xml:space="preserve">at the Union level.</w:t>
      </w:r>
    </w:p>
    <w:p>
      <w:pPr>
        <w:pStyle w:val="BodyText"/>
      </w:pPr>
      <w:r>
        <w:t xml:space="preserve">Cannabis Hub proposes this threshold for industrial hemp in line with the decision of the Agriculture Commission of the Congress of Deputies (PNL 161/004332, January 2023), which established the need to align Spain with international standards, setting the safe limit at</w:t>
      </w:r>
      <w:r>
        <w:t xml:space="preserve"> </w:t>
      </w:r>
      <w:r>
        <w:rPr>
          <w:b/>
          <w:bCs/>
        </w:rPr>
        <w:t xml:space="preserve">1% THC</w:t>
      </w:r>
      <w:r>
        <w:t xml:space="preserve">.</w:t>
      </w:r>
    </w:p>
    <w:p>
      <w:pPr>
        <w:pStyle w:val="BodyText"/>
      </w:pPr>
      <w:r>
        <w:t xml:space="preserve">These measures are</w:t>
      </w:r>
      <w:r>
        <w:t xml:space="preserve"> </w:t>
      </w:r>
      <w:r>
        <w:rPr>
          <w:b/>
          <w:bCs/>
        </w:rPr>
        <w:t xml:space="preserve">legally sound</w:t>
      </w:r>
      <w:r>
        <w:t xml:space="preserve">,</w:t>
      </w:r>
      <w:r>
        <w:t xml:space="preserve"> </w:t>
      </w:r>
      <w:r>
        <w:rPr>
          <w:b/>
          <w:bCs/>
        </w:rPr>
        <w:t xml:space="preserve">scientifically justified</w:t>
      </w:r>
      <w:r>
        <w:t xml:space="preserve">,</w:t>
      </w:r>
      <w:r>
        <w:t xml:space="preserve"> </w:t>
      </w:r>
      <w:r>
        <w:rPr>
          <w:b/>
          <w:bCs/>
        </w:rPr>
        <w:t xml:space="preserve">proportionate</w:t>
      </w:r>
      <w:r>
        <w:t xml:space="preserve"> </w:t>
      </w:r>
      <w:r>
        <w:t xml:space="preserve">and</w:t>
      </w:r>
      <w:r>
        <w:t xml:space="preserve"> </w:t>
      </w:r>
      <w:r>
        <w:rPr>
          <w:b/>
          <w:bCs/>
        </w:rPr>
        <w:t xml:space="preserve">complementary</w:t>
      </w:r>
      <w:r>
        <w:t xml:space="preserve">.</w:t>
      </w:r>
    </w:p>
    <w:p>
      <w:pPr>
        <w:pStyle w:val="BodyText"/>
      </w:pPr>
      <w:r>
        <w:t xml:space="preserve">A harmonized threshold aligned with international standards would</w:t>
      </w:r>
      <w:r>
        <w:t xml:space="preserve"> </w:t>
      </w:r>
      <w:r>
        <w:rPr>
          <w:b/>
          <w:bCs/>
        </w:rPr>
        <w:t xml:space="preserve">strengthen the internal market</w:t>
      </w:r>
      <w:r>
        <w:t xml:space="preserve">,</w:t>
      </w:r>
      <w:r>
        <w:t xml:space="preserve"> </w:t>
      </w:r>
      <w:r>
        <w:rPr>
          <w:b/>
          <w:bCs/>
        </w:rPr>
        <w:t xml:space="preserve">guarantee legal certainty</w:t>
      </w:r>
      <w:r>
        <w:t xml:space="preserve"> </w:t>
      </w:r>
      <w:r>
        <w:t xml:space="preserve">for farmers and breeders,</w:t>
      </w:r>
      <w:r>
        <w:t xml:space="preserve"> </w:t>
      </w:r>
      <w:r>
        <w:rPr>
          <w:b/>
          <w:bCs/>
        </w:rPr>
        <w:t xml:space="preserve">restore competitiveness</w:t>
      </w:r>
      <w:r>
        <w:t xml:space="preserve"> </w:t>
      </w:r>
      <w:r>
        <w:t xml:space="preserve">vis-Ã -vis global producers and</w:t>
      </w:r>
      <w:r>
        <w:t xml:space="preserve"> </w:t>
      </w:r>
      <w:r>
        <w:rPr>
          <w:b/>
          <w:bCs/>
        </w:rPr>
        <w:t xml:space="preserve">reflect agronomic and climatic realities</w:t>
      </w:r>
      <w:r>
        <w:t xml:space="preserve">, without risk of abuse or harm to public health.</w:t>
      </w:r>
    </w:p>
    <w:p>
      <w:r>
        <w:pict>
          <v:rect style="width:0;height:1.5pt" o:hralign="center" o:hrstd="t" o:hr="t"/>
        </w:pict>
      </w:r>
    </w:p>
    <w:bookmarkEnd w:id="11"/>
    <w:bookmarkStart w:id="14" w:name="detailed-table-of-contents"/>
    <w:p>
      <w:pPr>
        <w:pStyle w:val="Heading2"/>
      </w:pPr>
      <w:r>
        <w:t xml:space="preserve">Detailed table of contents</w:t>
      </w:r>
    </w:p>
    <w:p>
      <w:pPr>
        <w:pStyle w:val="Compact"/>
        <w:numPr>
          <w:ilvl w:val="0"/>
          <w:numId w:val="1001"/>
        </w:numPr>
      </w:pPr>
      <w:hyperlink w:anchor="X02bc3b2fa81d3b565ce0571bf95dd2f3259dbe7">
        <w:r>
          <w:rPr>
            <w:rStyle w:val="Hyperlink"/>
          </w:rPr>
          <w:t xml:space="preserve">Institutional Momentum</w:t>
        </w:r>
      </w:hyperlink>
    </w:p>
    <w:p>
      <w:pPr>
        <w:pStyle w:val="Compact"/>
        <w:numPr>
          <w:ilvl w:val="0"/>
          <w:numId w:val="1001"/>
        </w:numPr>
      </w:pPr>
      <w:r>
        <w:t xml:space="preserve">[Justification of the proposed threshold](#2-justification-of-the-proposed-threshold](#2-justification-of-the-proposed-threshold)</w:t>
      </w:r>
    </w:p>
    <w:p>
      <w:pPr>
        <w:pStyle w:val="Compact"/>
        <w:numPr>
          <w:ilvl w:val="1"/>
          <w:numId w:val="1002"/>
        </w:numPr>
      </w:pPr>
      <w:r>
        <w:t xml:space="preserve">2.0</w:t>
      </w:r>
      <w:r>
        <w:t xml:space="preserve"> </w:t>
      </w:r>
      <w:hyperlink w:anchor="X1915e9f8b8bf35bd98b2ff8fb7378271950dd6c">
        <w:r>
          <w:rPr>
            <w:rStyle w:val="Hyperlink"/>
          </w:rPr>
          <w:t xml:space="preserve">Framework: A Convergence of Arguments</w:t>
        </w:r>
      </w:hyperlink>
    </w:p>
    <w:p>
      <w:pPr>
        <w:pStyle w:val="Compact"/>
        <w:numPr>
          <w:ilvl w:val="1"/>
          <w:numId w:val="1002"/>
        </w:numPr>
      </w:pPr>
      <w:r>
        <w:t xml:space="preserve">2.1</w:t>
      </w:r>
      <w:r>
        <w:t xml:space="preserve"> </w:t>
      </w:r>
      <w:hyperlink w:anchor="X2b78bdd6ec84bc6e2c8ea1f53f07c24dce49400">
        <w:r>
          <w:rPr>
            <w:rStyle w:val="Hyperlink"/>
          </w:rPr>
          <w:t xml:space="preserve">Historical argument: Refutation of 0.3%</w:t>
        </w:r>
      </w:hyperlink>
    </w:p>
    <w:p>
      <w:pPr>
        <w:pStyle w:val="Compact"/>
        <w:numPr>
          <w:ilvl w:val="1"/>
          <w:numId w:val="1002"/>
        </w:numPr>
      </w:pPr>
      <w:r>
        <w:t xml:space="preserve">2.2</w:t>
      </w:r>
      <w:r>
        <w:t xml:space="preserve"> </w:t>
      </w:r>
      <w:hyperlink w:anchor="X573577c9251a4a2ba4dba0c5169d228d69a382a">
        <w:r>
          <w:rPr>
            <w:rStyle w:val="Hyperlink"/>
          </w:rPr>
          <w:t xml:space="preserve">Scientific-environmental argument: Yield and climate</w:t>
        </w:r>
      </w:hyperlink>
    </w:p>
    <w:p>
      <w:pPr>
        <w:pStyle w:val="Compact"/>
        <w:numPr>
          <w:ilvl w:val="1"/>
          <w:numId w:val="1002"/>
        </w:numPr>
      </w:pPr>
      <w:r>
        <w:t xml:space="preserve">2.3</w:t>
      </w:r>
      <w:r>
        <w:t xml:space="preserve"> </w:t>
      </w:r>
      <w:hyperlink w:anchor="X813354691361aa94df919e8b362c74f14c7dfc7">
        <w:r>
          <w:rPr>
            <w:rStyle w:val="Hyperlink"/>
          </w:rPr>
          <w:t xml:space="preserve">Political-economic argument: International competitiveness</w:t>
        </w:r>
      </w:hyperlink>
    </w:p>
    <w:p>
      <w:pPr>
        <w:pStyle w:val="Compact"/>
        <w:numPr>
          <w:ilvl w:val="1"/>
          <w:numId w:val="1002"/>
        </w:numPr>
      </w:pPr>
      <w:r>
        <w:t xml:space="preserve">2.4</w:t>
      </w:r>
      <w:r>
        <w:t xml:space="preserve"> </w:t>
      </w:r>
      <w:hyperlink w:anchor="Xa6ebeb18909494934360e18aee583ac1fb06152">
        <w:r>
          <w:rPr>
            <w:rStyle w:val="Hyperlink"/>
          </w:rPr>
          <w:t xml:space="preserve">Social argument: Safety and public health</w:t>
        </w:r>
      </w:hyperlink>
    </w:p>
    <w:p>
      <w:pPr>
        <w:pStyle w:val="Compact"/>
        <w:numPr>
          <w:ilvl w:val="2"/>
          <w:numId w:val="1003"/>
        </w:numPr>
      </w:pPr>
      <w:r>
        <w:t xml:space="preserve">2.4.0 Evaluation framework: realism vs. theory</w:t>
      </w:r>
    </w:p>
    <w:p>
      <w:pPr>
        <w:pStyle w:val="Compact"/>
        <w:numPr>
          <w:ilvl w:val="2"/>
          <w:numId w:val="1003"/>
        </w:numPr>
      </w:pPr>
      <w:r>
        <w:t xml:space="preserve">2.4.1 What governs this threshold?</w:t>
      </w:r>
    </w:p>
    <w:p>
      <w:pPr>
        <w:pStyle w:val="Compact"/>
        <w:numPr>
          <w:ilvl w:val="2"/>
          <w:numId w:val="1003"/>
        </w:numPr>
      </w:pPr>
      <w:r>
        <w:t xml:space="preserve">2.4.2 Theoretical abuse scenarios: why they are unrealistic</w:t>
      </w:r>
    </w:p>
    <w:p>
      <w:pPr>
        <w:pStyle w:val="Compact"/>
        <w:numPr>
          <w:ilvl w:val="2"/>
          <w:numId w:val="1003"/>
        </w:numPr>
      </w:pPr>
      <w:r>
        <w:t xml:space="preserve">2.4.3 Modulatory effects and additional factors</w:t>
      </w:r>
    </w:p>
    <w:p>
      <w:pPr>
        <w:pStyle w:val="Compact"/>
        <w:numPr>
          <w:ilvl w:val="2"/>
          <w:numId w:val="1003"/>
        </w:numPr>
      </w:pPr>
      <w:r>
        <w:t xml:space="preserve">2.4.4 Safety conclusion</w:t>
      </w:r>
    </w:p>
    <w:p>
      <w:pPr>
        <w:pStyle w:val="Compact"/>
        <w:numPr>
          <w:ilvl w:val="2"/>
          <w:numId w:val="1003"/>
        </w:numPr>
      </w:pPr>
      <w:r>
        <w:t xml:space="preserve">2.4.5 European precedent: over a decade of uneventful sales</w:t>
      </w:r>
    </w:p>
    <w:p>
      <w:pPr>
        <w:pStyle w:val="Compact"/>
        <w:numPr>
          <w:ilvl w:val="0"/>
          <w:numId w:val="1001"/>
        </w:numPr>
      </w:pPr>
      <w:hyperlink w:anchor="X61103a377fa74a0808b80295cd79283b191a3f9">
        <w:r>
          <w:rPr>
            <w:rStyle w:val="Hyperlink"/>
          </w:rPr>
          <w:t xml:space="preserve">Conclusion and Proposed Amendment</w:t>
        </w:r>
      </w:hyperlink>
    </w:p>
    <w:p>
      <w:pPr>
        <w:pStyle w:val="Compact"/>
        <w:numPr>
          <w:ilvl w:val="0"/>
          <w:numId w:val="1001"/>
        </w:numPr>
      </w:pPr>
      <w:r>
        <w:t xml:space="preserve">Annexes</w:t>
      </w:r>
    </w:p>
    <w:p>
      <w:pPr>
        <w:pStyle w:val="Compact"/>
        <w:numPr>
          <w:ilvl w:val="1"/>
          <w:numId w:val="1004"/>
        </w:numPr>
      </w:pPr>
      <w:r>
        <w:t xml:space="preserve">Annex A: Scientific evidence](#annex-a-scientific-evidence)</w:t>
      </w:r>
    </w:p>
    <w:p>
      <w:pPr>
        <w:pStyle w:val="Compact"/>
        <w:numPr>
          <w:ilvl w:val="1"/>
          <w:numId w:val="1004"/>
        </w:numPr>
      </w:pPr>
      <w:r>
        <w:t xml:space="preserve">Annex B: International Comparison](#annex-b-international-comparison)</w:t>
      </w:r>
    </w:p>
    <w:p>
      <w:pPr>
        <w:pStyle w:val="Heading2"/>
        <w:numPr>
          <w:ilvl w:val="1"/>
          <w:numId w:val="1004"/>
        </w:numPr>
      </w:pPr>
      <w:bookmarkStart w:id="12" w:name="Xdc0cc835933e200fd6721d4b5b000827d3f279a"/>
      <w:r>
        <w:t xml:space="preserve">Annex C: Text of proposed amendment](#annex-c-text-amendment-proposal)</w:t>
      </w:r>
      <w:bookmarkEnd w:id="12"/>
    </w:p>
    <w:p>
      <w:pPr>
        <w:pStyle w:val="Heading1"/>
        <w:numPr>
          <w:ilvl w:val="1"/>
          <w:numId w:val="1000"/>
        </w:numPr>
      </w:pPr>
      <w:bookmarkStart w:id="13" w:name="institutional-momentum"/>
      <w:r>
        <w:t xml:space="preserve">1. INSTITUTIONAL MOMENTUM</w:t>
      </w:r>
      <w:bookmarkEnd w:id="13"/>
    </w:p>
    <w:p>
      <w:pPr>
        <w:pStyle w:val="FirstParagraph"/>
      </w:pPr>
      <w:r>
        <w:t xml:space="preserve">The debate on the THC threshold for industrial hemp is situated in the framework of the</w:t>
      </w:r>
      <w:r>
        <w:t xml:space="preserve"> </w:t>
      </w:r>
      <w:r>
        <w:rPr>
          <w:b/>
          <w:bCs/>
        </w:rPr>
        <w:t xml:space="preserve">PAC and the CMO</w:t>
      </w:r>
      <w:r>
        <w:t xml:space="preserve">, not in the field of narcotic drugs. The 1961 Single Convention expressly states (Art. 28.2) that its provisions</w:t>
      </w:r>
      <w:r>
        <w:t xml:space="preserve"> </w:t>
      </w:r>
      <w:r>
        <w:rPr>
          <w:b/>
          <w:bCs/>
        </w:rPr>
        <w:t xml:space="preserve">“shall not apply to the cultivation of the cannabis plant intended exclusively for industrial (fiber and seeds) or horticultural purposes”</w:t>
      </w:r>
      <w:r>
        <w:t xml:space="preserve">. The THC threshold is therefore a matter of agricultural policy and the internal market.</w:t>
      </w:r>
    </w:p>
    <w:bookmarkEnd w:id="14"/>
    <w:bookmarkStart w:id="15" w:name="X1887e1254259b8f181f4afc5f491f3e7fdbd6be"/>
    <w:p>
      <w:pPr>
        <w:pStyle w:val="Heading2"/>
      </w:pPr>
      <w:r>
        <w:t xml:space="preserve">1.1 Mandate of the Congress of Deputies: Spain has already asked for 1%.</w:t>
      </w:r>
    </w:p>
    <w:p>
      <w:pPr>
        <w:pStyle w:val="FirstParagraph"/>
      </w:pPr>
      <w:r>
        <w:t xml:space="preserve">On January 25, 2023, the Congress of Deputies processed</w:t>
      </w:r>
      <w:r>
        <w:t xml:space="preserve"> </w:t>
      </w:r>
      <w:r>
        <w:rPr>
          <w:b/>
          <w:bCs/>
        </w:rPr>
        <w:t xml:space="preserve">ProposiciÃ³n No de Ley 161/004332</w:t>
      </w:r>
      <w:r>
        <w:t xml:space="preserve"> </w:t>
      </w:r>
      <w:r>
        <w:t xml:space="preserve">in the Committee on Agriculture, Fisheries and Food. Point 3 of the NLP states:</w:t>
      </w:r>
    </w:p>
    <w:p>
      <w:pPr>
        <w:pStyle w:val="BlockText"/>
      </w:pPr>
      <w:r>
        <w:rPr>
          <w:i/>
          <w:iCs/>
        </w:rPr>
        <w:t xml:space="preserve">“To establish in a future regulation of non-psychoactive cannabis the limitation of the percentage of THC to</w:t>
      </w:r>
      <w:r>
        <w:rPr>
          <w:i/>
          <w:iCs/>
        </w:rPr>
        <w:t xml:space="preserve"> </w:t>
      </w:r>
      <w:r>
        <w:rPr>
          <w:b/>
          <w:bCs/>
          <w:i/>
          <w:iCs/>
        </w:rPr>
        <w:t xml:space="preserve">1%</w:t>
      </w:r>
      <w:r>
        <w:rPr>
          <w:i/>
          <w:iCs/>
        </w:rPr>
        <w:t xml:space="preserve">, thus ensuring the absence of narcotic effects, as well as a higher yield of crops and their sustainability according to the</w:t>
      </w:r>
      <w:r>
        <w:rPr>
          <w:i/>
          <w:iCs/>
        </w:rPr>
        <w:t xml:space="preserve"> </w:t>
      </w:r>
      <w:r>
        <w:rPr>
          <w:b/>
          <w:bCs/>
          <w:i/>
          <w:iCs/>
        </w:rPr>
        <w:t xml:space="preserve">European Green Pact</w:t>
      </w:r>
      <w:r>
        <w:rPr>
          <w:i/>
          <w:iCs/>
        </w:rPr>
        <w:t xml:space="preserve">; something that, if not done, would force to operate in this market with a</w:t>
      </w:r>
      <w:r>
        <w:rPr>
          <w:i/>
          <w:iCs/>
        </w:rPr>
        <w:t xml:space="preserve"> </w:t>
      </w:r>
      <w:r>
        <w:rPr>
          <w:b/>
          <w:bCs/>
          <w:i/>
          <w:iCs/>
        </w:rPr>
        <w:t xml:space="preserve">clear disadvantage</w:t>
      </w:r>
      <w:r>
        <w:rPr>
          <w:i/>
          <w:iCs/>
        </w:rPr>
        <w:t xml:space="preserve"> </w:t>
      </w:r>
      <w:r>
        <w:rPr>
          <w:i/>
          <w:iCs/>
        </w:rPr>
        <w:t xml:space="preserve">with respect to other countries of our environment.”</w:t>
      </w:r>
      <w:r>
        <w:t xml:space="preserve"> </w:t>
      </w:r>
      <w:r>
        <w:t xml:space="preserve">*.</w:t>
      </w:r>
    </w:p>
    <w:p>
      <w:pPr>
        <w:pStyle w:val="FirstParagraph"/>
      </w:pPr>
      <w:r>
        <w:t xml:space="preserve">The PNL was presented by the Confederal Parliamentary Groups Unidas Podemos-En ComÃº Podem-Galicia en ComÃºn, Euskal Herria Bildu and Republican. This Spanish parliamentary mandate</w:t>
      </w:r>
      <w:r>
        <w:t xml:space="preserve"> </w:t>
      </w:r>
      <w:r>
        <w:rPr>
          <w:b/>
          <w:bCs/>
        </w:rPr>
        <w:t xml:space="preserve">anticipates by more than two years</w:t>
      </w:r>
      <w:r>
        <w:t xml:space="preserve"> </w:t>
      </w:r>
      <w:r>
        <w:t xml:space="preserve">the position of the European Parliament and constitutes the legitimizing basis of the present request.</w:t>
      </w:r>
    </w:p>
    <w:bookmarkEnd w:id="15"/>
    <w:bookmarkStart w:id="16" w:name="X89d7f702155e38909f909bb66c74fd7f43e53e8"/>
    <w:p>
      <w:pPr>
        <w:pStyle w:val="Heading2"/>
      </w:pPr>
      <w:r>
        <w:t xml:space="preserve">1.2 Position of the European Parliament (September 2025)</w:t>
      </w:r>
    </w:p>
    <w:p>
      <w:pPr>
        <w:pStyle w:val="FirstParagraph"/>
      </w:pPr>
      <w:r>
        <w:t xml:space="preserve">The EP Resolution on agriculture and CAP post-2027 (P10_TA(2025)0189, point 129) marks a European institutional milestone, although it</w:t>
      </w:r>
      <w:r>
        <w:t xml:space="preserve"> </w:t>
      </w:r>
      <w:r>
        <w:rPr>
          <w:b/>
          <w:bCs/>
        </w:rPr>
        <w:t xml:space="preserve">falls short</w:t>
      </w:r>
      <w:r>
        <w:t xml:space="preserve"> </w:t>
      </w:r>
      <w:r>
        <w:t xml:space="preserve">of the Spanish mandate:</w:t>
      </w:r>
    </w:p>
    <w:p>
      <w:pPr>
        <w:pStyle w:val="Compact"/>
        <w:numPr>
          <w:ilvl w:val="0"/>
          <w:numId w:val="1005"/>
        </w:numPr>
      </w:pPr>
      <w:r>
        <w:t xml:space="preserve">*</w:t>
      </w:r>
      <w:r>
        <w:t xml:space="preserve">“Stresses the importance of explicitly confirming the legality of the cultivation, harvesting, processing and marketing of all parts of the hemp plant [….]; notes that hemp cultivation requires relatively few inputs, especially fertilizers, plant protection products and water; stresses that it also contributes to soil health and biodiversity […]; calls on the Commission to establish a common Union-wide threshold of</w:t>
      </w:r>
      <w:r>
        <w:t xml:space="preserve"> </w:t>
      </w:r>
      <w:r>
        <w:rPr>
          <w:b/>
          <w:bCs/>
        </w:rPr>
        <w:t xml:space="preserve">0.5% tetrahydrocannabinol (THC)</w:t>
      </w:r>
      <w:r>
        <w:t xml:space="preserve">”</w:t>
      </w:r>
      <w:r>
        <w:t xml:space="preserve">.</w:t>
      </w:r>
    </w:p>
    <w:p>
      <w:pPr>
        <w:pStyle w:val="FirstParagraph"/>
      </w:pPr>
      <w:r>
        <w:t xml:space="preserve">The EP recognizes the need to raise the threshold, but its proposal of 0.5% does not reach the level of ambition of the Spanish mandate (1%).</w:t>
      </w:r>
    </w:p>
    <w:bookmarkEnd w:id="16"/>
    <w:bookmarkStart w:id="17" w:name="sectoral-position-eiha"/>
    <w:p>
      <w:pPr>
        <w:pStyle w:val="Heading2"/>
      </w:pPr>
      <w:r>
        <w:t xml:space="preserve">1.3 Sectoral position: EIHA</w:t>
      </w:r>
    </w:p>
    <w:p>
      <w:pPr>
        <w:pStyle w:val="FirstParagraph"/>
      </w:pPr>
      <w:r>
        <w:t xml:space="preserve">The European Industrial Hemp Association (EIHA) [28] supports the 0.5%, arguing that it would strengthen the internal market, ensure legal certainty and restore competitiveness vis-Ã -vis global producers,</w:t>
      </w:r>
      <w:r>
        <w:t xml:space="preserve"> </w:t>
      </w:r>
      <w:r>
        <w:rPr>
          <w:b/>
          <w:bCs/>
        </w:rPr>
        <w:t xml:space="preserve">“without risk of abuse or harm to public health”</w:t>
      </w:r>
      <w:r>
        <w:t xml:space="preserve">. Cannabis Hub shares these arguments, but argues that they logically lead to 1%, not 0.5%.</w:t>
      </w:r>
    </w:p>
    <w:bookmarkEnd w:id="17"/>
    <w:bookmarkStart w:id="18" w:name="current-regulatory-context"/>
    <w:p>
      <w:pPr>
        <w:pStyle w:val="Heading2"/>
      </w:pPr>
      <w:r>
        <w:t xml:space="preserve">1.4 Current regulatory context</w:t>
      </w:r>
    </w:p>
    <w:bookmarkEnd w:id="18"/>
    <w:bookmarkStart w:id="19" w:name="X4b7674691d2ad7813dc525f68be58438093d015"/>
    <w:p>
      <w:pPr>
        <w:pStyle w:val="Heading2"/>
      </w:pPr>
      <w:r>
        <w:t xml:space="preserve">The proposals COM(2025) 553 (CMO) and COM(2025) 560 (CAP) maintain the 0.3%, but introduce for the first time CN code 1211 90 86 (</w:t>
      </w:r>
      <w:r>
        <w:t xml:space="preserve">“other parts of the plant”</w:t>
      </w:r>
      <w:r>
        <w:t xml:space="preserve">), including</w:t>
      </w:r>
      <w:r>
        <w:t xml:space="preserve"> </w:t>
      </w:r>
      <w:r>
        <w:rPr>
          <w:b/>
          <w:bCs/>
        </w:rPr>
        <w:t xml:space="preserve">flowers and biomass</w:t>
      </w:r>
      <w:r>
        <w:t xml:space="preserve"> </w:t>
      </w:r>
      <w:r>
        <w:t xml:space="preserve">in the regulatory framework. This broadening of scope reinforces the need for a robust threshold to support the value chain of extracts and derivatives.</w:t>
      </w:r>
    </w:p>
    <w:bookmarkEnd w:id="19"/>
    <w:bookmarkEnd w:id="20"/>
    <w:bookmarkStart w:id="68" w:name="justification-of-the-proposed-threshold"/>
    <w:p>
      <w:pPr>
        <w:pStyle w:val="Heading1"/>
      </w:pPr>
      <w:r>
        <w:t xml:space="preserve">2. JUSTIFICATION OF THE PROPOSED THRESHOLD</w:t>
      </w:r>
    </w:p>
    <w:bookmarkStart w:id="21" w:name="framework-a-convergence-of-arguments"/>
    <w:p>
      <w:pPr>
        <w:pStyle w:val="Heading2"/>
      </w:pPr>
      <w:r>
        <w:t xml:space="preserve">2.0 FRAMEWORK: A CONVERGENCE OF ARGUMENTS</w:t>
      </w:r>
    </w:p>
    <w:p>
      <w:pPr>
        <w:pStyle w:val="FirstParagraph"/>
      </w:pPr>
      <w:r>
        <w:t xml:space="preserve">The proposal to raise the threshold to 1% THC does not respond to a single sectoral motivation. It is the result of a</w:t>
      </w:r>
      <w:r>
        <w:t xml:space="preserve"> </w:t>
      </w:r>
      <w:r>
        <w:rPr>
          <w:b/>
          <w:bCs/>
        </w:rPr>
        <w:t xml:space="preserve">convergence of arguments</w:t>
      </w:r>
      <w:r>
        <w:t xml:space="preserve"> </w:t>
      </w:r>
      <w:r>
        <w:t xml:space="preserve">that, when analyzed together, make 1% the most coherent and well-founded option:</w:t>
      </w:r>
    </w:p>
    <w:p>
      <w:pPr>
        <w:numPr>
          <w:ilvl w:val="0"/>
          <w:numId w:val="1006"/>
        </w:numPr>
      </w:pPr>
      <w:r>
        <w:rPr>
          <w:b/>
          <w:bCs/>
        </w:rPr>
        <w:t xml:space="preserve">Historical</w:t>
      </w:r>
      <w:r>
        <w:t xml:space="preserve">: The 0.3% threshold lacks a solid scientific basis and its author himself considers it obsolete.</w:t>
      </w:r>
    </w:p>
    <w:p>
      <w:pPr>
        <w:numPr>
          <w:ilvl w:val="0"/>
          <w:numId w:val="1006"/>
        </w:numPr>
      </w:pPr>
      <w:r>
        <w:rPr>
          <w:b/>
          <w:bCs/>
        </w:rPr>
        <w:t xml:space="preserve">Scientific and environmental</w:t>
      </w:r>
      <w:r>
        <w:t xml:space="preserve">: higher yielding varieties - currently excluded by the restrictive threshold - could be incorporated into the European catalog, improving the sector’s productivity and COâ capture.</w:t>
      </w:r>
    </w:p>
    <w:p>
      <w:pPr>
        <w:numPr>
          <w:ilvl w:val="0"/>
          <w:numId w:val="1006"/>
        </w:numPr>
      </w:pPr>
      <w:r>
        <w:rPr>
          <w:b/>
          <w:bCs/>
        </w:rPr>
        <w:t xml:space="preserve">Political and economic</w:t>
      </w:r>
      <w:r>
        <w:t xml:space="preserve">: 18 jurisdictions already operate with this standard. Aligning facilitates the free movement of goods and removes competitive barriers for the European sector.</w:t>
      </w:r>
    </w:p>
    <w:p>
      <w:pPr>
        <w:numPr>
          <w:ilvl w:val="0"/>
          <w:numId w:val="1006"/>
        </w:numPr>
      </w:pPr>
      <w:r>
        <w:rPr>
          <w:b/>
          <w:bCs/>
        </w:rPr>
        <w:t xml:space="preserve">Social</w:t>
      </w:r>
      <w:r>
        <w:t xml:space="preserve">: 1% THC presents no realistic risk of abuse or harm to public health.</w:t>
      </w:r>
    </w:p>
    <w:p>
      <w:pPr>
        <w:pStyle w:val="FirstParagraph"/>
      </w:pPr>
      <w:r>
        <w:t xml:space="preserve">The evidence supporting each of these pillars of argument is developed below.</w:t>
      </w:r>
    </w:p>
    <w:p>
      <w:r>
        <w:pict>
          <v:rect style="width:0;height:1.5pt" o:hralign="center" o:hrstd="t" o:hr="t"/>
        </w:pict>
      </w:r>
    </w:p>
    <w:bookmarkEnd w:id="21"/>
    <w:bookmarkStart w:id="22" w:name="historical-argument-0.3-rebuttal"/>
    <w:p>
      <w:pPr>
        <w:pStyle w:val="Heading2"/>
      </w:pPr>
      <w:r>
        <w:t xml:space="preserve">2.1 HISTORICAL ARGUMENT: 0.3% REBUTTAL</w:t>
      </w:r>
    </w:p>
    <w:p>
      <w:pPr>
        <w:pStyle w:val="FirstParagraph"/>
      </w:pPr>
      <w:r>
        <w:t xml:space="preserve">Currently, the THC threshold for industrial hemp in the European Union stands at</w:t>
      </w:r>
      <w:r>
        <w:t xml:space="preserve"> </w:t>
      </w:r>
      <w:r>
        <w:rPr>
          <w:b/>
          <w:bCs/>
        </w:rPr>
        <w:t xml:space="preserve">0.3%</w:t>
      </w:r>
      <w:r>
        <w:t xml:space="preserve">. It should be noted that the CAP does not establish this percentage as a defining criterion between industrial hemp and narcotic cannabis - that distinction corresponds to other regulatory frameworks - but simply determines that crops exceeding this limit will not be eligible for aid under this Regulation.</w:t>
      </w:r>
    </w:p>
    <w:p>
      <w:pPr>
        <w:pStyle w:val="BodyText"/>
      </w:pPr>
      <w:r>
        <w:t xml:space="preserve">This threshold was first set in European regulation in</w:t>
      </w:r>
      <w:r>
        <w:t xml:space="preserve"> </w:t>
      </w:r>
      <w:r>
        <w:rPr>
          <w:b/>
          <w:bCs/>
        </w:rPr>
        <w:t xml:space="preserve">1984</w:t>
      </w:r>
      <w:r>
        <w:t xml:space="preserve">, establishing 0.3% with a transitional period of two years at 0.5%. However,</w:t>
      </w:r>
      <w:r>
        <w:t xml:space="preserve"> </w:t>
      </w:r>
      <w:r>
        <w:rPr>
          <w:b/>
          <w:bCs/>
        </w:rPr>
        <w:t xml:space="preserve">there is no documentation to justify the choice of this figure</w:t>
      </w:r>
      <w:r>
        <w:t xml:space="preserve"> </w:t>
      </w:r>
      <w:r>
        <w:t xml:space="preserve">or the technical or scientific criteria that supported it.</w:t>
      </w:r>
    </w:p>
    <w:p>
      <w:pPr>
        <w:pStyle w:val="BodyText"/>
      </w:pPr>
      <w:r>
        <w:t xml:space="preserve">The only contemporary scientific reference that establishes 0.3% as the cut-off point is the taxonomic classification of</w:t>
      </w:r>
      <w:r>
        <w:t xml:space="preserve"> </w:t>
      </w:r>
      <w:r>
        <w:rPr>
          <w:b/>
          <w:bCs/>
        </w:rPr>
        <w:t xml:space="preserve">Dr. Ernest Small</w:t>
      </w:r>
      <w:r>
        <w:t xml:space="preserve"> </w:t>
      </w:r>
      <w:r>
        <w:t xml:space="preserve">[1], who proposed this percentage to differentiate cannabis varieties. This leads us to consider that it was probably the reference adopted by the European legislator. Whether this is the case or not, analyzing this classification - which comes from a scientific and rigorous study - is essential to assess whether the current threshold is still appropriate.</w:t>
      </w:r>
    </w:p>
    <w:p>
      <w:pPr>
        <w:pStyle w:val="BodyText"/>
      </w:pPr>
      <w:r>
        <w:t xml:space="preserve">Small &amp; Cronquist [1], for their taxonomic study, used plants grown in their Ottawa greenhouse from</w:t>
      </w:r>
      <w:r>
        <w:t xml:space="preserve"> </w:t>
      </w:r>
      <w:r>
        <w:rPr>
          <w:b/>
          <w:bCs/>
        </w:rPr>
        <w:t xml:space="preserve">hemp seeds from the Botanical Garden of the University of Kaunas, Lithuania</w:t>
      </w:r>
      <w:r>
        <w:t xml:space="preserve">. Their purpose was to establish a criterion for differentiating hemp from marijuana. In their paper they wrote:</w:t>
      </w:r>
    </w:p>
    <w:p>
      <w:pPr>
        <w:pStyle w:val="Compact"/>
        <w:numPr>
          <w:ilvl w:val="0"/>
          <w:numId w:val="1007"/>
        </w:numPr>
      </w:pPr>
      <w:r>
        <w:rPr>
          <w:i/>
          <w:iCs/>
        </w:rPr>
        <w:t xml:space="preserve">“It will be noted that we</w:t>
      </w:r>
      <w:r>
        <w:rPr>
          <w:i/>
          <w:iCs/>
        </w:rPr>
        <w:t xml:space="preserve"> </w:t>
      </w:r>
      <w:r>
        <w:rPr>
          <w:b/>
          <w:bCs/>
          <w:i/>
          <w:iCs/>
        </w:rPr>
        <w:t xml:space="preserve">arbitrarily adopt</w:t>
      </w:r>
      <w:r>
        <w:rPr>
          <w:i/>
          <w:iCs/>
        </w:rPr>
        <w:t xml:space="preserve"> </w:t>
      </w:r>
      <w:r>
        <w:rPr>
          <w:i/>
          <w:iCs/>
        </w:rPr>
        <w:t xml:space="preserve">a concentration of 0.3% Î9-THC (dry weight basis) in</w:t>
      </w:r>
      <w:r>
        <w:rPr>
          <w:i/>
          <w:iCs/>
        </w:rPr>
        <w:t xml:space="preserve"> </w:t>
      </w:r>
      <w:r>
        <w:rPr>
          <w:b/>
          <w:bCs/>
          <w:i/>
          <w:iCs/>
        </w:rPr>
        <w:t xml:space="preserve">young, vigorous leaves</w:t>
      </w:r>
      <w:r>
        <w:rPr>
          <w:i/>
          <w:iCs/>
        </w:rPr>
        <w:t xml:space="preserve"> </w:t>
      </w:r>
      <w:r>
        <w:rPr>
          <w:i/>
          <w:iCs/>
        </w:rPr>
        <w:t xml:space="preserve">of relatively mature plants as a</w:t>
      </w:r>
      <w:r>
        <w:rPr>
          <w:i/>
          <w:iCs/>
        </w:rPr>
        <w:t xml:space="preserve"> </w:t>
      </w:r>
      <w:r>
        <w:rPr>
          <w:b/>
          <w:bCs/>
          <w:i/>
          <w:iCs/>
        </w:rPr>
        <w:t xml:space="preserve">guide to discriminating two classes of plants</w:t>
      </w:r>
      <w:r>
        <w:rPr>
          <w:i/>
          <w:iCs/>
        </w:rPr>
        <w:t xml:space="preserve">.”</w:t>
      </w:r>
      <w:r>
        <w:t xml:space="preserve"> </w:t>
      </w:r>
      <w:r>
        <w:t xml:space="preserve">*.</w:t>
      </w:r>
    </w:p>
    <w:p>
      <w:pPr>
        <w:pStyle w:val="Compact"/>
        <w:numPr>
          <w:ilvl w:val="0"/>
          <w:numId w:val="1007"/>
        </w:numPr>
      </w:pPr>
      <w:r>
        <w:t xml:space="preserve">Taxon 25(4): 408</w:t>
      </w:r>
    </w:p>
    <w:p>
      <w:pPr>
        <w:pStyle w:val="FirstParagraph"/>
      </w:pPr>
      <w:r>
        <w:t xml:space="preserve">Two key elements emerge from this foundational quote:</w:t>
      </w:r>
    </w:p>
    <w:p>
      <w:pPr>
        <w:pStyle w:val="BodyText"/>
      </w:pPr>
      <w:r>
        <w:rPr>
          <w:b/>
          <w:bCs/>
        </w:rPr>
        <w:t xml:space="preserve">First</w:t>
      </w:r>
      <w:r>
        <w:t xml:space="preserve">, the authors themselves acknowledge that the criterion was adopted</w:t>
      </w:r>
      <w:r>
        <w:t xml:space="preserve"> </w:t>
      </w:r>
      <w:r>
        <w:rPr>
          <w:i/>
          <w:iCs/>
        </w:rPr>
        <w:t xml:space="preserve">“arbitrarily”</w:t>
      </w:r>
      <w:r>
        <w:t xml:space="preserve">, not derived from toxicological or safety studies.</w:t>
      </w:r>
      <w:r>
        <w:t xml:space="preserve"> </w:t>
      </w:r>
      <w:r>
        <w:rPr>
          <w:b/>
          <w:bCs/>
        </w:rPr>
        <w:t xml:space="preserve">Second, the threshold was measured in</w:t>
      </w:r>
      <w:r>
        <w:rPr>
          <w:b/>
          <w:bCs/>
        </w:rPr>
        <w:t xml:space="preserve"> </w:t>
      </w:r>
      <w:r>
        <w:rPr>
          <w:b/>
          <w:bCs/>
          <w:i/>
          <w:iCs/>
        </w:rPr>
        <w:t xml:space="preserve">“young, vigorous leaves”</w:t>
      </w:r>
      <w:r>
        <w:rPr>
          <w:b/>
          <w:bCs/>
        </w:rPr>
        <w:t xml:space="preserve"> </w:t>
      </w:r>
      <w:r>
        <w:rPr>
          <w:b/>
          <w:bCs/>
        </w:rPr>
        <w:t xml:space="preserve">of Lithuanian hemp plants grown in Canadian greenhouses,</w:t>
      </w:r>
      <w:r>
        <w:rPr>
          <w:b/>
          <w:bCs/>
        </w:rPr>
        <w:t xml:space="preserve"> </w:t>
      </w:r>
      <w:r>
        <w:t xml:space="preserve">not in flowers** - where concentrations are significantly higher- nor in European field conditions. The same authors caution:</w:t>
      </w:r>
      <w:r>
        <w:t xml:space="preserve"> </w:t>
      </w:r>
      <w:r>
        <w:rPr>
          <w:i/>
          <w:iCs/>
        </w:rPr>
        <w:t xml:space="preserve">“different parts of the plant contain different concentrations”</w:t>
      </w:r>
      <w:r>
        <w:t xml:space="preserve">.</w:t>
      </w:r>
    </w:p>
    <w:p>
      <w:pPr>
        <w:pStyle w:val="BodyText"/>
      </w:pPr>
      <w:r>
        <w:t xml:space="preserve">Dr. Small himself confirmed in 2021 [2] that the 0.3% criterion was established</w:t>
      </w:r>
      <w:r>
        <w:t xml:space="preserve"> </w:t>
      </w:r>
      <w:r>
        <w:rPr>
          <w:i/>
          <w:iCs/>
        </w:rPr>
        <w:t xml:space="preserve">“on strictly taxonomic considerations”</w:t>
      </w:r>
      <w:r>
        <w:t xml:space="preserve"> </w:t>
      </w:r>
      <w:r>
        <w:t xml:space="preserve">and currently constitutes</w:t>
      </w:r>
      <w:r>
        <w:t xml:space="preserve"> </w:t>
      </w:r>
      <w:r>
        <w:rPr>
          <w:i/>
          <w:iCs/>
        </w:rPr>
        <w:t xml:space="preserve">“a hindrance to the industry”</w:t>
      </w:r>
      <w:r>
        <w:t xml:space="preserve">. Small acknowledges that</w:t>
      </w:r>
      <w:r>
        <w:t xml:space="preserve"> </w:t>
      </w:r>
      <w:r>
        <w:rPr>
          <w:i/>
          <w:iCs/>
        </w:rPr>
        <w:t xml:space="preserve">“the</w:t>
      </w:r>
      <w:r>
        <w:rPr>
          <w:i/>
          <w:iCs/>
        </w:rPr>
        <w:t xml:space="preserve"> </w:t>
      </w:r>
      <w:r>
        <w:rPr>
          <w:i/>
          <w:iCs/>
        </w:rPr>
        <w:t xml:space="preserve">‘abuse’</w:t>
      </w:r>
      <w:r>
        <w:rPr>
          <w:i/>
          <w:iCs/>
        </w:rPr>
        <w:t xml:space="preserve"> </w:t>
      </w:r>
      <w:r>
        <w:rPr>
          <w:i/>
          <w:iCs/>
        </w:rPr>
        <w:t xml:space="preserve">potential… in practical terms requires a concentration of approximately 1% THC”</w:t>
      </w:r>
      <w:r>
        <w:t xml:space="preserve">, concluding:</w:t>
      </w:r>
      <w:r>
        <w:t xml:space="preserve"> </w:t>
      </w:r>
      <w:r>
        <w:rPr>
          <w:i/>
          <w:iCs/>
        </w:rPr>
        <w:t xml:space="preserve">“1% THC would be a more suitable criterion”</w:t>
      </w:r>
      <w:r>
        <w:t xml:space="preserve">.</w:t>
      </w:r>
    </w:p>
    <w:p>
      <w:pPr>
        <w:pStyle w:val="BodyText"/>
      </w:pPr>
      <w:r>
        <w:t xml:space="preserve">After 50 years of genetic advances and climatic changes, modern science supports this revision.</w:t>
      </w:r>
    </w:p>
    <w:p>
      <w:r>
        <w:pict>
          <v:rect style="width:0;height:1.5pt" o:hralign="center" o:hrstd="t" o:hr="t"/>
        </w:pict>
      </w:r>
    </w:p>
    <w:bookmarkEnd w:id="22"/>
    <w:bookmarkStart w:id="28" w:name="X2346cf231a520c15402db96645bd4c757bd3911"/>
    <w:p>
      <w:pPr>
        <w:pStyle w:val="Heading2"/>
      </w:pPr>
      <w:r>
        <w:t xml:space="preserve">2.2 SCIENTIFIC-ENVIRONMENTAL ARGUMENT: YIELD AND CLIMATE</w:t>
      </w:r>
    </w:p>
    <w:bookmarkStart w:id="23" w:name="X25f09d8cbec6036723820c927e2074048d73fad"/>
    <w:p>
      <w:pPr>
        <w:pStyle w:val="Heading3"/>
      </w:pPr>
      <w:r>
        <w:t xml:space="preserve">Scientific basis: why low threshold punishes performance</w:t>
      </w:r>
    </w:p>
    <w:p>
      <w:pPr>
        <w:pStyle w:val="FirstParagraph"/>
      </w:pPr>
      <w:r>
        <w:t xml:space="preserve">Scientific evidence documents a</w:t>
      </w:r>
      <w:r>
        <w:t xml:space="preserve"> </w:t>
      </w:r>
      <w:r>
        <w:rPr>
          <w:b/>
          <w:bCs/>
        </w:rPr>
        <w:t xml:space="preserve">functional correlation</w:t>
      </w:r>
      <w:r>
        <w:t xml:space="preserve"> </w:t>
      </w:r>
      <w:r>
        <w:t xml:space="preserve">between cannabinoid content and biomass yield in</w:t>
      </w:r>
      <w:r>
        <w:t xml:space="preserve"> </w:t>
      </w:r>
      <w:r>
        <w:rPr>
          <w:i/>
          <w:iCs/>
        </w:rPr>
        <w:t xml:space="preserve">Cannabis sativa</w:t>
      </w:r>
      <w:r>
        <w:t xml:space="preserve"> </w:t>
      </w:r>
      <w:r>
        <w:t xml:space="preserve">L. This association is not casual, but responds to well-documented biological mechanisms:</w:t>
      </w:r>
    </w:p>
    <w:p>
      <w:pPr>
        <w:pStyle w:val="BodyText"/>
      </w:pPr>
      <w:r>
        <w:rPr>
          <w:b/>
          <w:bCs/>
        </w:rPr>
        <w:t xml:space="preserve">1. Selection for compliance = loss of productivity.</w:t>
      </w:r>
      <w:r>
        <w:t xml:space="preserve"> </w:t>
      </w:r>
      <w:r>
        <w:t xml:space="preserve">Hemp varieties developed to meet ultra-low THC thresholds have sacrificed yield. The Hungarian breeding program (1994-2019) documented that varieties selected for chemical stability yield</w:t>
      </w:r>
      <w:r>
        <w:t xml:space="preserve"> </w:t>
      </w:r>
      <w:r>
        <w:rPr>
          <w:b/>
          <w:bCs/>
        </w:rPr>
        <w:t xml:space="preserve">10-20% less</w:t>
      </w:r>
      <w:r>
        <w:t xml:space="preserve"> </w:t>
      </w:r>
      <w:r>
        <w:t xml:space="preserve">than traditional varieties of higher genetic diversity [7,8].</w:t>
      </w:r>
    </w:p>
    <w:p>
      <w:pPr>
        <w:pStyle w:val="BodyText"/>
      </w:pPr>
      <w:r>
        <w:rPr>
          <w:b/>
          <w:bCs/>
        </w:rPr>
        <w:t xml:space="preserve">2. Shared metabolic pathways.</w:t>
      </w:r>
      <w:r>
        <w:t xml:space="preserve"> </w:t>
      </w:r>
      <w:r>
        <w:t xml:space="preserve">Cannabinoid and terpenoid biosynthesis share common precursors. Plants with higher photosynthetic capacity channel surpluses into secondary metabolism, simultaneously producing</w:t>
      </w:r>
      <w:r>
        <w:t xml:space="preserve"> </w:t>
      </w:r>
      <w:r>
        <w:rPr>
          <w:b/>
          <w:bCs/>
        </w:rPr>
        <w:t xml:space="preserve">more biomass and more cannabinoids</w:t>
      </w:r>
      <w:r>
        <w:t xml:space="preserve"> </w:t>
      </w:r>
      <w:r>
        <w:t xml:space="preserve">[9].</w:t>
      </w:r>
    </w:p>
    <w:p>
      <w:pPr>
        <w:pStyle w:val="BodyText"/>
      </w:pPr>
      <w:r>
        <w:rPr>
          <w:b/>
          <w:bCs/>
        </w:rPr>
        <w:t xml:space="preserve">3. Extended phenological cycle.</w:t>
      </w:r>
      <w:r>
        <w:t xml:space="preserve"> </w:t>
      </w:r>
      <w:r>
        <w:t xml:space="preserve">Late flowering varieties maximize the vegetative period and biomass accumulation, but also express higher pre-harvest THC synthesis [10]. Restricting THC means restricting these high-yielding varieties.</w:t>
      </w:r>
    </w:p>
    <w:p>
      <w:pPr>
        <w:pStyle w:val="BodyText"/>
      </w:pPr>
      <w:r>
        <w:rPr>
          <w:b/>
          <w:bCs/>
        </w:rPr>
        <w:t xml:space="preserve">Direct policy implication: The regulatory threshold operates as a</w:t>
      </w:r>
      <w:r>
        <w:rPr>
          <w:b/>
          <w:bCs/>
        </w:rPr>
        <w:t xml:space="preserve"> </w:t>
      </w:r>
      <w:r>
        <w:t xml:space="preserve">negative selection** that systematically excludes the most productive germplasm from the European market.</w:t>
      </w:r>
    </w:p>
    <w:bookmarkEnd w:id="23"/>
    <w:bookmarkStart w:id="24" w:name="Xeb1896d517235fe871378504064f6895a0ffbdc"/>
    <w:p>
      <w:pPr>
        <w:pStyle w:val="Heading3"/>
      </w:pPr>
      <w:r>
        <w:t xml:space="preserve">Quantifying the opportunity cost: European evidence</w:t>
      </w:r>
    </w:p>
    <w:p>
      <w:pPr>
        <w:pStyle w:val="FirstParagraph"/>
      </w:pPr>
      <w:r>
        <w:t xml:space="preserve">Controlled field trials under European conditions reveal statistically significant yield differences according to cannabinoid profile. Rahemi et al [6] documented in multi-year trials the following results:</w:t>
      </w:r>
    </w:p>
    <w:tbl>
      <w:tblPr>
        <w:tblStyle w:val="Table"/>
        <w:tblW w:type="pct" w:w="5000"/>
        <w:tblLayout w:type="fixed"/>
        <w:tblLook w:firstRow="1" w:lastRow="0" w:firstColumn="0" w:lastColumn="0" w:noHBand="0" w:noVBand="0" w:val="0020"/>
      </w:tblPr>
      <w:tblGrid>
        <w:gridCol w:w="920"/>
        <w:gridCol w:w="1933"/>
        <w:gridCol w:w="1381"/>
        <w:gridCol w:w="2486"/>
        <w:gridCol w:w="1197"/>
      </w:tblGrid>
      <w:tr>
        <w:trPr>
          <w:tblHeader w:val="on"/>
        </w:trPr>
        <w:tc>
          <w:tcPr/>
          <w:p>
            <w:pPr>
              <w:pStyle w:val="Compact"/>
            </w:pPr>
            <w:r>
              <w:t xml:space="preserve">Variety</w:t>
            </w:r>
          </w:p>
        </w:tc>
        <w:tc>
          <w:tcPr/>
          <w:p>
            <w:pPr>
              <w:pStyle w:val="Compact"/>
            </w:pPr>
            <w:r>
              <w:t xml:space="preserve">Reproductive system</w:t>
            </w:r>
          </w:p>
        </w:tc>
        <w:tc>
          <w:tcPr/>
          <w:p>
            <w:pPr>
              <w:pStyle w:val="Compact"/>
            </w:pPr>
            <w:r>
              <w:t xml:space="preserve">Historic THC</w:t>
            </w:r>
          </w:p>
        </w:tc>
        <w:tc>
          <w:tcPr/>
          <w:p>
            <w:pPr>
              <w:pStyle w:val="Compact"/>
            </w:pPr>
            <w:r>
              <w:t xml:space="preserve">Dry stem biomass (t/ha)</w:t>
            </w:r>
          </w:p>
        </w:tc>
        <w:tc>
          <w:tcPr/>
          <w:p>
            <w:pPr>
              <w:pStyle w:val="Compact"/>
            </w:pPr>
            <w:r>
              <w:t xml:space="preserve">Differential</w:t>
            </w:r>
          </w:p>
        </w:tc>
      </w:tr>
      <w:tr>
        <w:tc>
          <w:tcPr/>
          <w:p>
            <w:pPr>
              <w:pStyle w:val="Compact"/>
            </w:pPr>
            <w:r>
              <w:rPr>
                <w:b/>
                <w:bCs/>
              </w:rPr>
              <w:t xml:space="preserve">Carmagnola</w:t>
            </w:r>
          </w:p>
        </w:tc>
        <w:tc>
          <w:tcPr/>
          <w:p>
            <w:pPr>
              <w:pStyle w:val="Compact"/>
            </w:pPr>
            <w:r>
              <w:t xml:space="preserve">Dioica italiana</w:t>
            </w:r>
          </w:p>
        </w:tc>
        <w:tc>
          <w:tcPr/>
          <w:p>
            <w:pPr>
              <w:pStyle w:val="Compact"/>
            </w:pPr>
            <w:r>
              <w:t xml:space="preserve">0,4-0,6%</w:t>
            </w:r>
          </w:p>
        </w:tc>
        <w:tc>
          <w:tcPr/>
          <w:p>
            <w:pPr>
              <w:pStyle w:val="Compact"/>
            </w:pPr>
            <w:r>
              <w:rPr>
                <w:b/>
                <w:bCs/>
              </w:rPr>
              <w:t xml:space="preserve">8,62</w:t>
            </w:r>
          </w:p>
        </w:tc>
        <w:tc>
          <w:tcPr/>
          <w:p>
            <w:pPr>
              <w:pStyle w:val="Compact"/>
            </w:pPr>
            <w:r>
              <w:rPr>
                <w:b/>
                <w:bCs/>
              </w:rPr>
              <w:t xml:space="preserve">+87,4%</w:t>
            </w:r>
          </w:p>
        </w:tc>
      </w:tr>
      <w:tr>
        <w:tc>
          <w:tcPr/>
          <w:p>
            <w:pPr>
              <w:pStyle w:val="Compact"/>
            </w:pPr>
            <w:r>
              <w:t xml:space="preserve">Futura 75</w:t>
            </w:r>
          </w:p>
        </w:tc>
        <w:tc>
          <w:tcPr/>
          <w:p>
            <w:pPr>
              <w:pStyle w:val="Compact"/>
            </w:pPr>
            <w:r>
              <w:t xml:space="preserve">French Monoica</w:t>
            </w:r>
          </w:p>
        </w:tc>
        <w:tc>
          <w:tcPr/>
          <w:p>
            <w:pPr>
              <w:pStyle w:val="Compact"/>
            </w:pPr>
            <w:r>
              <w:t xml:space="preserve">&lt;0.2%</w:t>
            </w:r>
          </w:p>
        </w:tc>
        <w:tc>
          <w:tcPr/>
          <w:p>
            <w:pPr>
              <w:pStyle w:val="Compact"/>
            </w:pPr>
            <w:r>
              <w:t xml:space="preserve">4.60</w:t>
            </w:r>
          </w:p>
        </w:tc>
        <w:tc>
          <w:tcPr/>
          <w:p>
            <w:pPr>
              <w:pStyle w:val="Compact"/>
            </w:pPr>
            <w:r>
              <w:rPr>
                <w:i/>
                <w:iCs/>
              </w:rPr>
              <w:t xml:space="preserve">baseline</w:t>
            </w:r>
          </w:p>
        </w:tc>
      </w:tr>
      <w:tr>
        <w:tc>
          <w:tcPr/>
          <w:p>
            <w:pPr>
              <w:pStyle w:val="Compact"/>
            </w:pPr>
            <w:r>
              <w:t xml:space="preserve">Fedora 17</w:t>
            </w:r>
          </w:p>
        </w:tc>
        <w:tc>
          <w:tcPr/>
          <w:p>
            <w:pPr>
              <w:pStyle w:val="Compact"/>
            </w:pPr>
            <w:r>
              <w:t xml:space="preserve">French Monoica</w:t>
            </w:r>
          </w:p>
        </w:tc>
        <w:tc>
          <w:tcPr/>
          <w:p>
            <w:pPr>
              <w:pStyle w:val="Compact"/>
            </w:pPr>
          </w:p>
        </w:tc>
        <w:tc>
          <w:tcPr/>
          <w:p>
            <w:pPr>
              <w:pStyle w:val="Compact"/>
            </w:pPr>
            <w:r>
              <w:t xml:space="preserve">&lt;0.2%</w:t>
            </w:r>
          </w:p>
        </w:tc>
        <w:tc>
          <w:tcPr/>
          <w:p>
            <w:pPr>
              <w:pStyle w:val="Compact"/>
            </w:pPr>
            <w:r>
              <w:t xml:space="preserve">4.35</w:t>
            </w:r>
          </w:p>
        </w:tc>
      </w:tr>
    </w:tbl>
    <w:p>
      <w:pPr>
        <w:pStyle w:val="BodyText"/>
      </w:pPr>
      <w:r>
        <w:rPr>
          <w:b/>
          <w:bCs/>
        </w:rPr>
        <w:t xml:space="preserve">Carmagnola</w:t>
      </w:r>
      <w:r>
        <w:t xml:space="preserve">, the traditional dioica variety from Piedmont with historical THC content 0.4-0.6%, produces</w:t>
      </w:r>
      <w:r>
        <w:t xml:space="preserve"> </w:t>
      </w:r>
      <w:r>
        <w:rPr>
          <w:b/>
          <w:bCs/>
        </w:rPr>
        <w:t xml:space="preserve">8.62 tons per hectare</w:t>
      </w:r>
      <w:r>
        <w:t xml:space="preserve"> </w:t>
      </w:r>
      <w:r>
        <w:t xml:space="preserve">- almost twice as much as the conforming French monoicas. However, this variety is</w:t>
      </w:r>
      <w:r>
        <w:t xml:space="preserve"> </w:t>
      </w:r>
      <w:r>
        <w:rPr>
          <w:b/>
          <w:bCs/>
        </w:rPr>
        <w:t xml:space="preserve">functionally excluded from the European market</w:t>
      </w:r>
      <w:r>
        <w:t xml:space="preserve"> </w:t>
      </w:r>
      <w:r>
        <w:t xml:space="preserve">for exceeding the 0.3% threshold.</w:t>
      </w:r>
      <w:r>
        <w:t xml:space="preserve"> </w:t>
      </w:r>
      <w:r>
        <w:t xml:space="preserve">The Hungarian breeding program led by BÃ³csa (1994-2019) further quantified the systematic cost of the monoecious system:</w:t>
      </w:r>
      <w:r>
        <w:t xml:space="preserve"> </w:t>
      </w:r>
      <w:r>
        <w:rPr>
          <w:b/>
          <w:bCs/>
        </w:rPr>
        <w:t xml:space="preserve">“All monoecious cultivars yielded 10 to 20% less than dioecious cultivars due to inbreeding depression from self-pollination.”</w:t>
      </w:r>
      <w:r>
        <w:t xml:space="preserve"> </w:t>
      </w:r>
      <w:r>
        <w:t xml:space="preserve">This 10-20% differential represents the</w:t>
      </w:r>
      <w:r>
        <w:t xml:space="preserve"> </w:t>
      </w:r>
      <w:r>
        <w:rPr>
          <w:b/>
          <w:bCs/>
        </w:rPr>
        <w:t xml:space="preserve">agronomic price</w:t>
      </w:r>
      <w:r>
        <w:t xml:space="preserve"> </w:t>
      </w:r>
      <w:r>
        <w:t xml:space="preserve">of chemical stability required by restrictive thresholds.</w:t>
      </w:r>
    </w:p>
    <w:p>
      <w:pPr>
        <w:pStyle w:val="BodyText"/>
      </w:pPr>
      <w:r>
        <w:t xml:space="preserve">The implication is straightforward: Europe systematically sacrifices between</w:t>
      </w:r>
      <w:r>
        <w:t xml:space="preserve"> </w:t>
      </w:r>
      <w:r>
        <w:rPr>
          <w:b/>
          <w:bCs/>
        </w:rPr>
        <w:t xml:space="preserve">2-4 tons of biomass per hectare</w:t>
      </w:r>
      <w:r>
        <w:t xml:space="preserve"> </w:t>
      </w:r>
      <w:r>
        <w:t xml:space="preserve">for purely regulatory reasons.</w:t>
      </w:r>
    </w:p>
    <w:bookmarkEnd w:id="24"/>
    <w:bookmarkStart w:id="25" w:name="Xda2f935319ff7b1d7a2363ec1f856ab14c37979"/>
    <w:p>
      <w:pPr>
        <w:pStyle w:val="Heading3"/>
      </w:pPr>
      <w:r>
        <w:t xml:space="preserve">The international competitive gap: benchmarking with Chinese germplasm</w:t>
      </w:r>
    </w:p>
    <w:p>
      <w:pPr>
        <w:pStyle w:val="FirstParagraph"/>
      </w:pPr>
      <w:r>
        <w:t xml:space="preserve">North Carolina State University trials with Chinese accessions reveal the magnitude of the</w:t>
      </w:r>
      <w:r>
        <w:t xml:space="preserve"> </w:t>
      </w:r>
      <w:r>
        <w:rPr>
          <w:b/>
          <w:bCs/>
        </w:rPr>
        <w:t xml:space="preserve">competitive cost</w:t>
      </w:r>
      <w:r>
        <w:t xml:space="preserve"> </w:t>
      </w:r>
      <w:r>
        <w:t xml:space="preserve">of the European threshold. Halker et al [5] evaluated fiber varieties under controlled conditions:</w:t>
      </w:r>
    </w:p>
    <w:tbl>
      <w:tblPr>
        <w:tblStyle w:val="Table"/>
        <w:tblW w:type="pct" w:w="5000"/>
        <w:tblLayout w:type="fixed"/>
        <w:tblLook w:firstRow="1" w:lastRow="0" w:firstColumn="0" w:lastColumn="0" w:noHBand="0" w:noVBand="0" w:val="0020"/>
      </w:tblPr>
      <w:tblGrid>
        <w:gridCol w:w="990"/>
        <w:gridCol w:w="2079"/>
        <w:gridCol w:w="2970"/>
        <w:gridCol w:w="1881"/>
      </w:tblGrid>
      <w:tr>
        <w:trPr>
          <w:tblHeader w:val="on"/>
        </w:trPr>
        <w:tc>
          <w:tcPr/>
          <w:p>
            <w:pPr>
              <w:pStyle w:val="Compact"/>
            </w:pPr>
            <w:r>
              <w:t xml:space="preserve">Accession</w:t>
            </w:r>
          </w:p>
        </w:tc>
        <w:tc>
          <w:tcPr/>
          <w:p>
            <w:pPr>
              <w:pStyle w:val="Compact"/>
            </w:pPr>
            <w:r>
              <w:t xml:space="preserve">Documented THC (%)</w:t>
            </w:r>
          </w:p>
        </w:tc>
        <w:tc>
          <w:tcPr/>
          <w:p>
            <w:pPr>
              <w:pStyle w:val="Compact"/>
            </w:pPr>
            <w:r>
              <w:t xml:space="preserve">Dry stem yield (t/ha)</w:t>
            </w:r>
          </w:p>
        </w:tc>
        <w:tc>
          <w:tcPr/>
          <w:p>
            <w:pPr>
              <w:pStyle w:val="Compact"/>
            </w:pPr>
            <w:r>
              <w:t xml:space="preserve">Ratio vs. current EU</w:t>
            </w:r>
          </w:p>
        </w:tc>
      </w:tr>
      <w:tr>
        <w:tc>
          <w:tcPr/>
          <w:p>
            <w:pPr>
              <w:pStyle w:val="Compact"/>
            </w:pPr>
            <w:r>
              <w:rPr>
                <w:b/>
                <w:bCs/>
              </w:rPr>
              <w:t xml:space="preserve">Yuma</w:t>
            </w:r>
          </w:p>
        </w:tc>
        <w:tc>
          <w:tcPr/>
          <w:p>
            <w:pPr>
              <w:pStyle w:val="Compact"/>
            </w:pPr>
            <w:r>
              <w:rPr>
                <w:b/>
                <w:bCs/>
              </w:rPr>
              <w:t xml:space="preserve">0.723</w:t>
            </w:r>
          </w:p>
        </w:tc>
        <w:tc>
          <w:tcPr/>
          <w:p>
            <w:pPr>
              <w:pStyle w:val="Compact"/>
            </w:pPr>
            <w:r>
              <w:rPr>
                <w:b/>
                <w:bCs/>
              </w:rPr>
              <w:t xml:space="preserve">35.1</w:t>
            </w:r>
          </w:p>
        </w:tc>
        <w:tc>
          <w:tcPr/>
          <w:p>
            <w:pPr>
              <w:pStyle w:val="Compact"/>
            </w:pPr>
            <w:r>
              <w:rPr>
                <w:b/>
                <w:bCs/>
              </w:rPr>
              <w:t xml:space="preserve">Ã7.6</w:t>
            </w:r>
          </w:p>
        </w:tc>
      </w:tr>
      <w:tr>
        <w:tc>
          <w:tcPr/>
          <w:p>
            <w:pPr>
              <w:pStyle w:val="Compact"/>
            </w:pPr>
            <w:r>
              <w:rPr>
                <w:b/>
                <w:bCs/>
              </w:rPr>
              <w:t xml:space="preserve">Bama</w:t>
            </w:r>
          </w:p>
        </w:tc>
        <w:tc>
          <w:tcPr/>
          <w:p>
            <w:pPr>
              <w:pStyle w:val="Compact"/>
            </w:pPr>
            <w:r>
              <w:rPr>
                <w:b/>
                <w:bCs/>
              </w:rPr>
              <w:t xml:space="preserve">0.506</w:t>
            </w:r>
          </w:p>
        </w:tc>
        <w:tc>
          <w:tcPr/>
          <w:p>
            <w:pPr>
              <w:pStyle w:val="Compact"/>
            </w:pPr>
            <w:r>
              <w:rPr>
                <w:b/>
                <w:bCs/>
              </w:rPr>
              <w:t xml:space="preserve">22.3</w:t>
            </w:r>
          </w:p>
        </w:tc>
        <w:tc>
          <w:tcPr/>
          <w:p>
            <w:pPr>
              <w:pStyle w:val="Compact"/>
            </w:pPr>
            <w:r>
              <w:rPr>
                <w:b/>
                <w:bCs/>
              </w:rPr>
              <w:t xml:space="preserve">Ã4.8</w:t>
            </w:r>
          </w:p>
        </w:tc>
      </w:tr>
      <w:tr>
        <w:tc>
          <w:tcPr/>
          <w:p>
            <w:pPr>
              <w:pStyle w:val="Compact"/>
            </w:pPr>
            <w:r>
              <w:rPr>
                <w:i/>
                <w:iCs/>
              </w:rPr>
              <w:t xml:space="preserve">Baseline UE</w:t>
            </w:r>
          </w:p>
        </w:tc>
        <w:tc>
          <w:tcPr/>
          <w:p>
            <w:pPr>
              <w:pStyle w:val="Compact"/>
            </w:pPr>
            <w:r>
              <w:t xml:space="preserve">&lt;0.3</w:t>
            </w:r>
          </w:p>
        </w:tc>
        <w:tc>
          <w:tcPr/>
          <w:p>
            <w:pPr>
              <w:pStyle w:val="Compact"/>
            </w:pPr>
            <w:r>
              <w:t xml:space="preserve">~4.6</w:t>
            </w:r>
          </w:p>
        </w:tc>
        <w:tc>
          <w:tcPr/>
          <w:p>
            <w:pPr>
              <w:pStyle w:val="Compact"/>
            </w:pPr>
            <w:r>
              <w:t xml:space="preserve">-</w:t>
            </w:r>
          </w:p>
        </w:tc>
      </w:tr>
    </w:tbl>
    <w:p>
      <w:pPr>
        <w:pStyle w:val="BodyText"/>
      </w:pPr>
      <w:r>
        <w:t xml:space="preserve">The results are consistent and reproducible:</w:t>
      </w:r>
      <w:r>
        <w:t xml:space="preserve"> </w:t>
      </w:r>
      <w:r>
        <w:rPr>
          <w:b/>
          <w:bCs/>
        </w:rPr>
        <w:t xml:space="preserve">Yuma</w:t>
      </w:r>
      <w:r>
        <w:t xml:space="preserve"> </w:t>
      </w:r>
      <w:r>
        <w:t xml:space="preserve">(0.723% THC) and</w:t>
      </w:r>
      <w:r>
        <w:t xml:space="preserve"> </w:t>
      </w:r>
      <w:r>
        <w:rPr>
          <w:b/>
          <w:bCs/>
        </w:rPr>
        <w:t xml:space="preserve">Bama</w:t>
      </w:r>
      <w:r>
        <w:t xml:space="preserve"> </w:t>
      </w:r>
      <w:r>
        <w:t xml:space="preserve">(0.506% THC) varieties achieve yields of</w:t>
      </w:r>
      <w:r>
        <w:t xml:space="preserve"> </w:t>
      </w:r>
      <w:r>
        <w:rPr>
          <w:b/>
          <w:bCs/>
        </w:rPr>
        <w:t xml:space="preserve">35.1 and 22.3 t/ha</w:t>
      </w:r>
      <w:r>
        <w:t xml:space="preserve"> </w:t>
      </w:r>
      <w:r>
        <w:t xml:space="preserve">respectively - between</w:t>
      </w:r>
      <w:r>
        <w:t xml:space="preserve"> </w:t>
      </w:r>
      <w:r>
        <w:rPr>
          <w:b/>
          <w:bCs/>
        </w:rPr>
        <w:t xml:space="preserve">4.8 and 7.6 times higher</w:t>
      </w:r>
      <w:r>
        <w:t xml:space="preserve"> </w:t>
      </w:r>
      <w:r>
        <w:t xml:space="preserve">than current European varieties.</w:t>
      </w:r>
    </w:p>
    <w:p>
      <w:pPr>
        <w:pStyle w:val="BodyText"/>
      </w:pPr>
      <w:r>
        <w:rPr>
          <w:b/>
          <w:bCs/>
        </w:rPr>
        <w:t xml:space="preserve">The pattern is unambiguous</w:t>
      </w:r>
      <w:r>
        <w:t xml:space="preserve">: Halker et al. [5], in their study</w:t>
      </w:r>
      <w:r>
        <w:t xml:space="preserve"> </w:t>
      </w:r>
      <w:r>
        <w:rPr>
          <w:i/>
          <w:iCs/>
        </w:rPr>
        <w:t xml:space="preserve">“Evaluating Chinese fiber hemp varieties and planting dates in North Carolina”</w:t>
      </w:r>
      <w:r>
        <w:t xml:space="preserve">, concluded that high-yielding Chinese varieties, with THC levels between</w:t>
      </w:r>
      <w:r>
        <w:t xml:space="preserve"> </w:t>
      </w:r>
      <w:r>
        <w:rPr>
          <w:b/>
          <w:bCs/>
        </w:rPr>
        <w:t xml:space="preserve">0.4% and 0.9%</w:t>
      </w:r>
      <w:r>
        <w:t xml:space="preserve">, are</w:t>
      </w:r>
      <w:r>
        <w:t xml:space="preserve"> </w:t>
      </w:r>
      <w:r>
        <w:rPr>
          <w:b/>
          <w:bCs/>
        </w:rPr>
        <w:t xml:space="preserve">inviable for the European market</w:t>
      </w:r>
      <w:r>
        <w:t xml:space="preserve"> </w:t>
      </w:r>
      <w:r>
        <w:t xml:space="preserve">under the current threshold of 0.3%. This means that Europe is deliberately giving up the world’s most productive germplasm for a regulatory restriction with no sound scientific basis.</w:t>
      </w:r>
    </w:p>
    <w:p>
      <w:pPr>
        <w:pStyle w:val="BodyText"/>
      </w:pPr>
      <w:r>
        <w:t xml:space="preserve">While Europe optimizes for chemical compliance, China develops varieties capable of producing</w:t>
      </w:r>
      <w:r>
        <w:t xml:space="preserve"> </w:t>
      </w:r>
      <w:r>
        <w:rPr>
          <w:b/>
          <w:bCs/>
        </w:rPr>
        <w:t xml:space="preserve">more than 35 tons of biomass per hectare</w:t>
      </w:r>
      <w:r>
        <w:t xml:space="preserve">. The strategic divergence could not be clearer:</w:t>
      </w:r>
      <w:r>
        <w:t xml:space="preserve"> </w:t>
      </w:r>
      <w:r>
        <w:rPr>
          <w:b/>
          <w:bCs/>
        </w:rPr>
        <w:t xml:space="preserve">selection for productivity versus selection for regulatory compliance</w:t>
      </w:r>
      <w:r>
        <w:t xml:space="preserve">.</w:t>
      </w:r>
    </w:p>
    <w:bookmarkEnd w:id="25"/>
    <w:bookmarkStart w:id="26" w:name="implications-for-europes-climate-goals"/>
    <w:p>
      <w:pPr>
        <w:pStyle w:val="Heading3"/>
      </w:pPr>
      <w:r>
        <w:t xml:space="preserve">Implications for Europe’s climate goals</w:t>
      </w:r>
    </w:p>
    <w:p>
      <w:pPr>
        <w:pStyle w:val="FirstParagraph"/>
      </w:pPr>
      <w:r>
        <w:t xml:space="preserve">The European Parliament explicitly recognizes that hemp</w:t>
      </w:r>
      <w:r>
        <w:t xml:space="preserve"> </w:t>
      </w:r>
      <w:r>
        <w:rPr>
          <w:b/>
          <w:bCs/>
        </w:rPr>
        <w:t xml:space="preserve">“contributes to soil health and biodiversity”</w:t>
      </w:r>
      <w:r>
        <w:t xml:space="preserve"> </w:t>
      </w:r>
      <w:r>
        <w:t xml:space="preserve">and constitutes a crop with low environmental impact. However, THC restrictions drastically limit the sector’s carbon sequestration potential.</w:t>
      </w:r>
    </w:p>
    <w:p>
      <w:pPr>
        <w:pStyle w:val="BodyText"/>
      </w:pPr>
      <w:r>
        <w:t xml:space="preserve">Using the standard stoichiometric conversion (1 kg dry biomass = 1.62 kg COâ absorbed) and the current European hemp area (~40,000 ha), calculations reveal the climate cost of the restrictive threshold:</w:t>
      </w:r>
    </w:p>
    <w:tbl>
      <w:tblPr>
        <w:tblStyle w:val="Table"/>
        <w:tblW w:type="pct" w:w="5000"/>
        <w:tblLayout w:type="fixed"/>
        <w:tblLook w:firstRow="1" w:lastRow="0" w:firstColumn="0" w:lastColumn="0" w:noHBand="0" w:noVBand="0" w:val="0020"/>
      </w:tblPr>
      <w:tblGrid>
        <w:gridCol w:w="2002"/>
        <w:gridCol w:w="1092"/>
        <w:gridCol w:w="1820"/>
        <w:gridCol w:w="1820"/>
        <w:gridCol w:w="1183"/>
      </w:tblGrid>
      <w:tr>
        <w:trPr>
          <w:tblHeader w:val="on"/>
        </w:trPr>
        <w:tc>
          <w:tcPr/>
          <w:p>
            <w:pPr>
              <w:pStyle w:val="Compact"/>
            </w:pPr>
            <w:r>
              <w:t xml:space="preserve">Regulatory scenario</w:t>
            </w:r>
          </w:p>
        </w:tc>
        <w:tc>
          <w:tcPr/>
          <w:p>
            <w:pPr>
              <w:pStyle w:val="Compact"/>
            </w:pPr>
            <w:r>
              <w:t xml:space="preserve">THC maximum</w:t>
            </w:r>
          </w:p>
        </w:tc>
        <w:tc>
          <w:tcPr/>
          <w:p>
            <w:pPr>
              <w:pStyle w:val="Compact"/>
            </w:pPr>
            <w:r>
              <w:t xml:space="preserve">Annual total biomass</w:t>
            </w:r>
          </w:p>
        </w:tc>
        <w:tc>
          <w:tcPr/>
          <w:p>
            <w:pPr>
              <w:pStyle w:val="Compact"/>
            </w:pPr>
            <w:r>
              <w:t xml:space="preserve">Annual COâ sequestered</w:t>
            </w:r>
          </w:p>
        </w:tc>
        <w:tc>
          <w:tcPr/>
          <w:p>
            <w:pPr>
              <w:pStyle w:val="Compact"/>
            </w:pPr>
            <w:r>
              <w:t xml:space="preserve">Differential</w:t>
            </w:r>
          </w:p>
        </w:tc>
      </w:tr>
      <w:tr>
        <w:tc>
          <w:tcPr/>
          <w:p>
            <w:pPr>
              <w:pStyle w:val="Compact"/>
            </w:pPr>
            <w:r>
              <w:rPr>
                <w:b/>
                <w:bCs/>
              </w:rPr>
              <w:t xml:space="preserve">Status quo UE</w:t>
            </w:r>
          </w:p>
        </w:tc>
        <w:tc>
          <w:tcPr/>
          <w:p>
            <w:pPr>
              <w:pStyle w:val="Compact"/>
            </w:pPr>
            <w:r>
              <w:t xml:space="preserve">0.2-0.3%</w:t>
            </w:r>
          </w:p>
        </w:tc>
        <w:tc>
          <w:tcPr/>
          <w:p>
            <w:pPr>
              <w:pStyle w:val="Compact"/>
            </w:pPr>
            <w:r>
              <w:t xml:space="preserve">200,000 t</w:t>
            </w:r>
          </w:p>
        </w:tc>
        <w:tc>
          <w:tcPr/>
          <w:p>
            <w:pPr>
              <w:pStyle w:val="Compact"/>
            </w:pPr>
            <w:r>
              <w:t xml:space="preserve">324,000 t</w:t>
            </w:r>
          </w:p>
        </w:tc>
        <w:tc>
          <w:tcPr/>
          <w:p>
            <w:pPr>
              <w:pStyle w:val="Compact"/>
            </w:pPr>
            <w:r>
              <w:t xml:space="preserve">*baseline</w:t>
            </w:r>
          </w:p>
        </w:tc>
      </w:tr>
      <w:tr>
        <w:tc>
          <w:tcPr/>
          <w:p>
            <w:pPr>
              <w:pStyle w:val="Compact"/>
            </w:pPr>
          </w:p>
        </w:tc>
        <w:tc>
          <w:tcPr/>
          <w:p>
            <w:pPr>
              <w:pStyle w:val="Compact"/>
            </w:pPr>
            <w:r>
              <w:rPr>
                <w:b/>
                <w:bCs/>
              </w:rPr>
              <w:t xml:space="preserve">Carmagnola (historical)</w:t>
            </w:r>
          </w:p>
        </w:tc>
        <w:tc>
          <w:tcPr/>
          <w:p>
            <w:pPr>
              <w:pStyle w:val="Compact"/>
            </w:pPr>
            <w:r>
              <w:t xml:space="preserve">0.5%</w:t>
            </w:r>
          </w:p>
        </w:tc>
        <w:tc>
          <w:tcPr/>
          <w:p>
            <w:pPr>
              <w:pStyle w:val="Compact"/>
            </w:pPr>
            <w:r>
              <w:t xml:space="preserve">344,800 t</w:t>
            </w:r>
          </w:p>
        </w:tc>
        <w:tc>
          <w:tcPr/>
          <w:p>
            <w:pPr>
              <w:pStyle w:val="Compact"/>
            </w:pPr>
            <w:r>
              <w:t xml:space="preserve">558,576 t</w:t>
            </w:r>
          </w:p>
        </w:tc>
      </w:tr>
      <w:tr>
        <w:tc>
          <w:tcPr/>
          <w:p>
            <w:pPr>
              <w:pStyle w:val="Compact"/>
            </w:pPr>
            <w:r>
              <w:t xml:space="preserve">Asian Germoplasma**</w:t>
            </w:r>
          </w:p>
        </w:tc>
        <w:tc>
          <w:tcPr/>
          <w:p>
            <w:pPr>
              <w:pStyle w:val="Compact"/>
            </w:pPr>
            <w:r>
              <w:t xml:space="preserve">0.7-1.0%</w:t>
            </w:r>
          </w:p>
        </w:tc>
        <w:tc>
          <w:tcPr/>
          <w:p>
            <w:pPr>
              <w:pStyle w:val="Compact"/>
            </w:pPr>
            <w:r>
              <w:t xml:space="preserve">1,000,000 t</w:t>
            </w:r>
          </w:p>
        </w:tc>
        <w:tc>
          <w:tcPr/>
          <w:p>
            <w:pPr>
              <w:pStyle w:val="Compact"/>
            </w:pPr>
            <w:r>
              <w:t xml:space="preserve">1,620,000 t</w:t>
            </w:r>
          </w:p>
        </w:tc>
        <w:tc>
          <w:tcPr/>
          <w:p>
            <w:pPr>
              <w:pStyle w:val="Compact"/>
            </w:pPr>
            <w:r>
              <w:t xml:space="preserve">1,620,000 t**</w:t>
            </w:r>
          </w:p>
        </w:tc>
      </w:tr>
    </w:tbl>
    <w:p>
      <w:pPr>
        <w:pStyle w:val="BodyText"/>
      </w:pPr>
      <w:r>
        <w:t xml:space="preserve">**Climate opportunity cost: 1,296,000 tons of COâ per year not captured.</w:t>
      </w:r>
    </w:p>
    <w:p>
      <w:pPr>
        <w:pStyle w:val="BodyText"/>
      </w:pPr>
      <w:r>
        <w:t xml:space="preserve">To contextualize this magnitude in terms of European climate policies:</w:t>
      </w:r>
    </w:p>
    <w:p>
      <w:pPr>
        <w:pStyle w:val="Compact"/>
        <w:numPr>
          <w:ilvl w:val="0"/>
          <w:numId w:val="1008"/>
        </w:numPr>
      </w:pPr>
      <w:r>
        <w:rPr>
          <w:b/>
          <w:bCs/>
        </w:rPr>
        <w:t xml:space="preserve">Equivalent to the annual emissions</w:t>
      </w:r>
      <w:r>
        <w:t xml:space="preserve"> </w:t>
      </w:r>
      <w:r>
        <w:t xml:space="preserve">of 324,000 average European cars.</w:t>
      </w:r>
    </w:p>
    <w:p>
      <w:pPr>
        <w:pStyle w:val="Compact"/>
        <w:numPr>
          <w:ilvl w:val="0"/>
          <w:numId w:val="1008"/>
        </w:numPr>
      </w:pPr>
      <w:r>
        <w:t xml:space="preserve">Represents the absorption capacity of 400,000 hectares of Amazonian rainforest** - an area larger than Luxembourg</w:t>
      </w:r>
    </w:p>
    <w:p>
      <w:pPr>
        <w:pStyle w:val="Compact"/>
        <w:numPr>
          <w:ilvl w:val="0"/>
          <w:numId w:val="1008"/>
        </w:numPr>
      </w:pPr>
      <w:r>
        <w:t xml:space="preserve">Exceeds the annual COâ emissions of the European Parliament by 13 times** (100,000 t)</w:t>
      </w:r>
    </w:p>
    <w:p>
      <w:pPr>
        <w:pStyle w:val="Compact"/>
        <w:numPr>
          <w:ilvl w:val="0"/>
          <w:numId w:val="1008"/>
        </w:numPr>
      </w:pPr>
      <w:r>
        <w:rPr>
          <w:b/>
          <w:bCs/>
        </w:rPr>
        <w:t xml:space="preserve">Constitutes 0.04%</w:t>
      </w:r>
      <w:r>
        <w:t xml:space="preserve"> </w:t>
      </w:r>
      <w:r>
        <w:t xml:space="preserve">of the EU’s 2030 net emissions reduction target.</w:t>
      </w:r>
    </w:p>
    <w:p>
      <w:pPr>
        <w:pStyle w:val="FirstParagraph"/>
      </w:pPr>
      <w:r>
        <w:rPr>
          <w:b/>
          <w:bCs/>
        </w:rPr>
        <w:t xml:space="preserve">The regulatory paradox is evident</w:t>
      </w:r>
      <w:r>
        <w:t xml:space="preserve">: while the EU invests billions in carbon capture technologies, it simultaneously restricts access to plant germplasm that could quintuple the sequestration efficiency of the hemp sector</w:t>
      </w:r>
      <w:r>
        <w:t xml:space="preserve"> </w:t>
      </w:r>
      <w:r>
        <w:rPr>
          <w:b/>
          <w:bCs/>
        </w:rPr>
        <w:t xml:space="preserve">at no additional cost of agricultural land</w:t>
      </w:r>
      <w:r>
        <w:t xml:space="preserve">.</w:t>
      </w:r>
    </w:p>
    <w:bookmarkEnd w:id="26"/>
    <w:bookmarkStart w:id="27" w:name="X81e608fd4f7b0aebf7ed20f3a9b134c20300544"/>
    <w:p>
      <w:pPr>
        <w:pStyle w:val="Heading3"/>
      </w:pPr>
      <w:r>
        <w:t xml:space="preserve">Conclusion: policy coherence and scientific evidence</w:t>
      </w:r>
    </w:p>
    <w:p>
      <w:pPr>
        <w:pStyle w:val="FirstParagraph"/>
      </w:pPr>
      <w:r>
        <w:t xml:space="preserve">The empirical evidence presented reveals a</w:t>
      </w:r>
      <w:r>
        <w:t xml:space="preserve"> </w:t>
      </w:r>
      <w:r>
        <w:rPr>
          <w:b/>
          <w:bCs/>
        </w:rPr>
        <w:t xml:space="preserve">fundamental inconsistency</w:t>
      </w:r>
      <w:r>
        <w:t xml:space="preserve"> </w:t>
      </w:r>
      <w:r>
        <w:t xml:space="preserve">in the European regulatory framework. The European Parliament officially recognizes that industrial hemp contributes to climate, biodiversity and agricultural sustainability objectives. Simultaneously, restrictions on THC content systematically exclude germplasm that would maximize these contributions.</w:t>
      </w:r>
    </w:p>
    <w:p>
      <w:pPr>
        <w:pStyle w:val="BodyText"/>
      </w:pPr>
      <w:r>
        <w:t xml:space="preserve">The data are unequivocal:</w:t>
      </w:r>
    </w:p>
    <w:p>
      <w:pPr>
        <w:pStyle w:val="Compact"/>
        <w:numPr>
          <w:ilvl w:val="0"/>
          <w:numId w:val="1009"/>
        </w:numPr>
      </w:pPr>
      <w:r>
        <w:rPr>
          <w:b/>
          <w:bCs/>
        </w:rPr>
        <w:t xml:space="preserve">Carmagnola</w:t>
      </w:r>
      <w:r>
        <w:t xml:space="preserve"> </w:t>
      </w:r>
      <w:r>
        <w:t xml:space="preserve">(+87% yield) remains excluded by 0.1-0.3 percentage points of THC.</w:t>
      </w:r>
    </w:p>
    <w:p>
      <w:pPr>
        <w:pStyle w:val="Compact"/>
        <w:numPr>
          <w:ilvl w:val="0"/>
          <w:numId w:val="1009"/>
        </w:numPr>
      </w:pPr>
      <w:r>
        <w:t xml:space="preserve">Elite Asian varieties** (Ã4-7 higher yield) are inaccessible under the current threshold.</w:t>
      </w:r>
    </w:p>
    <w:p>
      <w:pPr>
        <w:pStyle w:val="Compact"/>
        <w:numPr>
          <w:ilvl w:val="0"/>
          <w:numId w:val="1009"/>
        </w:numPr>
      </w:pPr>
      <w:r>
        <w:rPr>
          <w:b/>
          <w:bCs/>
        </w:rPr>
        <w:t xml:space="preserve">1,296,000 tons/year of COâ</w:t>
      </w:r>
      <w:r>
        <w:t xml:space="preserve"> </w:t>
      </w:r>
      <w:r>
        <w:t xml:space="preserve">are not captured due to regulatory, not agronomic, restrictions.</w:t>
      </w:r>
    </w:p>
    <w:p>
      <w:pPr>
        <w:pStyle w:val="FirstParagraph"/>
      </w:pPr>
      <w:r>
        <w:t xml:space="preserve">The scientific evidence presented leads to an unequivocal conclusion:</w:t>
      </w:r>
      <w:r>
        <w:t xml:space="preserve"> </w:t>
      </w:r>
      <w:r>
        <w:rPr>
          <w:b/>
          <w:bCs/>
        </w:rPr>
        <w:t xml:space="preserve">the hemp varieties with the highest agronomic and environmental potential are consistently above 0.5% THC</w:t>
      </w:r>
      <w:r>
        <w:t xml:space="preserve">. The elite genetics - both traditional European and Asian - express THC profiles in the 0.4-0.9% range, incompatible with any threshold below 1.0%.</w:t>
      </w:r>
    </w:p>
    <w:p>
      <w:pPr>
        <w:pStyle w:val="BodyText"/>
      </w:pPr>
      <w:r>
        <w:t xml:space="preserve">This scientific observation coincides with the assessment of Dr. Ernest Small, original author of the 0.3% criterion, who in 2021 concluded that</w:t>
      </w:r>
      <w:r>
        <w:t xml:space="preserve"> </w:t>
      </w:r>
      <w:r>
        <w:rPr>
          <w:i/>
          <w:iCs/>
        </w:rPr>
        <w:t xml:space="preserve">“1% THC would be a more suitable criterion”</w:t>
      </w:r>
      <w:r>
        <w:t xml:space="preserve"> </w:t>
      </w:r>
      <w:r>
        <w:t xml:space="preserve">for industrial hemp, recognizing that the potential for practical abuse requires significantly higher concentrations.</w:t>
      </w:r>
    </w:p>
    <w:p>
      <w:pPr>
        <w:pStyle w:val="BodyText"/>
      </w:pPr>
      <w:r>
        <w:t xml:space="preserve">The central question transcends analytical chemistry:</w:t>
      </w:r>
      <w:r>
        <w:t xml:space="preserve"> </w:t>
      </w:r>
      <w:r>
        <w:rPr>
          <w:b/>
          <w:bCs/>
        </w:rPr>
        <w:t xml:space="preserve">should European agricultural policy optimize for compliance with arbitrary thresholds or for maximization of agronomic, environmental and climatic benefits?</w:t>
      </w:r>
      <w:r>
        <w:t xml:space="preserve"> </w:t>
      </w:r>
      <w:r>
        <w:t xml:space="preserve">** The central question is: **should European agricultural policy optimize for compliance with arbitrary thresholds or for maximization of agronomic, environmental and climatic benefits?</w:t>
      </w:r>
    </w:p>
    <w:p>
      <w:pPr>
        <w:pStyle w:val="BodyText"/>
      </w:pPr>
      <w:r>
        <w:t xml:space="preserve">The data suggest that the opportunity cost of the status quo - measured in lost competitiveness, unrealized carbon sequestration and wasted agronomic potential - far exceeds any regulatory benefits of maintaining ultra-conservative restrictions on a safe and legal industrial feedstock.</w:t>
      </w:r>
    </w:p>
    <w:bookmarkEnd w:id="27"/>
    <w:bookmarkEnd w:id="28"/>
    <w:bookmarkStart w:id="29" w:name="Xa3cb95be99346132509d445b2db31e7c99913c4"/>
    <w:p>
      <w:pPr>
        <w:pStyle w:val="Heading2"/>
      </w:pPr>
      <w:r>
        <w:rPr>
          <w:b/>
          <w:bCs/>
        </w:rPr>
        <w:t xml:space="preserve">This scientific evidence is already influencing international policy</w:t>
      </w:r>
      <w:r>
        <w:t xml:space="preserve">: a growing number of jurisdictions have adopted the 1% THC threshold, recognizing the agronomic realities that this section has documented.</w:t>
      </w:r>
    </w:p>
    <w:bookmarkEnd w:id="29"/>
    <w:bookmarkStart w:id="37" w:name="Xb27dd1727a4124baabf4621cfc37f85398ce373"/>
    <w:p>
      <w:pPr>
        <w:pStyle w:val="Heading2"/>
      </w:pPr>
      <w:r>
        <w:t xml:space="preserve">2.3 POLITICAL-ECONOMIC ARGUMENT: EUROPE MUST ALIGN WITH THE INTERNATIONAL TREND</w:t>
      </w:r>
    </w:p>
    <w:p>
      <w:pPr>
        <w:pStyle w:val="FirstParagraph"/>
      </w:pPr>
      <w:r>
        <w:t xml:space="preserve">The global analysis updated to January 2026 confirms that</w:t>
      </w:r>
      <w:r>
        <w:t xml:space="preserve"> </w:t>
      </w:r>
      <w:r>
        <w:rPr>
          <w:b/>
          <w:bCs/>
        </w:rPr>
        <w:t xml:space="preserve">1% THC</w:t>
      </w:r>
      <w:r>
        <w:t xml:space="preserve"> </w:t>
      </w:r>
      <w:r>
        <w:t xml:space="preserve">is not a radical proposal, but a</w:t>
      </w:r>
      <w:r>
        <w:t xml:space="preserve"> </w:t>
      </w:r>
      <w:r>
        <w:rPr>
          <w:b/>
          <w:bCs/>
        </w:rPr>
        <w:t xml:space="preserve">consolidated international standard</w:t>
      </w:r>
      <w:r>
        <w:t xml:space="preserve">. The European Union must take this reality into account in order to maintain its competitiveness in the global industrial hemp market.</w:t>
      </w:r>
    </w:p>
    <w:p>
      <w:pPr>
        <w:pStyle w:val="BodyText"/>
      </w:pPr>
      <w:r>
        <w:t xml:space="preserve">The most advanced case is</w:t>
      </w:r>
      <w:r>
        <w:t xml:space="preserve"> </w:t>
      </w:r>
      <w:r>
        <w:rPr>
          <w:b/>
          <w:bCs/>
        </w:rPr>
        <w:t xml:space="preserve">South Africa</w:t>
      </w:r>
      <w:r>
        <w:t xml:space="preserve">, which in December 2025 raised its threshold to</w:t>
      </w:r>
      <w:r>
        <w:t xml:space="preserve"> </w:t>
      </w:r>
      <w:r>
        <w:rPr>
          <w:b/>
          <w:bCs/>
        </w:rPr>
        <w:t xml:space="preserve">2.0% THC</w:t>
      </w:r>
      <w:r>
        <w:t xml:space="preserve">, justifying it by climatic conditions that naturally increase THC content and the need to avoid crop losses (</w:t>
      </w:r>
      <w:r>
        <w:t xml:space="preserve">“hot crops”</w:t>
      </w:r>
      <w:r>
        <w:t xml:space="preserve">). This precedent shows that even thresholds above 1% are feasible without compromising public safety.</w:t>
      </w:r>
    </w:p>
    <w:p>
      <w:pPr>
        <w:pStyle w:val="BodyText"/>
      </w:pPr>
      <w:r>
        <w:t xml:space="preserve">However, the prevailing international standard is 1% THC, adopted by more than 20 jurisdictions on all continents:</w:t>
      </w:r>
    </w:p>
    <w:bookmarkStart w:id="31" w:name="european-zone-and-economic-area"/>
    <w:p>
      <w:pPr>
        <w:pStyle w:val="Heading3"/>
      </w:pPr>
      <w:r>
        <w:t xml:space="preserve">European Zone and Economic Area</w:t>
      </w:r>
    </w:p>
    <w:tbl>
      <w:tblPr>
        <w:tblStyle w:val="Table"/>
        <w:tblW w:type="pct" w:w="5000"/>
        <w:tblLayout w:type="fixed"/>
        <w:tblLook w:firstRow="1" w:lastRow="0" w:firstColumn="0" w:lastColumn="0" w:noHBand="0" w:noVBand="0" w:val="0020"/>
      </w:tblPr>
      <w:tblGrid>
        <w:gridCol w:w="864"/>
        <w:gridCol w:w="1584"/>
        <w:gridCol w:w="1872"/>
        <w:gridCol w:w="1440"/>
        <w:gridCol w:w="2160"/>
      </w:tblGrid>
      <w:tr>
        <w:trPr>
          <w:tblHeader w:val="on"/>
        </w:trPr>
        <w:tc>
          <w:tcPr/>
          <w:p>
            <w:pPr>
              <w:pStyle w:val="Compact"/>
            </w:pPr>
            <w:r>
              <w:t xml:space="preserve">Country</w:t>
            </w:r>
          </w:p>
        </w:tc>
        <w:tc>
          <w:tcPr/>
          <w:p>
            <w:pPr>
              <w:pStyle w:val="Compact"/>
            </w:pPr>
            <w:r>
              <w:t xml:space="preserve">THC limit</w:t>
            </w:r>
          </w:p>
        </w:tc>
        <w:tc>
          <w:tcPr/>
          <w:p>
            <w:pPr>
              <w:pStyle w:val="Compact"/>
            </w:pPr>
            <w:r>
              <w:t xml:space="preserve">Legal framework</w:t>
            </w:r>
          </w:p>
        </w:tc>
        <w:tc>
          <w:tcPr/>
          <w:p>
            <w:pPr>
              <w:pStyle w:val="Compact"/>
            </w:pPr>
            <w:r>
              <w:t xml:space="preserve">Validity</w:t>
            </w:r>
          </w:p>
        </w:tc>
        <w:tc>
          <w:tcPr/>
          <w:p>
            <w:pPr>
              <w:pStyle w:val="Compact"/>
            </w:pPr>
            <w:r>
              <w:t xml:space="preserve">Comments</w:t>
            </w:r>
          </w:p>
        </w:tc>
      </w:tr>
      <w:tr>
        <w:tc>
          <w:tcPr/>
          <w:p>
            <w:pPr>
              <w:pStyle w:val="Compact"/>
            </w:pPr>
            <w:r>
              <w:t xml:space="preserve">Switzerland</w:t>
            </w:r>
            <w:r>
              <w:t xml:space="preserve"> </w:t>
            </w:r>
            <w:r>
              <w:rPr>
                <w:b/>
                <w:bCs/>
              </w:rPr>
              <w:t xml:space="preserve">Switzerland</w:t>
            </w:r>
          </w:p>
        </w:tc>
        <w:tc>
          <w:tcPr/>
          <w:p>
            <w:pPr>
              <w:pStyle w:val="Compact"/>
            </w:pPr>
            <w:r>
              <w:t xml:space="preserve">1.0%</w:t>
            </w:r>
          </w:p>
        </w:tc>
        <w:tc>
          <w:tcPr/>
          <w:p>
            <w:pPr>
              <w:pStyle w:val="Compact"/>
            </w:pPr>
            <w:r>
              <w:t xml:space="preserve">Narcotic Drugs Act (LStup)</w:t>
            </w:r>
          </w:p>
        </w:tc>
        <w:tc>
          <w:tcPr/>
          <w:p>
            <w:pPr>
              <w:pStyle w:val="Compact"/>
            </w:pPr>
            <w:r>
              <w:t xml:space="preserve">2011</w:t>
            </w:r>
          </w:p>
        </w:tc>
        <w:tc>
          <w:tcPr/>
          <w:p>
            <w:pPr>
              <w:pStyle w:val="Compact"/>
            </w:pPr>
            <w:r>
              <w:t xml:space="preserve">European pioneer. Commercialized in EU market &gt;10 years without incident.</w:t>
            </w:r>
          </w:p>
        </w:tc>
      </w:tr>
      <w:tr>
        <w:tc>
          <w:tcPr/>
          <w:p>
            <w:pPr>
              <w:pStyle w:val="Compact"/>
            </w:pPr>
            <w:r>
              <w:t xml:space="preserve">Luxembourg**</w:t>
            </w:r>
          </w:p>
        </w:tc>
        <w:tc>
          <w:tcPr/>
          <w:p>
            <w:pPr>
              <w:pStyle w:val="Compact"/>
            </w:pPr>
            <w:r>
              <w:t xml:space="preserve">â¤1.0%</w:t>
            </w:r>
          </w:p>
        </w:tc>
        <w:tc>
          <w:tcPr/>
          <w:p>
            <w:pPr>
              <w:pStyle w:val="Compact"/>
            </w:pPr>
            <w:r>
              <w:t xml:space="preserve">Tobacco Control Act</w:t>
            </w:r>
          </w:p>
        </w:tc>
        <w:tc>
          <w:tcPr/>
          <w:p>
            <w:pPr>
              <w:pStyle w:val="Compact"/>
            </w:pPr>
            <w:r>
              <w:t xml:space="preserve">2023</w:t>
            </w:r>
          </w:p>
        </w:tc>
        <w:tc>
          <w:tcPr/>
          <w:p>
            <w:pPr>
              <w:pStyle w:val="Compact"/>
            </w:pPr>
            <w:r>
              <w:t xml:space="preserve">EU Member State. Tobacco substitute products.</w:t>
            </w:r>
          </w:p>
        </w:tc>
      </w:tr>
      <w:tr>
        <w:tc>
          <w:tcPr/>
          <w:p>
            <w:pPr>
              <w:pStyle w:val="Compact"/>
            </w:pPr>
            <w:r>
              <w:t xml:space="preserve">Czech Republic**</w:t>
            </w:r>
          </w:p>
        </w:tc>
        <w:tc>
          <w:tcPr/>
          <w:p>
            <w:pPr>
              <w:pStyle w:val="Compact"/>
            </w:pPr>
            <w:r>
              <w:t xml:space="preserve">1.0%</w:t>
            </w:r>
          </w:p>
        </w:tc>
        <w:tc>
          <w:tcPr/>
          <w:p>
            <w:pPr>
              <w:pStyle w:val="Compact"/>
            </w:pPr>
            <w:r>
              <w:t xml:space="preserve">Psychomodulatory Substances Act</w:t>
            </w:r>
          </w:p>
        </w:tc>
        <w:tc>
          <w:tcPr/>
          <w:p>
            <w:pPr>
              <w:pStyle w:val="Compact"/>
            </w:pPr>
            <w:r>
              <w:t xml:space="preserve">Jan 2025</w:t>
            </w:r>
          </w:p>
        </w:tc>
        <w:tc>
          <w:tcPr/>
          <w:p>
            <w:pPr>
              <w:pStyle w:val="Compact"/>
            </w:pPr>
            <w:r>
              <w:t xml:space="preserve">Bilateral import agreements with Uruguay.</w:t>
            </w:r>
          </w:p>
        </w:tc>
      </w:tr>
      <w:tr>
        <w:tc>
          <w:tcPr/>
          <w:p>
            <w:pPr>
              <w:pStyle w:val="Compact"/>
            </w:pPr>
            <w:r>
              <w:t xml:space="preserve">Albania** â¤1.0%</w:t>
            </w:r>
          </w:p>
        </w:tc>
        <w:tc>
          <w:tcPr/>
          <w:p>
            <w:pPr>
              <w:pStyle w:val="Compact"/>
            </w:pPr>
            <w:r>
              <w:t xml:space="preserve">Cannabis Law 61/2023</w:t>
            </w:r>
          </w:p>
        </w:tc>
        <w:tc>
          <w:tcPr/>
          <w:p>
            <w:pPr>
              <w:pStyle w:val="Compact"/>
            </w:pPr>
            <w:r>
              <w:t xml:space="preserve">2023</w:t>
            </w:r>
          </w:p>
        </w:tc>
        <w:tc>
          <w:tcPr/>
          <w:p>
            <w:pPr>
              <w:pStyle w:val="Compact"/>
            </w:pPr>
            <w:r>
              <w:t xml:space="preserve">Industrial Hemp.</w:t>
            </w:r>
          </w:p>
        </w:tc>
        <w:tc>
          <w:tcPr/>
          <w:p>
            <w:pPr>
              <w:pStyle w:val="Compact"/>
            </w:pPr>
          </w:p>
        </w:tc>
      </w:tr>
      <w:tr>
        <w:tc>
          <w:tcPr/>
          <w:p>
            <w:pPr>
              <w:pStyle w:val="Compact"/>
            </w:pPr>
            <w:r>
              <w:rPr>
                <w:b/>
                <w:bCs/>
              </w:rPr>
              <w:t xml:space="preserve">Spain</w:t>
            </w:r>
          </w:p>
        </w:tc>
        <w:tc>
          <w:tcPr/>
          <w:p>
            <w:pPr>
              <w:pStyle w:val="Compact"/>
            </w:pPr>
            <w:r>
              <w:t xml:space="preserve">1.0%</w:t>
            </w:r>
          </w:p>
        </w:tc>
        <w:tc>
          <w:tcPr/>
          <w:p>
            <w:pPr>
              <w:pStyle w:val="Compact"/>
            </w:pPr>
            <w:r>
              <w:t xml:space="preserve">PNL 161/004332</w:t>
            </w:r>
          </w:p>
        </w:tc>
        <w:tc>
          <w:tcPr/>
          <w:p>
            <w:pPr>
              <w:pStyle w:val="Compact"/>
            </w:pPr>
            <w:r>
              <w:t xml:space="preserve">Jan 2023</w:t>
            </w:r>
          </w:p>
        </w:tc>
        <w:tc>
          <w:tcPr/>
          <w:p>
            <w:pPr>
              <w:pStyle w:val="Compact"/>
            </w:pPr>
            <w:r>
              <w:t xml:space="preserve">Parliamentary mandate to be implemented.</w:t>
            </w:r>
          </w:p>
        </w:tc>
      </w:tr>
      <w:tr>
        <w:tc>
          <w:tcPr/>
          <w:p>
            <w:pPr>
              <w:pStyle w:val="Compact"/>
            </w:pPr>
            <w:r>
              <w:t xml:space="preserve">Germany**</w:t>
            </w:r>
          </w:p>
        </w:tc>
        <w:tc>
          <w:tcPr/>
          <w:p>
            <w:pPr>
              <w:pStyle w:val="Compact"/>
            </w:pPr>
            <w:r>
              <w:t xml:space="preserve">1.0%</w:t>
            </w:r>
          </w:p>
        </w:tc>
        <w:tc>
          <w:tcPr/>
          <w:p>
            <w:pPr>
              <w:pStyle w:val="Compact"/>
            </w:pPr>
            <w:r>
              <w:t xml:space="preserve">DAB 2020 - Cannabis extractum normatum</w:t>
            </w:r>
          </w:p>
        </w:tc>
        <w:tc>
          <w:tcPr/>
          <w:p>
            <w:pPr>
              <w:pStyle w:val="Compact"/>
            </w:pPr>
            <w:r>
              <w:t xml:space="preserve">Jun 2020</w:t>
            </w:r>
          </w:p>
        </w:tc>
        <w:tc>
          <w:tcPr/>
          <w:p>
            <w:pPr>
              <w:pStyle w:val="Compact"/>
            </w:pPr>
            <w:hyperlink r:id="rId30">
              <w:r>
                <w:rPr>
                  <w:rStyle w:val="Hyperlink"/>
                </w:rPr>
                <w:t xml:space="preserve">Official monograph extracts</w:t>
              </w:r>
            </w:hyperlink>
            <w:r>
              <w:t xml:space="preserve">: minimum 1% THC (BfArM). While not a limit for hemp, the official monograph defines that</w:t>
            </w:r>
            <w:r>
              <w:t xml:space="preserve"> </w:t>
            </w:r>
            <w:r>
              <w:rPr>
                <w:b/>
                <w:bCs/>
              </w:rPr>
              <w:t xml:space="preserve">below 1% is not considered medicinal</w:t>
            </w:r>
            <w:r>
              <w:t xml:space="preserve">.</w:t>
            </w:r>
          </w:p>
        </w:tc>
      </w:tr>
    </w:tbl>
    <w:bookmarkEnd w:id="31"/>
    <w:bookmarkStart w:id="34" w:name="mercosur-zone-and-latin-america"/>
    <w:p>
      <w:pPr>
        <w:pStyle w:val="Heading3"/>
      </w:pPr>
      <w:r>
        <w:t xml:space="preserve">Mercosur Zone and Latin America</w:t>
      </w:r>
    </w:p>
    <w:p>
      <w:pPr>
        <w:pStyle w:val="FirstParagraph"/>
      </w:pPr>
      <w:r>
        <w:t xml:space="preserve">The Latin American bloc has largely adopted the</w:t>
      </w:r>
      <w:r>
        <w:t xml:space="preserve"> </w:t>
      </w:r>
      <w:r>
        <w:rPr>
          <w:b/>
          <w:bCs/>
        </w:rPr>
        <w:t xml:space="preserve">1% THC</w:t>
      </w:r>
      <w:r>
        <w:t xml:space="preserve">, with direct implications for European trade policy:</w:t>
      </w:r>
    </w:p>
    <w:tbl>
      <w:tblPr>
        <w:tblStyle w:val="Table"/>
        <w:tblW w:type="pct" w:w="5000"/>
        <w:tblLayout w:type="fixed"/>
        <w:tblLook w:firstRow="1" w:lastRow="0" w:firstColumn="0" w:lastColumn="0" w:noHBand="0" w:noVBand="0" w:val="0020"/>
      </w:tblPr>
      <w:tblGrid>
        <w:gridCol w:w="864"/>
        <w:gridCol w:w="1584"/>
        <w:gridCol w:w="1872"/>
        <w:gridCol w:w="1440"/>
        <w:gridCol w:w="2160"/>
      </w:tblGrid>
      <w:tr>
        <w:trPr>
          <w:tblHeader w:val="on"/>
        </w:trPr>
        <w:tc>
          <w:tcPr/>
          <w:p>
            <w:pPr>
              <w:pStyle w:val="Compact"/>
            </w:pPr>
            <w:r>
              <w:t xml:space="preserve">Country</w:t>
            </w:r>
          </w:p>
        </w:tc>
        <w:tc>
          <w:tcPr/>
          <w:p>
            <w:pPr>
              <w:pStyle w:val="Compact"/>
            </w:pPr>
            <w:r>
              <w:t xml:space="preserve">THC limit</w:t>
            </w:r>
          </w:p>
        </w:tc>
        <w:tc>
          <w:tcPr/>
          <w:p>
            <w:pPr>
              <w:pStyle w:val="Compact"/>
            </w:pPr>
            <w:r>
              <w:t xml:space="preserve">Legal framework</w:t>
            </w:r>
          </w:p>
        </w:tc>
        <w:tc>
          <w:tcPr/>
          <w:p>
            <w:pPr>
              <w:pStyle w:val="Compact"/>
            </w:pPr>
            <w:r>
              <w:t xml:space="preserve">Validity</w:t>
            </w:r>
          </w:p>
        </w:tc>
        <w:tc>
          <w:tcPr/>
          <w:p>
            <w:pPr>
              <w:pStyle w:val="Compact"/>
            </w:pPr>
            <w:r>
              <w:t xml:space="preserve">Comments</w:t>
            </w:r>
          </w:p>
        </w:tc>
      </w:tr>
      <w:tr>
        <w:tc>
          <w:tcPr/>
          <w:p>
            <w:pPr>
              <w:pStyle w:val="Compact"/>
            </w:pPr>
            <w:r>
              <w:rPr>
                <w:b/>
                <w:bCs/>
              </w:rPr>
              <w:t xml:space="preserve">Uruguay</w:t>
            </w:r>
          </w:p>
        </w:tc>
        <w:tc>
          <w:tcPr/>
          <w:p>
            <w:pPr>
              <w:pStyle w:val="Compact"/>
            </w:pPr>
            <w:r>
              <w:t xml:space="preserve">1.0%</w:t>
            </w:r>
          </w:p>
        </w:tc>
        <w:tc>
          <w:tcPr/>
          <w:p>
            <w:pPr>
              <w:pStyle w:val="Compact"/>
            </w:pPr>
            <w:r>
              <w:t xml:space="preserve">Law 19.172 + Decree 372/2014</w:t>
            </w:r>
          </w:p>
        </w:tc>
        <w:tc>
          <w:tcPr/>
          <w:p>
            <w:pPr>
              <w:pStyle w:val="Compact"/>
            </w:pPr>
            <w:r>
              <w:t xml:space="preserve">Dec 2013</w:t>
            </w:r>
          </w:p>
        </w:tc>
        <w:tc>
          <w:tcPr/>
          <w:p>
            <w:pPr>
              <w:pStyle w:val="Compact"/>
            </w:pPr>
            <w:r>
              <w:t xml:space="preserve">Regional pioneer.</w:t>
            </w:r>
            <w:r>
              <w:t xml:space="preserve"> </w:t>
            </w:r>
            <w:hyperlink r:id="rId32">
              <w:r>
                <w:rPr>
                  <w:rStyle w:val="Hyperlink"/>
                </w:rPr>
                <w:t xml:space="preserve">Active export protocols</w:t>
              </w:r>
            </w:hyperlink>
            <w:r>
              <w:t xml:space="preserve"> </w:t>
            </w:r>
            <w:r>
              <w:t xml:space="preserve">(MGAP, 2022).</w:t>
            </w:r>
          </w:p>
        </w:tc>
      </w:tr>
      <w:tr>
        <w:tc>
          <w:tcPr/>
          <w:p>
            <w:pPr>
              <w:pStyle w:val="Compact"/>
            </w:pPr>
            <w:r>
              <w:rPr>
                <w:b/>
                <w:bCs/>
              </w:rPr>
              <w:t xml:space="preserve">Argentina</w:t>
            </w:r>
          </w:p>
        </w:tc>
        <w:tc>
          <w:tcPr/>
          <w:p>
            <w:pPr>
              <w:pStyle w:val="Compact"/>
            </w:pPr>
            <w:r>
              <w:t xml:space="preserve">1.0%</w:t>
            </w:r>
          </w:p>
        </w:tc>
        <w:tc>
          <w:tcPr/>
          <w:p>
            <w:pPr>
              <w:pStyle w:val="Compact"/>
            </w:pPr>
            <w:r>
              <w:t xml:space="preserve">Law 27,669 + Decree 405/2023</w:t>
            </w:r>
          </w:p>
        </w:tc>
        <w:tc>
          <w:tcPr/>
          <w:p>
            <w:pPr>
              <w:pStyle w:val="Compact"/>
            </w:pPr>
            <w:r>
              <w:t xml:space="preserve">2022-2023</w:t>
            </w:r>
          </w:p>
        </w:tc>
        <w:tc>
          <w:tcPr/>
          <w:p>
            <w:pPr>
              <w:pStyle w:val="Compact"/>
            </w:pPr>
            <w:r>
              <w:t xml:space="preserve">Integral framework for industrial hemp.</w:t>
            </w:r>
          </w:p>
        </w:tc>
      </w:tr>
      <w:tr>
        <w:tc>
          <w:tcPr/>
          <w:p>
            <w:pPr>
              <w:pStyle w:val="Compact"/>
            </w:pPr>
            <w:r>
              <w:t xml:space="preserve">Chile**</w:t>
            </w:r>
          </w:p>
        </w:tc>
        <w:tc>
          <w:tcPr/>
          <w:p>
            <w:pPr>
              <w:pStyle w:val="Compact"/>
            </w:pPr>
            <w:r>
              <w:t xml:space="preserve">â¤1.0%</w:t>
            </w:r>
          </w:p>
        </w:tc>
        <w:tc>
          <w:tcPr/>
          <w:p>
            <w:pPr>
              <w:pStyle w:val="Compact"/>
            </w:pPr>
            <w:r>
              <w:t xml:space="preserve">Law 20.000 + SAG/ISP criteria</w:t>
            </w:r>
          </w:p>
        </w:tc>
        <w:tc>
          <w:tcPr/>
          <w:p>
            <w:pPr>
              <w:pStyle w:val="Compact"/>
            </w:pPr>
            <w:r>
              <w:t xml:space="preserve">2021</w:t>
            </w:r>
          </w:p>
        </w:tc>
        <w:tc>
          <w:tcPr/>
          <w:p>
            <w:pPr>
              <w:pStyle w:val="Compact"/>
            </w:pPr>
            <w:r>
              <w:t xml:space="preserve">Exclusion of narcotics control.</w:t>
            </w:r>
          </w:p>
        </w:tc>
      </w:tr>
      <w:tr>
        <w:tc>
          <w:tcPr/>
          <w:p>
            <w:pPr>
              <w:pStyle w:val="Compact"/>
            </w:pPr>
            <w:r>
              <w:t xml:space="preserve">Paraguay**</w:t>
            </w:r>
          </w:p>
        </w:tc>
        <w:tc>
          <w:tcPr/>
          <w:p>
            <w:pPr>
              <w:pStyle w:val="Compact"/>
            </w:pPr>
            <w:r>
              <w:t xml:space="preserve">â¤1.0%</w:t>
            </w:r>
          </w:p>
        </w:tc>
        <w:tc>
          <w:tcPr/>
          <w:p>
            <w:pPr>
              <w:pStyle w:val="Compact"/>
            </w:pPr>
            <w:r>
              <w:t xml:space="preserve">Decree 2725/2019</w:t>
            </w:r>
          </w:p>
        </w:tc>
        <w:tc>
          <w:tcPr/>
          <w:p>
            <w:pPr>
              <w:pStyle w:val="Compact"/>
            </w:pPr>
            <w:r>
              <w:t xml:space="preserve">2019</w:t>
            </w:r>
          </w:p>
        </w:tc>
        <w:tc>
          <w:tcPr/>
          <w:p>
            <w:pPr>
              <w:pStyle w:val="Compact"/>
            </w:pPr>
            <w:r>
              <w:t xml:space="preserve">Industrial hemp.</w:t>
            </w:r>
          </w:p>
        </w:tc>
      </w:tr>
      <w:tr>
        <w:tc>
          <w:tcPr/>
          <w:p>
            <w:pPr>
              <w:pStyle w:val="Compact"/>
            </w:pPr>
            <w:r>
              <w:t xml:space="preserve">Colombia**</w:t>
            </w:r>
          </w:p>
        </w:tc>
        <w:tc>
          <w:tcPr/>
          <w:p>
            <w:pPr>
              <w:pStyle w:val="Compact"/>
            </w:pPr>
            <w:r>
              <w:t xml:space="preserve">1.0%</w:t>
            </w:r>
          </w:p>
        </w:tc>
        <w:tc>
          <w:tcPr/>
          <w:p>
            <w:pPr>
              <w:pStyle w:val="Compact"/>
            </w:pPr>
            <w:r>
              <w:t xml:space="preserve">Law 1787/2016 + Decree 613/2017</w:t>
            </w:r>
          </w:p>
        </w:tc>
        <w:tc>
          <w:tcPr/>
          <w:p>
            <w:pPr>
              <w:pStyle w:val="Compact"/>
            </w:pPr>
            <w:r>
              <w:t xml:space="preserve">2016-2017</w:t>
            </w:r>
          </w:p>
        </w:tc>
        <w:tc>
          <w:tcPr/>
          <w:p>
            <w:pPr>
              <w:pStyle w:val="Compact"/>
            </w:pPr>
            <w:r>
              <w:t xml:space="preserve">Exporting power of CBD derivatives.</w:t>
            </w:r>
          </w:p>
        </w:tc>
      </w:tr>
      <w:tr>
        <w:tc>
          <w:tcPr/>
          <w:p>
            <w:pPr>
              <w:pStyle w:val="Compact"/>
            </w:pPr>
            <w:r>
              <w:t xml:space="preserve">Ecuador**</w:t>
            </w:r>
          </w:p>
        </w:tc>
        <w:tc>
          <w:tcPr/>
          <w:p>
            <w:pPr>
              <w:pStyle w:val="Compact"/>
            </w:pPr>
            <w:r>
              <w:t xml:space="preserve">1.0%</w:t>
            </w:r>
          </w:p>
        </w:tc>
        <w:tc>
          <w:tcPr/>
          <w:p>
            <w:pPr>
              <w:pStyle w:val="Compact"/>
            </w:pPr>
            <w:r>
              <w:t xml:space="preserve">Ministerial Agreement 109-2020</w:t>
            </w:r>
          </w:p>
        </w:tc>
        <w:tc>
          <w:tcPr/>
          <w:p>
            <w:pPr>
              <w:pStyle w:val="Compact"/>
            </w:pPr>
            <w:r>
              <w:t xml:space="preserve">2020</w:t>
            </w:r>
          </w:p>
        </w:tc>
        <w:tc>
          <w:tcPr/>
          <w:p>
            <w:pPr>
              <w:pStyle w:val="Compact"/>
            </w:pPr>
            <w:r>
              <w:t xml:space="preserve">Non-psychoactive Cannabis.</w:t>
            </w:r>
          </w:p>
        </w:tc>
      </w:tr>
      <w:tr>
        <w:tc>
          <w:tcPr/>
          <w:p>
            <w:pPr>
              <w:pStyle w:val="Compact"/>
            </w:pPr>
            <w:r>
              <w:t xml:space="preserve">Peru** 1.0%</w:t>
            </w:r>
          </w:p>
        </w:tc>
        <w:tc>
          <w:tcPr/>
          <w:p>
            <w:pPr>
              <w:pStyle w:val="Compact"/>
            </w:pPr>
            <w:r>
              <w:t xml:space="preserve">Law 32195</w:t>
            </w:r>
          </w:p>
        </w:tc>
        <w:tc>
          <w:tcPr/>
          <w:p>
            <w:pPr>
              <w:pStyle w:val="Compact"/>
            </w:pPr>
            <w:r>
              <w:t xml:space="preserve">Dec 2024</w:t>
            </w:r>
          </w:p>
        </w:tc>
        <w:tc>
          <w:tcPr/>
          <w:p>
            <w:pPr>
              <w:pStyle w:val="Compact"/>
            </w:pPr>
            <w:r>
              <w:t xml:space="preserve">Industrial hemp.</w:t>
            </w:r>
          </w:p>
        </w:tc>
        <w:tc>
          <w:tcPr/>
          <w:p>
            <w:pPr>
              <w:pStyle w:val="Compact"/>
            </w:pPr>
          </w:p>
        </w:tc>
      </w:tr>
      <w:tr>
        <w:tc>
          <w:tcPr/>
          <w:p>
            <w:pPr>
              <w:pStyle w:val="Compact"/>
            </w:pPr>
            <w:r>
              <w:t xml:space="preserve">Mexico**</w:t>
            </w:r>
          </w:p>
        </w:tc>
        <w:tc>
          <w:tcPr/>
          <w:p>
            <w:pPr>
              <w:pStyle w:val="Compact"/>
            </w:pPr>
            <w:r>
              <w:t xml:space="preserve">1.0%</w:t>
            </w:r>
          </w:p>
        </w:tc>
        <w:tc>
          <w:tcPr/>
          <w:p>
            <w:pPr>
              <w:pStyle w:val="Compact"/>
            </w:pPr>
            <w:r>
              <w:t xml:space="preserve">General Health Law Art. 245</w:t>
            </w:r>
          </w:p>
        </w:tc>
        <w:tc>
          <w:tcPr/>
          <w:p>
            <w:pPr>
              <w:pStyle w:val="Compact"/>
            </w:pPr>
            <w:r>
              <w:t xml:space="preserve">2017</w:t>
            </w:r>
          </w:p>
        </w:tc>
        <w:tc>
          <w:tcPr/>
          <w:p>
            <w:pPr>
              <w:pStyle w:val="Compact"/>
            </w:pPr>
            <w:r>
              <w:t xml:space="preserve">Industrial products.</w:t>
            </w:r>
          </w:p>
        </w:tc>
      </w:tr>
      <w:tr>
        <w:tc>
          <w:tcPr/>
          <w:p>
            <w:pPr>
              <w:pStyle w:val="Compact"/>
            </w:pPr>
            <w:r>
              <w:t xml:space="preserve">Costa Rica**</w:t>
            </w:r>
          </w:p>
        </w:tc>
        <w:tc>
          <w:tcPr/>
          <w:p>
            <w:pPr>
              <w:pStyle w:val="Compact"/>
            </w:pPr>
            <w:r>
              <w:t xml:space="preserve">1.0%</w:t>
            </w:r>
          </w:p>
        </w:tc>
        <w:tc>
          <w:tcPr/>
          <w:p>
            <w:pPr>
              <w:pStyle w:val="Compact"/>
            </w:pPr>
            <w:r>
              <w:t xml:space="preserve">Law 10113 + RTCR 515:2024</w:t>
            </w:r>
          </w:p>
        </w:tc>
        <w:tc>
          <w:tcPr/>
          <w:p>
            <w:pPr>
              <w:pStyle w:val="Compact"/>
            </w:pPr>
            <w:r>
              <w:t xml:space="preserve">2022</w:t>
            </w:r>
          </w:p>
        </w:tc>
        <w:tc>
          <w:tcPr/>
          <w:p>
            <w:pPr>
              <w:pStyle w:val="Compact"/>
            </w:pPr>
            <w:r>
              <w:t xml:space="preserve">Complete technical framework.</w:t>
            </w:r>
          </w:p>
        </w:tc>
      </w:tr>
      <w:tr>
        <w:tc>
          <w:tcPr/>
          <w:p>
            <w:pPr>
              <w:pStyle w:val="Compact"/>
            </w:pPr>
            <w:r>
              <w:t xml:space="preserve">Panama**</w:t>
            </w:r>
          </w:p>
        </w:tc>
        <w:tc>
          <w:tcPr/>
          <w:p>
            <w:pPr>
              <w:pStyle w:val="Compact"/>
            </w:pPr>
            <w:r>
              <w:t xml:space="preserve">1.0%</w:t>
            </w:r>
          </w:p>
        </w:tc>
        <w:tc>
          <w:tcPr/>
          <w:p>
            <w:pPr>
              <w:pStyle w:val="Compact"/>
            </w:pPr>
            <w:r>
              <w:t xml:space="preserve">Law 464</w:t>
            </w:r>
          </w:p>
        </w:tc>
        <w:tc>
          <w:tcPr/>
          <w:p>
            <w:pPr>
              <w:pStyle w:val="Compact"/>
            </w:pPr>
            <w:r>
              <w:t xml:space="preserve">Mar 2025</w:t>
            </w:r>
          </w:p>
        </w:tc>
        <w:tc>
          <w:tcPr/>
          <w:p>
            <w:pPr>
              <w:pStyle w:val="Compact"/>
            </w:pPr>
            <w:r>
              <w:t xml:space="preserve">Industrial hemp.</w:t>
            </w:r>
          </w:p>
        </w:tc>
      </w:tr>
      <w:tr>
        <w:tc>
          <w:tcPr/>
          <w:p>
            <w:pPr>
              <w:pStyle w:val="Compact"/>
            </w:pPr>
            <w:r>
              <w:t xml:space="preserve">Jamaica** â¤1.0%</w:t>
            </w:r>
          </w:p>
        </w:tc>
        <w:tc>
          <w:tcPr/>
          <w:p>
            <w:pPr>
              <w:pStyle w:val="Compact"/>
            </w:pPr>
            <w:r>
              <w:t xml:space="preserve">Dangerous Drugs Amendment Act</w:t>
            </w:r>
          </w:p>
        </w:tc>
        <w:tc>
          <w:tcPr/>
          <w:p>
            <w:pPr>
              <w:pStyle w:val="Compact"/>
            </w:pPr>
            <w:r>
              <w:t xml:space="preserve">Apr 2015</w:t>
            </w:r>
          </w:p>
        </w:tc>
        <w:tc>
          <w:tcPr/>
          <w:p>
            <w:pPr>
              <w:pStyle w:val="Compact"/>
            </w:pPr>
            <w:r>
              <w:t xml:space="preserve">Hemp legal definition.</w:t>
            </w:r>
          </w:p>
        </w:tc>
        <w:tc>
          <w:tcPr/>
          <w:p>
            <w:pPr>
              <w:pStyle w:val="Compact"/>
            </w:pPr>
          </w:p>
        </w:tc>
      </w:tr>
    </w:tbl>
    <w:p>
      <w:pPr>
        <w:pStyle w:val="BodyText"/>
      </w:pPr>
      <w:r>
        <w:rPr>
          <w:b/>
          <w:bCs/>
        </w:rPr>
        <w:t xml:space="preserve">Legal implication for the EU</w:t>
      </w:r>
      <w:r>
        <w:t xml:space="preserve">: The</w:t>
      </w:r>
      <w:r>
        <w:t xml:space="preserve"> </w:t>
      </w:r>
      <w:hyperlink r:id="rId33">
        <w:r>
          <w:rPr>
            <w:rStyle w:val="Hyperlink"/>
          </w:rPr>
          <w:t xml:space="preserve">EU-Mercosur Agreement signed on 17 January 2026</w:t>
        </w:r>
      </w:hyperlink>
      <w:r>
        <w:t xml:space="preserve"> </w:t>
      </w:r>
      <w:r>
        <w:t xml:space="preserve">incorporates WTO principles on Technical Barriers to Trade (Chapter 5 TBT). The</w:t>
      </w:r>
      <w:r>
        <w:t xml:space="preserve"> </w:t>
      </w:r>
      <w:r>
        <w:rPr>
          <w:b/>
          <w:bCs/>
        </w:rPr>
        <w:t xml:space="preserve">“necessity”</w:t>
      </w:r>
      <w:r>
        <w:rPr>
          <w:b/>
          <w:bCs/>
        </w:rPr>
        <w:t xml:space="preserve"> </w:t>
      </w:r>
      <w:r>
        <w:rPr>
          <w:b/>
          <w:bCs/>
        </w:rPr>
        <w:t xml:space="preserve">test of Article 2.2 TBT</w:t>
      </w:r>
      <w:r>
        <w:t xml:space="preserve"> </w:t>
      </w:r>
      <w:r>
        <w:t xml:space="preserve">obliges to assess whether the European threshold of 0.3% is</w:t>
      </w:r>
      <w:r>
        <w:t xml:space="preserve"> </w:t>
      </w:r>
      <w:r>
        <w:rPr>
          <w:b/>
          <w:bCs/>
        </w:rPr>
        <w:t xml:space="preserve">“more restrictive than necessary”</w:t>
      </w:r>
      <w:r>
        <w:t xml:space="preserve"> </w:t>
      </w:r>
      <w:r>
        <w:t xml:space="preserve">for the legitimate objective of distinguishing hemp from psychoactive cannabis.</w:t>
      </w:r>
    </w:p>
    <w:p>
      <w:pPr>
        <w:pStyle w:val="BodyText"/>
      </w:pPr>
      <w:r>
        <w:t xml:space="preserve">When</w:t>
      </w:r>
      <w:r>
        <w:t xml:space="preserve"> </w:t>
      </w:r>
      <w:r>
        <w:rPr>
          <w:b/>
          <w:bCs/>
        </w:rPr>
        <w:t xml:space="preserve">3 out of 4 Mercosur members</w:t>
      </w:r>
      <w:r>
        <w:t xml:space="preserve"> </w:t>
      </w:r>
      <w:r>
        <w:t xml:space="preserve">(Argentina, Paraguay, Uruguay) successfully operate at 1% THC without public safety problems, maintaining 0.3% constitutes an</w:t>
      </w:r>
      <w:r>
        <w:t xml:space="preserve"> </w:t>
      </w:r>
      <w:r>
        <w:rPr>
          <w:b/>
          <w:bCs/>
        </w:rPr>
        <w:t xml:space="preserve">unjustified technical barrier</w:t>
      </w:r>
      <w:r>
        <w:t xml:space="preserve"> </w:t>
      </w:r>
      <w:r>
        <w:t xml:space="preserve">that contradicts the regulatory harmonization commitments of the very agreement the EU has just ratified.</w:t>
      </w:r>
    </w:p>
    <w:bookmarkEnd w:id="34"/>
    <w:bookmarkStart w:id="35" w:name="asia-pacific-and-africa"/>
    <w:p>
      <w:pPr>
        <w:pStyle w:val="Heading3"/>
      </w:pPr>
      <w:r>
        <w:t xml:space="preserve">Asia-Pacific and Africa</w:t>
      </w:r>
    </w:p>
    <w:tbl>
      <w:tblPr>
        <w:tblStyle w:val="Table"/>
        <w:tblW w:type="pct" w:w="5000"/>
        <w:tblLayout w:type="fixed"/>
        <w:tblLook w:firstRow="1" w:lastRow="0" w:firstColumn="0" w:lastColumn="0" w:noHBand="0" w:noVBand="0" w:val="0020"/>
      </w:tblPr>
      <w:tblGrid>
        <w:gridCol w:w="864"/>
        <w:gridCol w:w="1584"/>
        <w:gridCol w:w="1872"/>
        <w:gridCol w:w="1440"/>
        <w:gridCol w:w="2160"/>
      </w:tblGrid>
      <w:tr>
        <w:trPr>
          <w:tblHeader w:val="on"/>
        </w:trPr>
        <w:tc>
          <w:tcPr/>
          <w:p>
            <w:pPr>
              <w:pStyle w:val="Compact"/>
            </w:pPr>
            <w:r>
              <w:t xml:space="preserve">Country</w:t>
            </w:r>
          </w:p>
        </w:tc>
        <w:tc>
          <w:tcPr/>
          <w:p>
            <w:pPr>
              <w:pStyle w:val="Compact"/>
            </w:pPr>
            <w:r>
              <w:t xml:space="preserve">THC Limit</w:t>
            </w:r>
          </w:p>
        </w:tc>
        <w:tc>
          <w:tcPr/>
          <w:p>
            <w:pPr>
              <w:pStyle w:val="Compact"/>
            </w:pPr>
            <w:r>
              <w:t xml:space="preserve">Legal Framework</w:t>
            </w:r>
          </w:p>
        </w:tc>
        <w:tc>
          <w:tcPr/>
          <w:p>
            <w:pPr>
              <w:pStyle w:val="Compact"/>
            </w:pPr>
            <w:r>
              <w:t xml:space="preserve">Validity</w:t>
            </w:r>
          </w:p>
        </w:tc>
        <w:tc>
          <w:tcPr/>
          <w:p>
            <w:pPr>
              <w:pStyle w:val="Compact"/>
            </w:pPr>
            <w:r>
              <w:t xml:space="preserve">Comments</w:t>
            </w:r>
          </w:p>
        </w:tc>
      </w:tr>
      <w:tr>
        <w:tc>
          <w:tcPr/>
          <w:p>
            <w:pPr>
              <w:pStyle w:val="Compact"/>
            </w:pPr>
            <w:r>
              <w:rPr>
                <w:b/>
                <w:bCs/>
              </w:rPr>
              <w:t xml:space="preserve">New Zealand</w:t>
            </w:r>
          </w:p>
        </w:tc>
        <w:tc>
          <w:tcPr/>
          <w:p>
            <w:pPr>
              <w:pStyle w:val="Compact"/>
            </w:pPr>
            <w:r>
              <w:t xml:space="preserve">â¤1.0%</w:t>
            </w:r>
          </w:p>
        </w:tc>
        <w:tc>
          <w:tcPr/>
          <w:p>
            <w:pPr>
              <w:pStyle w:val="Compact"/>
            </w:pPr>
            <w:r>
              <w:t xml:space="preserve">Regulatory reform</w:t>
            </w:r>
          </w:p>
        </w:tc>
        <w:tc>
          <w:tcPr/>
          <w:p>
            <w:pPr>
              <w:pStyle w:val="Compact"/>
            </w:pPr>
            <w:r>
              <w:t xml:space="preserve">Dec 2025</w:t>
            </w:r>
          </w:p>
        </w:tc>
        <w:tc>
          <w:tcPr/>
          <w:p>
            <w:pPr>
              <w:pStyle w:val="Compact"/>
            </w:pPr>
            <w:r>
              <w:t xml:space="preserve">Cultivation and products.</w:t>
            </w:r>
          </w:p>
        </w:tc>
      </w:tr>
      <w:tr>
        <w:tc>
          <w:tcPr/>
          <w:p>
            <w:pPr>
              <w:pStyle w:val="Compact"/>
            </w:pPr>
            <w:r>
              <w:rPr>
                <w:b/>
                <w:bCs/>
              </w:rPr>
              <w:t xml:space="preserve">Fiyi</w:t>
            </w:r>
          </w:p>
        </w:tc>
        <w:tc>
          <w:tcPr/>
          <w:p>
            <w:pPr>
              <w:pStyle w:val="Compact"/>
            </w:pPr>
            <w:r>
              <w:t xml:space="preserve">1.0%</w:t>
            </w:r>
          </w:p>
        </w:tc>
        <w:tc>
          <w:tcPr/>
          <w:p>
            <w:pPr>
              <w:pStyle w:val="Compact"/>
            </w:pPr>
            <w:r>
              <w:t xml:space="preserve">Illicit Drugs Control Act 2022</w:t>
            </w:r>
          </w:p>
        </w:tc>
        <w:tc>
          <w:tcPr/>
          <w:p>
            <w:pPr>
              <w:pStyle w:val="Compact"/>
            </w:pPr>
            <w:r>
              <w:t xml:space="preserve">Jul 2022</w:t>
            </w:r>
          </w:p>
        </w:tc>
        <w:tc>
          <w:tcPr/>
          <w:p>
            <w:pPr>
              <w:pStyle w:val="Compact"/>
            </w:pPr>
            <w:r>
              <w:t xml:space="preserve">Crop and products.</w:t>
            </w:r>
          </w:p>
        </w:tc>
      </w:tr>
      <w:tr>
        <w:tc>
          <w:tcPr/>
          <w:p>
            <w:pPr>
              <w:pStyle w:val="Compact"/>
            </w:pPr>
            <w:r>
              <w:t xml:space="preserve">Australia** 1.0%</w:t>
            </w:r>
          </w:p>
        </w:tc>
        <w:tc>
          <w:tcPr/>
          <w:p>
            <w:pPr>
              <w:pStyle w:val="Compact"/>
            </w:pPr>
            <w:r>
              <w:t xml:space="preserve">State legislation</w:t>
            </w:r>
          </w:p>
        </w:tc>
        <w:tc>
          <w:tcPr/>
          <w:p>
            <w:pPr>
              <w:pStyle w:val="Compact"/>
            </w:pPr>
            <w:r>
              <w:t xml:space="preserve">Variable</w:t>
            </w:r>
          </w:p>
        </w:tc>
        <w:tc>
          <w:tcPr/>
          <w:p>
            <w:pPr>
              <w:pStyle w:val="Compact"/>
            </w:pPr>
            <w:r>
              <w:t xml:space="preserve">Harvest threshold recognizes natural fluctuation of crop.</w:t>
            </w:r>
          </w:p>
        </w:tc>
        <w:tc>
          <w:tcPr/>
          <w:p>
            <w:pPr>
              <w:pStyle w:val="Compact"/>
            </w:pPr>
          </w:p>
        </w:tc>
      </w:tr>
      <w:tr>
        <w:tc>
          <w:tcPr/>
          <w:p>
            <w:pPr>
              <w:pStyle w:val="Compact"/>
            </w:pPr>
            <w:r>
              <w:t xml:space="preserve">Morocco**</w:t>
            </w:r>
          </w:p>
        </w:tc>
        <w:tc>
          <w:tcPr/>
          <w:p>
            <w:pPr>
              <w:pStyle w:val="Compact"/>
            </w:pPr>
            <w:r>
              <w:t xml:space="preserve">1.0%</w:t>
            </w:r>
          </w:p>
        </w:tc>
        <w:tc>
          <w:tcPr/>
          <w:p>
            <w:pPr>
              <w:pStyle w:val="Compact"/>
            </w:pPr>
            <w:r>
              <w:t xml:space="preserve">Law 13-21 + ANRAC</w:t>
            </w:r>
          </w:p>
        </w:tc>
        <w:tc>
          <w:tcPr/>
          <w:p>
            <w:pPr>
              <w:pStyle w:val="Compact"/>
            </w:pPr>
            <w:r>
              <w:t xml:space="preserve">2021</w:t>
            </w:r>
          </w:p>
        </w:tc>
        <w:tc>
          <w:tcPr/>
          <w:p>
            <w:pPr>
              <w:pStyle w:val="Compact"/>
            </w:pPr>
            <w:r>
              <w:t xml:space="preserve">Neighboring country and EU trading partner.</w:t>
            </w:r>
          </w:p>
        </w:tc>
      </w:tr>
      <w:tr>
        <w:tc>
          <w:tcPr/>
          <w:p>
            <w:pPr>
              <w:pStyle w:val="Compact"/>
            </w:pPr>
            <w:r>
              <w:t xml:space="preserve">Lebanon** â¤1.0%</w:t>
            </w:r>
          </w:p>
        </w:tc>
        <w:tc>
          <w:tcPr/>
          <w:p>
            <w:pPr>
              <w:pStyle w:val="Compact"/>
            </w:pPr>
            <w:r>
              <w:t xml:space="preserve">Law 178/2020</w:t>
            </w:r>
          </w:p>
        </w:tc>
        <w:tc>
          <w:tcPr/>
          <w:p>
            <w:pPr>
              <w:pStyle w:val="Compact"/>
            </w:pPr>
            <w:r>
              <w:t xml:space="preserve">Apr 2020</w:t>
            </w:r>
          </w:p>
        </w:tc>
        <w:tc>
          <w:tcPr/>
          <w:p>
            <w:pPr>
              <w:pStyle w:val="Compact"/>
            </w:pPr>
            <w:r>
              <w:t xml:space="preserve">Industrial Cannabis.</w:t>
            </w:r>
          </w:p>
        </w:tc>
        <w:tc>
          <w:tcPr/>
          <w:p>
            <w:pPr>
              <w:pStyle w:val="Compact"/>
            </w:pPr>
          </w:p>
        </w:tc>
      </w:tr>
      <w:tr>
        <w:tc>
          <w:tcPr/>
          <w:p>
            <w:pPr>
              <w:pStyle w:val="Compact"/>
            </w:pPr>
            <w:r>
              <w:t xml:space="preserve">Malawi** â¤1.0%</w:t>
            </w:r>
          </w:p>
        </w:tc>
        <w:tc>
          <w:tcPr/>
          <w:p>
            <w:pPr>
              <w:pStyle w:val="Compact"/>
            </w:pPr>
            <w:r>
              <w:t xml:space="preserve">Cannabis Regulation Act 2020</w:t>
            </w:r>
          </w:p>
        </w:tc>
        <w:tc>
          <w:tcPr/>
          <w:p>
            <w:pPr>
              <w:pStyle w:val="Compact"/>
            </w:pPr>
            <w:r>
              <w:t xml:space="preserve">May 2020</w:t>
            </w:r>
          </w:p>
        </w:tc>
        <w:tc>
          <w:tcPr/>
          <w:p>
            <w:pPr>
              <w:pStyle w:val="Compact"/>
            </w:pPr>
            <w:r>
              <w:t xml:space="preserve">Industrial Hemp.</w:t>
            </w:r>
          </w:p>
        </w:tc>
        <w:tc>
          <w:tcPr/>
          <w:p>
            <w:pPr>
              <w:pStyle w:val="Compact"/>
            </w:pPr>
          </w:p>
        </w:tc>
      </w:tr>
      <w:tr>
        <w:tc>
          <w:tcPr/>
          <w:p>
            <w:pPr>
              <w:pStyle w:val="Compact"/>
            </w:pPr>
            <w:r>
              <w:t xml:space="preserve">Zimbabwe**</w:t>
            </w:r>
          </w:p>
        </w:tc>
        <w:tc>
          <w:tcPr/>
          <w:p>
            <w:pPr>
              <w:pStyle w:val="Compact"/>
            </w:pPr>
            <w:r>
              <w:t xml:space="preserve">1.0%</w:t>
            </w:r>
          </w:p>
        </w:tc>
        <w:tc>
          <w:tcPr/>
          <w:p>
            <w:pPr>
              <w:pStyle w:val="Compact"/>
            </w:pPr>
            <w:r>
              <w:t xml:space="preserve">Criminal Law Amendment Bill</w:t>
            </w:r>
          </w:p>
        </w:tc>
        <w:tc>
          <w:tcPr/>
          <w:p>
            <w:pPr>
              <w:pStyle w:val="Compact"/>
            </w:pPr>
            <w:r>
              <w:t xml:space="preserve">Feb 2023</w:t>
            </w:r>
          </w:p>
        </w:tc>
        <w:tc>
          <w:tcPr/>
          <w:p>
            <w:pPr>
              <w:pStyle w:val="Compact"/>
            </w:pPr>
            <w:r>
              <w:t xml:space="preserve">Industrial Hemp.</w:t>
            </w:r>
          </w:p>
        </w:tc>
      </w:tr>
    </w:tbl>
    <w:p>
      <w:pPr>
        <w:pStyle w:val="BodyText"/>
      </w:pPr>
      <w:r>
        <w:rPr>
          <w:b/>
          <w:bCs/>
        </w:rPr>
        <w:t xml:space="preserve">Note on China</w:t>
      </w:r>
      <w:r>
        <w:t xml:space="preserve">: Although it does not set a specific THC limit for hemp, its breeding programs never artificially restricted this cannabinoid. Trials by Halker et al. (2024) documented that elite fiber varieties (Bama 0.506%, Yuma 0.723%) achieve yields of 22-35 t/ha - between 4-7 times higher than European varieties - precisely because</w:t>
      </w:r>
      <w:r>
        <w:t xml:space="preserve"> </w:t>
      </w:r>
      <w:r>
        <w:rPr>
          <w:b/>
          <w:bCs/>
        </w:rPr>
        <w:t xml:space="preserve">pure agronomic selection</w:t>
      </w:r>
      <w:r>
        <w:t xml:space="preserve"> </w:t>
      </w:r>
      <w:r>
        <w:t xml:space="preserve">naturally leads to the 0.4-0.9% THC range. The Brym et al. trials [18] confirmed this pattern:</w:t>
      </w:r>
      <w:r>
        <w:t xml:space="preserve"> </w:t>
      </w:r>
      <w:r>
        <w:rPr>
          <w:b/>
          <w:bCs/>
        </w:rPr>
        <w:t xml:space="preserve">all high-yielding Chinese varieties exceeded 0.3%</w:t>
      </w:r>
      <w:r>
        <w:t xml:space="preserve"> </w:t>
      </w:r>
      <w:r>
        <w:t xml:space="preserve">when grown to harvest. This confirms that the European threshold of 0.3% goes against the nature of the plant when optimized for maximum yield.</w:t>
      </w:r>
    </w:p>
    <w:bookmarkEnd w:id="35"/>
    <w:bookmarkStart w:id="36" w:name="conclusion-strategic-alignment"/>
    <w:p>
      <w:pPr>
        <w:pStyle w:val="Heading3"/>
      </w:pPr>
      <w:r>
        <w:t xml:space="preserve">Conclusion: strategic alignment</w:t>
      </w:r>
    </w:p>
    <w:p>
      <w:pPr>
        <w:pStyle w:val="FirstParagraph"/>
      </w:pPr>
      <w:r>
        <w:t xml:space="preserve">This overview evidences that the</w:t>
      </w:r>
      <w:r>
        <w:t xml:space="preserve"> </w:t>
      </w:r>
      <w:r>
        <w:rPr>
          <w:b/>
          <w:bCs/>
        </w:rPr>
        <w:t xml:space="preserve">1% THC</w:t>
      </w:r>
      <w:r>
        <w:t xml:space="preserve"> </w:t>
      </w:r>
      <w:r>
        <w:t xml:space="preserve">represents a mature balance between regulatory control and commercial viability, adopted by jurisdictions on all continents that have prioritized</w:t>
      </w:r>
      <w:r>
        <w:t xml:space="preserve"> </w:t>
      </w:r>
      <w:r>
        <w:rPr>
          <w:b/>
          <w:bCs/>
        </w:rPr>
        <w:t xml:space="preserve">sectoral competitiveness without compromising public safety</w:t>
      </w:r>
      <w:r>
        <w:t xml:space="preserve">.</w:t>
      </w:r>
    </w:p>
    <w:p>
      <w:pPr>
        <w:pStyle w:val="BodyText"/>
      </w:pPr>
      <w:r>
        <w:t xml:space="preserve">The European Union, by maintaining the 0.3% threshold, places itself at a</w:t>
      </w:r>
      <w:r>
        <w:t xml:space="preserve"> </w:t>
      </w:r>
      <w:r>
        <w:rPr>
          <w:b/>
          <w:bCs/>
        </w:rPr>
        <w:t xml:space="preserve">structural competitive disadvantage</w:t>
      </w:r>
      <w:r>
        <w:t xml:space="preserve"> </w:t>
      </w:r>
      <w:r>
        <w:t xml:space="preserve">vis-Ã -vis global producers operating with more realistic regulatory margins.</w:t>
      </w:r>
    </w:p>
    <w:p>
      <w:r>
        <w:pict>
          <v:rect style="width:0;height:1.5pt" o:hralign="center" o:hrstd="t" o:hr="t"/>
        </w:pict>
      </w:r>
    </w:p>
    <w:bookmarkEnd w:id="36"/>
    <w:bookmarkEnd w:id="37"/>
    <w:bookmarkStart w:id="53" w:name="social-argument-safety-and-public-health"/>
    <w:p>
      <w:pPr>
        <w:pStyle w:val="Heading2"/>
      </w:pPr>
      <w:r>
        <w:t xml:space="preserve">2.4 SOCIAL ARGUMENT: SAFETY AND PUBLIC HEALTH</w:t>
      </w:r>
    </w:p>
    <w:bookmarkStart w:id="39" w:name="evaluation-framework-realism-vs.-theory"/>
    <w:p>
      <w:pPr>
        <w:pStyle w:val="Heading3"/>
      </w:pPr>
      <w:r>
        <w:t xml:space="preserve">2.4.0 Evaluation framework: realism vs. theory</w:t>
      </w:r>
    </w:p>
    <w:p>
      <w:pPr>
        <w:pStyle w:val="FirstParagraph"/>
      </w:pPr>
      <w:r>
        <w:t xml:space="preserve">Concerns about the abuse potential of industrial hemp are</w:t>
      </w:r>
      <w:r>
        <w:t xml:space="preserve"> </w:t>
      </w:r>
      <w:r>
        <w:rPr>
          <w:b/>
          <w:bCs/>
        </w:rPr>
        <w:t xml:space="preserve">legitimate and should be rigorously evaluated</w:t>
      </w:r>
      <w:r>
        <w:t xml:space="preserve">. However, this assessment should be conducted in a</w:t>
      </w:r>
      <w:r>
        <w:t xml:space="preserve"> </w:t>
      </w:r>
      <w:r>
        <w:rPr>
          <w:b/>
          <w:bCs/>
        </w:rPr>
        <w:t xml:space="preserve">realistic, not theoretical</w:t>
      </w:r>
      <w:r>
        <w:t xml:space="preserve"> </w:t>
      </w:r>
      <w:r>
        <w:t xml:space="preserve">manner.</w:t>
      </w:r>
      <w:r>
        <w:rPr>
          <w:rStyle w:val="FootnoteReference"/>
        </w:rPr>
        <w:footnoteReference w:id="38"/>
      </w:r>
      <w:r>
        <w:t xml:space="preserve">.</w:t>
      </w:r>
      <w:r>
        <w:t xml:space="preserve"> </w:t>
      </w:r>
      <w:r>
        <w:t xml:space="preserve">The risk of abuse is not determined by the mere presence of THC in the plant, but by whether intoxication is</w:t>
      </w:r>
      <w:r>
        <w:t xml:space="preserve"> </w:t>
      </w:r>
      <w:r>
        <w:rPr>
          <w:b/>
          <w:bCs/>
        </w:rPr>
        <w:t xml:space="preserve">practically, technically and economically feasible</w:t>
      </w:r>
      <w:r>
        <w:t xml:space="preserve">. Scientific and economic evidence shows that this</w:t>
      </w:r>
      <w:r>
        <w:t xml:space="preserve"> </w:t>
      </w:r>
      <w:r>
        <w:rPr>
          <w:b/>
          <w:bCs/>
        </w:rPr>
        <w:t xml:space="preserve">is not the case</w:t>
      </w:r>
      <w:r>
        <w:t xml:space="preserve"> </w:t>
      </w:r>
      <w:r>
        <w:t xml:space="preserve">for industrial hemp, even at 1% THC.</w:t>
      </w:r>
    </w:p>
    <w:bookmarkEnd w:id="39"/>
    <w:bookmarkStart w:id="40" w:name="what-regulates-this-threshold"/>
    <w:p>
      <w:pPr>
        <w:pStyle w:val="Heading3"/>
      </w:pPr>
      <w:r>
        <w:t xml:space="preserve">2.4.1 What regulates this threshold</w:t>
      </w:r>
    </w:p>
    <w:p>
      <w:pPr>
        <w:pStyle w:val="FirstParagraph"/>
      </w:pPr>
      <w:r>
        <w:t xml:space="preserve">The proposed</w:t>
      </w:r>
      <w:r>
        <w:t xml:space="preserve"> </w:t>
      </w:r>
      <w:r>
        <w:rPr>
          <w:b/>
          <w:bCs/>
        </w:rPr>
        <w:t xml:space="preserve">1.0% THC</w:t>
      </w:r>
      <w:r>
        <w:t xml:space="preserve"> </w:t>
      </w:r>
      <w:r>
        <w:t xml:space="preserve">threshold operates as a criterion for</w:t>
      </w:r>
      <w:r>
        <w:t xml:space="preserve"> </w:t>
      </w:r>
      <w:r>
        <w:rPr>
          <w:b/>
          <w:bCs/>
        </w:rPr>
        <w:t xml:space="preserve">classification of industrial hemp raw materials</w:t>
      </w:r>
      <w:r>
        <w:t xml:space="preserve"> </w:t>
      </w:r>
      <w:r>
        <w:t xml:space="preserve">in the CAP/OCM framework, enabling their cultivation, marketing and importation within the internal market. These raw materials are intended for:</w:t>
      </w:r>
    </w:p>
    <w:p>
      <w:pPr>
        <w:pStyle w:val="Compact"/>
        <w:numPr>
          <w:ilvl w:val="0"/>
          <w:numId w:val="1010"/>
        </w:numPr>
      </w:pPr>
      <w:r>
        <w:rPr>
          <w:b/>
          <w:bCs/>
        </w:rPr>
        <w:t xml:space="preserve">Industrial uses</w:t>
      </w:r>
      <w:r>
        <w:t xml:space="preserve"> </w:t>
      </w:r>
      <w:r>
        <w:t xml:space="preserve">(fiber, seed, biomass for processing).</w:t>
      </w:r>
    </w:p>
    <w:p>
      <w:pPr>
        <w:pStyle w:val="Compact"/>
        <w:numPr>
          <w:ilvl w:val="0"/>
          <w:numId w:val="1010"/>
        </w:numPr>
      </w:pPr>
      <w:r>
        <w:t xml:space="preserve">Production of legal products** which, once transformed, are</w:t>
      </w:r>
      <w:r>
        <w:t xml:space="preserve"> </w:t>
      </w:r>
      <w:r>
        <w:rPr>
          <w:b/>
          <w:bCs/>
        </w:rPr>
        <w:t xml:space="preserve">regulated by each Member State</w:t>
      </w:r>
      <w:r>
        <w:t xml:space="preserve"> </w:t>
      </w:r>
      <w:r>
        <w:t xml:space="preserve">according to the corresponding fit: industrial, food, cosmetic, medicinal or other sectorial frameworks.</w:t>
      </w:r>
    </w:p>
    <w:p>
      <w:pPr>
        <w:pStyle w:val="FirstParagraph"/>
      </w:pPr>
      <w:r>
        <w:t xml:space="preserve">The risk of</w:t>
      </w:r>
      <w:r>
        <w:t xml:space="preserve"> </w:t>
      </w:r>
      <w:r>
        <w:rPr>
          <w:b/>
          <w:bCs/>
        </w:rPr>
        <w:t xml:space="preserve">diversion or misuse</w:t>
      </w:r>
      <w:r>
        <w:t xml:space="preserve"> </w:t>
      </w:r>
      <w:r>
        <w:t xml:space="preserve">should not be managed by an artificially low threshold that punishes the farmer for agronomic or climatic variation. The correct approach is:</w:t>
      </w:r>
    </w:p>
    <w:p>
      <w:pPr>
        <w:pStyle w:val="Compact"/>
        <w:numPr>
          <w:ilvl w:val="0"/>
          <w:numId w:val="1011"/>
        </w:numPr>
      </w:pPr>
      <w:r>
        <w:rPr>
          <w:b/>
          <w:bCs/>
        </w:rPr>
        <w:t xml:space="preserve">Clear regulation</w:t>
      </w:r>
      <w:r>
        <w:t xml:space="preserve">: legal certainty, documentary traceability and official control with the harmonized EU method.</w:t>
      </w:r>
    </w:p>
    <w:p>
      <w:pPr>
        <w:pStyle w:val="Compact"/>
        <w:numPr>
          <w:ilvl w:val="0"/>
          <w:numId w:val="1011"/>
        </w:numPr>
      </w:pPr>
      <w:r>
        <w:t xml:space="preserve">Proportionality**: separate the percentage in plant (classification) from the specific risk management in final product or behaviors.</w:t>
      </w:r>
    </w:p>
    <w:p>
      <w:pPr>
        <w:pStyle w:val="FirstParagraph"/>
      </w:pPr>
      <w:r>
        <w:t xml:space="preserve">A robust CAP/OCM criterion (1%) combined with an effective control architecture protects the internal market better than a fragile threshold (0.3%) that generates litigation and losses without reducing the real risk of abuse.</w:t>
      </w:r>
    </w:p>
    <w:bookmarkEnd w:id="40"/>
    <w:bookmarkStart w:id="46" w:name="X099461a5b635123528cd9e627ac06f3023a7323"/>
    <w:p>
      <w:pPr>
        <w:pStyle w:val="Heading3"/>
      </w:pPr>
      <w:r>
        <w:t xml:space="preserve">2.4.2 Theoretical abuse scenarios: why they are unrealistic</w:t>
      </w:r>
    </w:p>
    <w:p>
      <w:pPr>
        <w:pStyle w:val="FirstParagraph"/>
      </w:pPr>
      <w:r>
        <w:t xml:space="preserve">To allow the misuse of industrial hemp for intoxicating purposes, the THC contained in the plant material would have to be consumed in sufficient quantities to induce a psychoactive effect. This could theoretically occur in two ways:</w:t>
      </w:r>
      <w:r>
        <w:t xml:space="preserve"> </w:t>
      </w:r>
      <w:r>
        <w:rPr>
          <w:b/>
          <w:bCs/>
        </w:rPr>
        <w:t xml:space="preserve">(a)</w:t>
      </w:r>
      <w:r>
        <w:t xml:space="preserve"> </w:t>
      </w:r>
      <w:r>
        <w:t xml:space="preserve">by ingestion of processed products (baking, extraction) or</w:t>
      </w:r>
      <w:r>
        <w:t xml:space="preserve"> </w:t>
      </w:r>
      <w:r>
        <w:rPr>
          <w:b/>
          <w:bCs/>
        </w:rPr>
        <w:t xml:space="preserve">(b)</w:t>
      </w:r>
      <w:r>
        <w:t xml:space="preserve"> </w:t>
      </w:r>
      <w:r>
        <w:t xml:space="preserve">by direct combustion (smoking or vaporizing).</w:t>
      </w:r>
    </w:p>
    <w:bookmarkStart w:id="41" w:name="X5da3a8e7005d7f10ca40b1816d1fcafc263c69e"/>
    <w:p>
      <w:pPr>
        <w:pStyle w:val="Heading4"/>
      </w:pPr>
      <w:r>
        <w:t xml:space="preserve">A. Processed scenario (baking or extraction): irrelevant for this threshold.</w:t>
      </w:r>
    </w:p>
    <w:p>
      <w:pPr>
        <w:pStyle w:val="FirstParagraph"/>
      </w:pPr>
      <w:r>
        <w:t xml:space="preserve">The baking scenario has been examined as a theoretical form of misuse. In this case, industrial hemp flowers would first need to be processed - typically by extracting cannabinoids into a butter-like fat - which would then be incorporated into baked goods.</w:t>
      </w:r>
    </w:p>
    <w:p>
      <w:pPr>
        <w:pStyle w:val="BodyText"/>
      </w:pPr>
      <w:r>
        <w:t xml:space="preserve">However, this method is subject to several limiting factors:</w:t>
      </w:r>
    </w:p>
    <w:p>
      <w:pPr>
        <w:pStyle w:val="Compact"/>
        <w:numPr>
          <w:ilvl w:val="0"/>
          <w:numId w:val="1012"/>
        </w:numPr>
      </w:pPr>
      <w:r>
        <w:rPr>
          <w:b/>
          <w:bCs/>
        </w:rPr>
        <w:t xml:space="preserve">Substantial amount of material</w:t>
      </w:r>
      <w:r>
        <w:t xml:space="preserve"> </w:t>
      </w:r>
      <w:r>
        <w:t xml:space="preserve">to achieve a minimum intoxicating dose, posing palatability, digestibility and acceptability issues.</w:t>
      </w:r>
    </w:p>
    <w:p>
      <w:pPr>
        <w:pStyle w:val="Compact"/>
        <w:numPr>
          <w:ilvl w:val="0"/>
          <w:numId w:val="1012"/>
        </w:numPr>
      </w:pPr>
      <w:r>
        <w:rPr>
          <w:b/>
          <w:bCs/>
        </w:rPr>
        <w:t xml:space="preserve">Incomplete conversion</w:t>
      </w:r>
      <w:r>
        <w:t xml:space="preserve">: the transformation of the non-psychoactive precursor THCA into THC (decarboxylation) requires specific conditions. During baking, more than half of the potential THC may remain unconverted.</w:t>
      </w:r>
    </w:p>
    <w:p>
      <w:pPr>
        <w:pStyle w:val="Compact"/>
        <w:numPr>
          <w:ilvl w:val="0"/>
          <w:numId w:val="1012"/>
        </w:numPr>
      </w:pPr>
      <w:r>
        <w:t xml:space="preserve">Thermal degradation</w:t>
      </w:r>
      <w:r>
        <w:rPr>
          <w:b/>
          <w:bCs/>
        </w:rPr>
        <w:t xml:space="preserve">: THC is thermolabile and degrades with excessive heat to cannabinol (CBN), a compound with no psychoactive effect.</w:t>
      </w:r>
      <w:r>
        <w:rPr>
          <w:b/>
          <w:bCs/>
        </w:rPr>
        <w:t xml:space="preserve"> </w:t>
      </w:r>
      <w:r>
        <w:t xml:space="preserve">Critical note: This processing scenario is</w:t>
      </w:r>
      <w:r>
        <w:t xml:space="preserve"> </w:t>
      </w:r>
      <w:r>
        <w:rPr>
          <w:b/>
          <w:bCs/>
        </w:rPr>
        <w:t xml:space="preserve">just as feasible with 0.3% THC material</w:t>
      </w:r>
      <w:r>
        <w:t xml:space="preserve"> </w:t>
      </w:r>
      <w:r>
        <w:t xml:space="preserve">as with 1% material. If someone wanted to extract cannabinoids for domestic processing, they would simply need more 0.3% material to achieve the same result. The PAC/OCM classification threshold</w:t>
      </w:r>
      <w:r>
        <w:t xml:space="preserve"> </w:t>
      </w:r>
      <w:r>
        <w:rPr>
          <w:b/>
          <w:bCs/>
        </w:rPr>
        <w:t xml:space="preserve">does not alter this equation</w:t>
      </w:r>
      <w:r>
        <w:t xml:space="preserve">: anyone with the intention, equipment and time to perform an extraction can do so with any material containing THC.</w:t>
      </w:r>
    </w:p>
    <w:p>
      <w:pPr>
        <w:pStyle w:val="FirstParagraph"/>
      </w:pPr>
      <w:r>
        <w:rPr>
          <w:b/>
          <w:bCs/>
        </w:rPr>
        <w:t xml:space="preserve">Decisive economic argument</w:t>
      </w:r>
      <w:r>
        <w:t xml:space="preserve">: Even assuming this scenario were technically feasible,</w:t>
      </w:r>
      <w:r>
        <w:t xml:space="preserve"> </w:t>
      </w:r>
      <w:r>
        <w:rPr>
          <w:b/>
          <w:bCs/>
        </w:rPr>
        <w:t xml:space="preserve">it would in no case constitute an attractive practice for drug trafficking</w:t>
      </w:r>
      <w:r>
        <w:t xml:space="preserve">. Extracting THC from industrial hemp - whether at 0.3% or 1% - is</w:t>
      </w:r>
      <w:r>
        <w:t xml:space="preserve"> </w:t>
      </w:r>
      <w:r>
        <w:rPr>
          <w:b/>
          <w:bCs/>
        </w:rPr>
        <w:t xml:space="preserve">economically unviable</w:t>
      </w:r>
      <w:r>
        <w:t xml:space="preserve"> </w:t>
      </w:r>
      <w:r>
        <w:t xml:space="preserve">for the black market. An illicit operator would need to process between</w:t>
      </w:r>
      <w:r>
        <w:t xml:space="preserve"> </w:t>
      </w:r>
      <w:r>
        <w:rPr>
          <w:b/>
          <w:bCs/>
        </w:rPr>
        <w:t xml:space="preserve">13 and 43 times more biomass</w:t>
      </w:r>
      <w:r>
        <w:t xml:space="preserve"> </w:t>
      </w:r>
      <w:r>
        <w:t xml:space="preserve">to obtain the same amount of THC as he would extract from high-content (&gt;13%) illicit cannabis, which is also widely available. The cost in raw materials, time, equipment and risk of detection makes this route completely irrational from any criminal perspective.</w:t>
      </w:r>
    </w:p>
    <w:p>
      <w:pPr>
        <w:pStyle w:val="BodyText"/>
      </w:pPr>
      <w:r>
        <w:t xml:space="preserve">Therefore,</w:t>
      </w:r>
      <w:r>
        <w:t xml:space="preserve"> </w:t>
      </w:r>
      <w:r>
        <w:rPr>
          <w:b/>
          <w:bCs/>
        </w:rPr>
        <w:t xml:space="preserve">the processing scenario is not a valid argument</w:t>
      </w:r>
      <w:r>
        <w:t xml:space="preserve"> </w:t>
      </w:r>
      <w:r>
        <w:t xml:space="preserve">for maintaining an artificially low threshold: it is equally inefficient regardless of the threshold, and those seeking THC for illicit purposes have far more cost-effective alternatives.</w:t>
      </w:r>
    </w:p>
    <w:bookmarkEnd w:id="41"/>
    <w:bookmarkStart w:id="45" w:name="X53b8c786db6a1530907aefe8385838abe77d8f5"/>
    <w:p>
      <w:pPr>
        <w:pStyle w:val="Heading4"/>
      </w:pPr>
      <w:r>
        <w:t xml:space="preserve">B. Direct combustion scenario: the</w:t>
      </w:r>
      <w:r>
        <w:t xml:space="preserve"> </w:t>
      </w:r>
      <w:r>
        <w:t xml:space="preserve">“realistic worst case”</w:t>
      </w:r>
      <w:r>
        <w:t xml:space="preserve">.</w:t>
      </w:r>
    </w:p>
    <w:p>
      <w:pPr>
        <w:pStyle w:val="FirstParagraph"/>
      </w:pPr>
      <w:r>
        <w:t xml:space="preserve">Discarding the processing scenario as irrelevant, the only scenario that merits analysis is</w:t>
      </w:r>
      <w:r>
        <w:t xml:space="preserve"> </w:t>
      </w:r>
      <w:r>
        <w:rPr>
          <w:b/>
          <w:bCs/>
        </w:rPr>
        <w:t xml:space="preserve">direct combustion</w:t>
      </w:r>
      <w:r>
        <w:t xml:space="preserve">: someone who, hypothetically, obtained industrial hemp material and smoked it.</w:t>
      </w:r>
    </w:p>
    <w:bookmarkStart w:id="42" w:name="b.1-toxicological-reference-thresholds"/>
    <w:p>
      <w:pPr>
        <w:pStyle w:val="Heading5"/>
      </w:pPr>
      <w:r>
        <w:t xml:space="preserve">B.1 Toxicological reference thresholds</w:t>
      </w:r>
    </w:p>
    <w:p>
      <w:pPr>
        <w:pStyle w:val="FirstParagraph"/>
      </w:pPr>
      <w:r>
        <w:t xml:space="preserve">To assess risk rigorously, we examined the thresholds available in the scientific and regulatory literature, ordered from the most conservative to the most permissive:</w:t>
      </w:r>
    </w:p>
    <w:tbl>
      <w:tblPr>
        <w:tblStyle w:val="Table"/>
        <w:tblW w:type="pct" w:w="5000"/>
        <w:tblLayout w:type="fixed"/>
        <w:tblLook w:firstRow="1" w:lastRow="0" w:firstColumn="0" w:lastColumn="0" w:noHBand="0" w:noVBand="0" w:val="0020"/>
      </w:tblPr>
      <w:tblGrid>
        <w:gridCol w:w="2112"/>
        <w:gridCol w:w="1848"/>
        <w:gridCol w:w="1320"/>
        <w:gridCol w:w="2640"/>
      </w:tblGrid>
      <w:tr>
        <w:trPr>
          <w:tblHeader w:val="on"/>
        </w:trPr>
        <w:tc>
          <w:tcPr/>
          <w:p>
            <w:pPr>
              <w:pStyle w:val="Compact"/>
            </w:pPr>
            <w:r>
              <w:t xml:space="preserve">Source</w:t>
            </w:r>
          </w:p>
        </w:tc>
        <w:tc>
          <w:tcPr/>
          <w:p>
            <w:pPr>
              <w:pStyle w:val="Compact"/>
            </w:pPr>
            <w:r>
              <w:t xml:space="preserve">Dose</w:t>
            </w:r>
          </w:p>
        </w:tc>
        <w:tc>
          <w:tcPr/>
          <w:p>
            <w:pPr>
              <w:pStyle w:val="Compact"/>
            </w:pPr>
            <w:r>
              <w:t xml:space="preserve">Route</w:t>
            </w:r>
          </w:p>
        </w:tc>
        <w:tc>
          <w:tcPr/>
          <w:p>
            <w:pPr>
              <w:pStyle w:val="Compact"/>
            </w:pPr>
            <w:r>
              <w:t xml:space="preserve">Context</w:t>
            </w:r>
          </w:p>
        </w:tc>
      </w:tr>
      <w:tr>
        <w:tc>
          <w:tcPr/>
          <w:p>
            <w:pPr>
              <w:pStyle w:val="Compact"/>
            </w:pPr>
            <w:r>
              <w:rPr>
                <w:b/>
                <w:bCs/>
              </w:rPr>
              <w:t xml:space="preserve">EFSA CONTAM (2015)</w:t>
            </w:r>
            <w:r>
              <w:t xml:space="preserve"> </w:t>
            </w:r>
            <w:r>
              <w:t xml:space="preserve">[4]</w:t>
            </w:r>
          </w:p>
        </w:tc>
        <w:tc>
          <w:tcPr/>
          <w:p>
            <w:pPr>
              <w:pStyle w:val="Compact"/>
            </w:pPr>
            <w:r>
              <w:rPr>
                <w:b/>
                <w:bCs/>
              </w:rPr>
              <w:t xml:space="preserve">2.5 mg/day</w:t>
            </w:r>
          </w:p>
        </w:tc>
        <w:tc>
          <w:tcPr/>
          <w:p>
            <w:pPr>
              <w:pStyle w:val="Compact"/>
            </w:pPr>
            <w:r>
              <w:t xml:space="preserve">Oral</w:t>
            </w:r>
          </w:p>
        </w:tc>
        <w:tc>
          <w:tcPr/>
          <w:p>
            <w:pPr>
              <w:pStyle w:val="Compact"/>
            </w:pPr>
            <w:r>
              <w:t xml:space="preserve">LOAEL (lowest observed adverse effects)</w:t>
            </w:r>
          </w:p>
        </w:tc>
      </w:tr>
      <w:tr>
        <w:tc>
          <w:tcPr/>
          <w:p>
            <w:pPr>
              <w:pStyle w:val="Compact"/>
            </w:pPr>
            <w:r>
              <w:rPr>
                <w:b/>
                <w:bCs/>
              </w:rPr>
              <w:t xml:space="preserve">Perez-Reyes (1972)</w:t>
            </w:r>
            <w:r>
              <w:t xml:space="preserve"> </w:t>
            </w:r>
            <w:r>
              <w:t xml:space="preserve">[20] via EFSA</w:t>
            </w:r>
          </w:p>
        </w:tc>
        <w:tc>
          <w:tcPr/>
          <w:p>
            <w:pPr>
              <w:pStyle w:val="Compact"/>
            </w:pPr>
            <w:r>
              <w:rPr>
                <w:b/>
                <w:bCs/>
              </w:rPr>
              <w:t xml:space="preserve">3.1 Â± 0.9 mg</w:t>
            </w:r>
          </w:p>
        </w:tc>
        <w:tc>
          <w:tcPr/>
          <w:p>
            <w:pPr>
              <w:pStyle w:val="Compact"/>
            </w:pPr>
            <w:r>
              <w:t xml:space="preserve">i.v.</w:t>
            </w:r>
          </w:p>
        </w:tc>
        <w:tc>
          <w:tcPr/>
          <w:p>
            <w:pPr>
              <w:pStyle w:val="Compact"/>
            </w:pPr>
            <w:r>
              <w:t xml:space="preserve">Dose for</w:t>
            </w:r>
            <w:r>
              <w:t xml:space="preserve"> </w:t>
            </w:r>
            <w:r>
              <w:t xml:space="preserve">“desired marijuana high”</w:t>
            </w:r>
          </w:p>
        </w:tc>
      </w:tr>
      <w:tr>
        <w:tc>
          <w:tcPr/>
          <w:p>
            <w:pPr>
              <w:pStyle w:val="Compact"/>
            </w:pPr>
            <w:r>
              <w:rPr>
                <w:b/>
                <w:bCs/>
              </w:rPr>
              <w:t xml:space="preserve">Grotenhermen (1998)</w:t>
            </w:r>
            <w:r>
              <w:t xml:space="preserve"> </w:t>
            </w:r>
            <w:r>
              <w:t xml:space="preserve">[19]</w:t>
            </w:r>
          </w:p>
        </w:tc>
        <w:tc>
          <w:tcPr/>
          <w:p>
            <w:pPr>
              <w:pStyle w:val="Compact"/>
            </w:pPr>
            <w:r>
              <w:rPr>
                <w:b/>
                <w:bCs/>
              </w:rPr>
              <w:t xml:space="preserve">0.8-1.0%</w:t>
            </w:r>
          </w:p>
        </w:tc>
        <w:tc>
          <w:tcPr/>
          <w:p>
            <w:pPr>
              <w:pStyle w:val="Compact"/>
            </w:pPr>
            <w:r>
              <w:t xml:space="preserve">Smoked</w:t>
            </w:r>
          </w:p>
        </w:tc>
        <w:tc>
          <w:tcPr/>
          <w:p>
            <w:pPr>
              <w:pStyle w:val="Compact"/>
            </w:pPr>
            <w:r>
              <w:t xml:space="preserve">Threshold placebo/active discrimination</w:t>
            </w:r>
          </w:p>
        </w:tc>
      </w:tr>
      <w:tr>
        <w:tc>
          <w:tcPr/>
          <w:p>
            <w:pPr>
              <w:pStyle w:val="Compact"/>
            </w:pPr>
            <w:r>
              <w:rPr>
                <w:b/>
                <w:bCs/>
              </w:rPr>
              <w:t xml:space="preserve">INTF Spain (2021)</w:t>
            </w:r>
            <w:r>
              <w:t xml:space="preserve"> </w:t>
            </w:r>
            <w:r>
              <w:t xml:space="preserve">[29]</w:t>
            </w:r>
          </w:p>
        </w:tc>
        <w:tc>
          <w:tcPr/>
          <w:p>
            <w:pPr>
              <w:pStyle w:val="Compact"/>
            </w:pPr>
            <w:r>
              <w:rPr>
                <w:b/>
                <w:bCs/>
              </w:rPr>
              <w:t xml:space="preserve">10 mg</w:t>
            </w:r>
          </w:p>
        </w:tc>
        <w:tc>
          <w:tcPr/>
          <w:p>
            <w:pPr>
              <w:pStyle w:val="Compact"/>
            </w:pPr>
            <w:r>
              <w:t xml:space="preserve">Oral</w:t>
            </w:r>
          </w:p>
        </w:tc>
        <w:tc>
          <w:tcPr/>
          <w:p>
            <w:pPr>
              <w:pStyle w:val="Compact"/>
            </w:pPr>
            <w:r>
              <w:t xml:space="preserve">Minimum psychoactive (forensic) dose</w:t>
            </w:r>
          </w:p>
        </w:tc>
      </w:tr>
    </w:tbl>
    <w:p>
      <w:pPr>
        <w:pStyle w:val="BodyText"/>
      </w:pPr>
      <w:r>
        <w:t xml:space="preserve">Critical remarks:** ** [29</w:t>
      </w:r>
    </w:p>
    <w:p>
      <w:pPr>
        <w:numPr>
          <w:ilvl w:val="0"/>
          <w:numId w:val="1013"/>
        </w:numPr>
      </w:pPr>
      <w:r>
        <w:rPr>
          <w:b/>
          <w:bCs/>
        </w:rPr>
        <w:t xml:space="preserve">EFSA 2.5 mg is an oral LOAEL, not smoked.</w:t>
      </w:r>
      <w:r>
        <w:t xml:space="preserve"> </w:t>
      </w:r>
      <w:r>
        <w:t xml:space="preserve">EFSA [4] documents that the oral route generates</w:t>
      </w:r>
      <w:r>
        <w:t xml:space="preserve"> </w:t>
      </w:r>
      <w:r>
        <w:rPr>
          <w:b/>
          <w:bCs/>
        </w:rPr>
        <w:t xml:space="preserve">approximately 3Ã more active metabolite</w:t>
      </w:r>
      <w:r>
        <w:t xml:space="preserve"> </w:t>
      </w:r>
      <w:r>
        <w:t xml:space="preserve">(11-OH-THC) than smoking or vaporizing. However, the primary literature suggests that this factor may be underestimated: direct studies report 11-OH-THC/THC ratios of ~1:1 by the oral route versus ~1:10-1:20 by inhalation (actual factor ~10-20Ã) [11,15,16]. In either case, the equivalent threshold by inhalation is significantly higher than the oral LOAEL.</w:t>
      </w:r>
    </w:p>
    <w:p>
      <w:pPr>
        <w:numPr>
          <w:ilvl w:val="0"/>
          <w:numId w:val="1013"/>
        </w:numPr>
      </w:pPr>
      <w:r>
        <w:rPr>
          <w:b/>
          <w:bCs/>
        </w:rPr>
        <w:t xml:space="preserve">The</w:t>
      </w:r>
      <w:r>
        <w:rPr>
          <w:b/>
          <w:bCs/>
        </w:rPr>
        <w:t xml:space="preserve"> </w:t>
      </w:r>
      <w:r>
        <w:rPr>
          <w:b/>
          <w:bCs/>
        </w:rPr>
        <w:t xml:space="preserve">“desired marijuana high”</w:t>
      </w:r>
      <w:r>
        <w:rPr>
          <w:b/>
          <w:bCs/>
        </w:rPr>
        <w:t xml:space="preserve"> </w:t>
      </w:r>
      <w:r>
        <w:rPr>
          <w:b/>
          <w:bCs/>
        </w:rPr>
        <w:t xml:space="preserve">requires ~3 mg systemic</w:t>
      </w:r>
      <w:r>
        <w:rPr>
          <w:b/>
          <w:bCs/>
        </w:rPr>
        <w:t xml:space="preserve"> </w:t>
      </w:r>
      <w:r>
        <w:t xml:space="preserve">According to Perez-Reyes [20], cited by EFSA [4], to reach the</w:t>
      </w:r>
      <w:r>
        <w:t xml:space="preserve"> </w:t>
      </w:r>
      <w:r>
        <w:t xml:space="preserve">“desired high”</w:t>
      </w:r>
      <w:r>
        <w:t xml:space="preserve"> </w:t>
      </w:r>
      <w:r>
        <w:t xml:space="preserve">by direct i.v. route requires</w:t>
      </w:r>
      <w:r>
        <w:t xml:space="preserve"> </w:t>
      </w:r>
      <w:r>
        <w:rPr>
          <w:b/>
          <w:bCs/>
        </w:rPr>
        <w:t xml:space="preserve">3.1 mg of circulating Î9-THC</w:t>
      </w:r>
      <w:r>
        <w:t xml:space="preserve">.</w:t>
      </w:r>
    </w:p>
    <w:p>
      <w:pPr>
        <w:numPr>
          <w:ilvl w:val="0"/>
          <w:numId w:val="1013"/>
        </w:numPr>
      </w:pPr>
      <w:r>
        <w:rPr>
          <w:b/>
          <w:bCs/>
        </w:rPr>
        <w:t xml:space="preserve">Grotenhermen established that the sensory discrimination threshold</w:t>
      </w:r>
      <w:r>
        <w:t xml:space="preserve"> </w:t>
      </w:r>
      <w:r>
        <w:t xml:space="preserve">[19] (the minimum concentration at which subjects distinguish cannabis from smoking placebo) is between</w:t>
      </w:r>
      <w:r>
        <w:t xml:space="preserve"> </w:t>
      </w:r>
      <w:r>
        <w:rPr>
          <w:b/>
          <w:bCs/>
        </w:rPr>
        <w:t xml:space="preserve">0.8% and 1.0% THC</w:t>
      </w:r>
      <w:r>
        <w:t xml:space="preserve">. Material below 1% is hardly distinguishable from placebo.</w:t>
      </w:r>
    </w:p>
    <w:bookmarkEnd w:id="42"/>
    <w:bookmarkStart w:id="43" w:name="X54a913e5572e81fd5ebd600bb5888ebb6692479"/>
    <w:p>
      <w:pPr>
        <w:pStyle w:val="Heading5"/>
      </w:pPr>
      <w:r>
        <w:t xml:space="preserve">Conversion of oral LOAEL to smoked equivalence</w:t>
      </w:r>
    </w:p>
    <w:p>
      <w:pPr>
        <w:pStyle w:val="FirstParagraph"/>
      </w:pPr>
      <w:r>
        <w:t xml:space="preserve">If we apply the documented conversion factors to the EFSA LOAEL (2.5 mg oral), we obtain the inhalation equivalent thresholds:</w:t>
      </w:r>
    </w:p>
    <w:tbl>
      <w:tblPr>
        <w:tblStyle w:val="Table"/>
        <w:tblW w:type="pct" w:w="5000"/>
        <w:tblLayout w:type="fixed"/>
        <w:tblLook w:firstRow="1" w:lastRow="0" w:firstColumn="0" w:lastColumn="0" w:noHBand="0" w:noVBand="0" w:val="0020"/>
      </w:tblPr>
      <w:tblGrid>
        <w:gridCol w:w="3334"/>
        <w:gridCol w:w="3473"/>
        <w:gridCol w:w="1111"/>
      </w:tblGrid>
      <w:tr>
        <w:trPr>
          <w:tblHeader w:val="on"/>
        </w:trPr>
        <w:tc>
          <w:tcPr/>
          <w:p>
            <w:pPr>
              <w:pStyle w:val="Compact"/>
            </w:pPr>
            <w:r>
              <w:t xml:space="preserve">oral/inhalation factor</w:t>
            </w:r>
          </w:p>
        </w:tc>
        <w:tc>
          <w:tcPr/>
          <w:p>
            <w:pPr>
              <w:pStyle w:val="Compact"/>
            </w:pPr>
            <w:r>
              <w:t xml:space="preserve">smoked equivalent LOAEL</w:t>
            </w:r>
          </w:p>
        </w:tc>
        <w:tc>
          <w:tcPr/>
          <w:p>
            <w:pPr>
              <w:pStyle w:val="Compact"/>
            </w:pPr>
            <w:r>
              <w:t xml:space="preserve">Source</w:t>
            </w:r>
          </w:p>
        </w:tc>
      </w:tr>
      <w:tr>
        <w:tc>
          <w:tcPr/>
          <w:p>
            <w:pPr>
              <w:pStyle w:val="Compact"/>
            </w:pPr>
            <w:r>
              <w:rPr>
                <w:b/>
                <w:bCs/>
              </w:rPr>
              <w:t xml:space="preserve">3Ã (EFSA conservative)</w:t>
            </w:r>
          </w:p>
        </w:tc>
        <w:tc>
          <w:tcPr/>
          <w:p>
            <w:pPr>
              <w:pStyle w:val="Compact"/>
            </w:pPr>
          </w:p>
        </w:tc>
        <w:tc>
          <w:tcPr/>
          <w:p>
            <w:pPr>
              <w:pStyle w:val="Compact"/>
            </w:pPr>
            <w:r>
              <w:rPr>
                <w:b/>
                <w:bCs/>
              </w:rPr>
              <w:t xml:space="preserve">7.5 mg</w:t>
            </w:r>
          </w:p>
        </w:tc>
      </w:tr>
      <w:tr>
        <w:tc>
          <w:tcPr/>
          <w:p>
            <w:pPr>
              <w:pStyle w:val="Compact"/>
            </w:pPr>
            <w:r>
              <w:rPr>
                <w:b/>
                <w:bCs/>
              </w:rPr>
              <w:t xml:space="preserve">10Ã (central literature)</w:t>
            </w:r>
          </w:p>
        </w:tc>
        <w:tc>
          <w:tcPr/>
          <w:p>
            <w:pPr>
              <w:pStyle w:val="Compact"/>
            </w:pPr>
          </w:p>
        </w:tc>
        <w:tc>
          <w:tcPr/>
          <w:p>
            <w:pPr>
              <w:pStyle w:val="Compact"/>
            </w:pPr>
            <w:r>
              <w:rPr>
                <w:b/>
                <w:bCs/>
              </w:rPr>
              <w:t xml:space="preserve">25 mg</w:t>
            </w:r>
          </w:p>
        </w:tc>
      </w:tr>
      <w:tr>
        <w:tc>
          <w:tcPr/>
          <w:p>
            <w:pPr>
              <w:pStyle w:val="Compact"/>
            </w:pPr>
            <w:r>
              <w:rPr>
                <w:b/>
                <w:bCs/>
              </w:rPr>
              <w:t xml:space="preserve">20Ã (high literature)</w:t>
            </w:r>
          </w:p>
        </w:tc>
        <w:tc>
          <w:tcPr/>
          <w:p>
            <w:pPr>
              <w:pStyle w:val="Compact"/>
            </w:pPr>
            <w:r>
              <w:rPr>
                <w:b/>
                <w:bCs/>
              </w:rPr>
              <w:t xml:space="preserve">50 mg</w:t>
            </w:r>
          </w:p>
        </w:tc>
        <w:tc>
          <w:tcPr/>
          <w:p>
            <w:pPr>
              <w:pStyle w:val="Compact"/>
            </w:pPr>
            <w:r>
              <w:t xml:space="preserve">Huestis 1992, direct ratio analysis</w:t>
            </w:r>
          </w:p>
        </w:tc>
      </w:tr>
    </w:tbl>
    <w:p>
      <w:pPr>
        <w:pStyle w:val="BodyText"/>
      </w:pPr>
      <w:r>
        <w:rPr>
          <w:b/>
          <w:bCs/>
        </w:rPr>
        <w:t xml:space="preserve">Decisive implication</w:t>
      </w:r>
      <w:r>
        <w:t xml:space="preserve">: Even adopting EFSA’s most conservative factor (3Ã), the equivalent LOAEL per inhalation would be</w:t>
      </w:r>
      <w:r>
        <w:t xml:space="preserve"> </w:t>
      </w:r>
      <w:r>
        <w:rPr>
          <w:b/>
          <w:bCs/>
        </w:rPr>
        <w:t xml:space="preserve">7.5 mg of systemic THC</w:t>
      </w:r>
      <w:r>
        <w:t xml:space="preserve"> </w:t>
      </w:r>
      <w:r>
        <w:t xml:space="preserve">- far in excess of the 1-2 mg that a full gram of 1% hemp can deliver.</w:t>
      </w:r>
    </w:p>
    <w:p>
      <w:pPr>
        <w:pStyle w:val="BodyText"/>
      </w:pPr>
      <w:r>
        <w:t xml:space="preserve">With the most realistic factors in the literature (10-20Ã), the threshold stands at</w:t>
      </w:r>
      <w:r>
        <w:t xml:space="preserve"> </w:t>
      </w:r>
      <w:r>
        <w:rPr>
          <w:b/>
          <w:bCs/>
        </w:rPr>
        <w:t xml:space="preserve">25-50 mg systemic</w:t>
      </w:r>
      <w:r>
        <w:t xml:space="preserve">, creating safety margins of</w:t>
      </w:r>
      <w:r>
        <w:t xml:space="preserve"> </w:t>
      </w:r>
      <w:r>
        <w:rPr>
          <w:b/>
          <w:bCs/>
        </w:rPr>
        <w:t xml:space="preserve">Ã12-50</w:t>
      </w:r>
      <w:r>
        <w:t xml:space="preserve"> </w:t>
      </w:r>
      <w:r>
        <w:t xml:space="preserve">with respect to the worst-case 1% hemp.</w:t>
      </w:r>
    </w:p>
    <w:bookmarkEnd w:id="43"/>
    <w:bookmarkStart w:id="44" w:name="Xbad74e3db9b2df73d3f8dcf9844568b732919aa"/>
    <w:p>
      <w:pPr>
        <w:pStyle w:val="Heading5"/>
      </w:pPr>
      <w:r>
        <w:t xml:space="preserve">B.2 Correct pharmacokinetic quantification: the</w:t>
      </w:r>
      <w:r>
        <w:t xml:space="preserve"> </w:t>
      </w:r>
      <w:r>
        <w:t xml:space="preserve">“worst case”</w:t>
      </w:r>
      <w:r>
        <w:t xml:space="preserve"> </w:t>
      </w:r>
      <w:r>
        <w:t xml:space="preserve">of 1 gram at 1% THC</w:t>
      </w:r>
    </w:p>
    <w:p>
      <w:pPr>
        <w:pStyle w:val="FirstParagraph"/>
      </w:pPr>
      <w:r>
        <w:t xml:space="preserve">Scientific evidence documents that nominal THC in plant material</w:t>
      </w:r>
      <w:r>
        <w:t xml:space="preserve"> </w:t>
      </w:r>
      <w:r>
        <w:rPr>
          <w:b/>
          <w:bCs/>
        </w:rPr>
        <w:t xml:space="preserve">does not equal systemic THC</w:t>
      </w:r>
      <w:r>
        <w:t xml:space="preserve">. Absorption by smoking involves</w:t>
      </w:r>
      <w:r>
        <w:t xml:space="preserve"> </w:t>
      </w:r>
      <w:r>
        <w:rPr>
          <w:b/>
          <w:bCs/>
        </w:rPr>
        <w:t xml:space="preserve">two sequential losses</w:t>
      </w:r>
      <w:r>
        <w:t xml:space="preserve">:</w:t>
      </w:r>
    </w:p>
    <w:p>
      <w:pPr>
        <w:pStyle w:val="Compact"/>
        <w:numPr>
          <w:ilvl w:val="0"/>
          <w:numId w:val="1014"/>
        </w:numPr>
      </w:pPr>
      <w:r>
        <w:rPr>
          <w:b/>
          <w:bCs/>
        </w:rPr>
        <w:t xml:space="preserve">f_transfer</w:t>
      </w:r>
      <w:r>
        <w:t xml:space="preserve"> </w:t>
      </w:r>
      <w:r>
        <w:t xml:space="preserve">(material â mainstream smoke): only 12-37% of THC reaches the inhalable smoke.</w:t>
      </w:r>
    </w:p>
    <w:p>
      <w:pPr>
        <w:pStyle w:val="Compact"/>
        <w:numPr>
          <w:ilvl w:val="0"/>
          <w:numId w:val="1014"/>
        </w:numPr>
      </w:pPr>
      <w:r>
        <w:rPr>
          <w:b/>
          <w:bCs/>
        </w:rPr>
        <w:t xml:space="preserve">F_pulmonary</w:t>
      </w:r>
      <w:r>
        <w:t xml:space="preserve"> </w:t>
      </w:r>
      <w:r>
        <w:t xml:space="preserve">(smoke â blood): only 10-55% of inhaled THC reaches circulation.</w:t>
      </w:r>
    </w:p>
    <w:p>
      <w:pPr>
        <w:pStyle w:val="FirstParagraph"/>
      </w:pPr>
      <w:r>
        <w:rPr>
          <w:b/>
          <w:bCs/>
        </w:rPr>
        <w:t xml:space="preserve">combined systemic f_transfer = f_transfer Ã F_pulmonary</w:t>
      </w:r>
      <w:r>
        <w:t xml:space="preserve">.</w:t>
      </w:r>
    </w:p>
    <w:p>
      <w:pPr>
        <w:pStyle w:val="BodyText"/>
      </w:pPr>
      <w:r>
        <w:t xml:space="preserve">Assume the</w:t>
      </w:r>
      <w:r>
        <w:t xml:space="preserve"> </w:t>
      </w:r>
      <w:r>
        <w:rPr>
          <w:b/>
          <w:bCs/>
        </w:rPr>
        <w:t xml:space="preserve">worst-case scenario</w:t>
      </w:r>
      <w:r>
        <w:t xml:space="preserve">: someone rolls a large cigarette of</w:t>
      </w:r>
      <w:r>
        <w:t xml:space="preserve"> </w:t>
      </w:r>
      <w:r>
        <w:rPr>
          <w:b/>
          <w:bCs/>
        </w:rPr>
        <w:t xml:space="preserve">1 full gram</w:t>
      </w:r>
      <w:r>
        <w:t xml:space="preserve"> </w:t>
      </w:r>
      <w:r>
        <w:t xml:space="preserve">of 1% THC hemp and smokes it with optimal technique.</w:t>
      </w:r>
    </w:p>
    <w:p>
      <w:pPr>
        <w:pStyle w:val="BodyText"/>
      </w:pPr>
      <w:r>
        <w:rPr>
          <w:b/>
          <w:bCs/>
        </w:rPr>
        <w:t xml:space="preserve">Systemic bioavailability ranges:</w:t>
      </w:r>
      <w:r>
        <w:t xml:space="preserve">[^pk1].</w:t>
      </w:r>
    </w:p>
    <w:tbl>
      <w:tblPr>
        <w:tblStyle w:val="Table"/>
        <w:tblW w:type="pct" w:w="5000"/>
        <w:tblLayout w:type="fixed"/>
        <w:tblLook w:firstRow="1" w:lastRow="0" w:firstColumn="0" w:lastColumn="0" w:noHBand="0" w:noVBand="0" w:val="0020"/>
      </w:tblPr>
      <w:tblGrid>
        <w:gridCol w:w="1146"/>
        <w:gridCol w:w="1250"/>
        <w:gridCol w:w="1250"/>
        <w:gridCol w:w="1771"/>
        <w:gridCol w:w="2501"/>
      </w:tblGrid>
      <w:tr>
        <w:trPr>
          <w:tblHeader w:val="on"/>
        </w:trPr>
        <w:tc>
          <w:tcPr/>
          <w:p>
            <w:pPr>
              <w:pStyle w:val="Compact"/>
            </w:pPr>
            <w:r>
              <w:t xml:space="preserve">Scenario</w:t>
            </w:r>
          </w:p>
        </w:tc>
        <w:tc>
          <w:tcPr/>
          <w:p>
            <w:pPr>
              <w:pStyle w:val="Compact"/>
            </w:pPr>
            <w:r>
              <w:t xml:space="preserve">f_transfer</w:t>
            </w:r>
          </w:p>
        </w:tc>
        <w:tc>
          <w:tcPr/>
          <w:p>
            <w:pPr>
              <w:pStyle w:val="Compact"/>
            </w:pPr>
            <w:r>
              <w:t xml:space="preserve">F_pulmonary</w:t>
            </w:r>
          </w:p>
        </w:tc>
        <w:tc>
          <w:tcPr/>
          <w:p>
            <w:pPr>
              <w:pStyle w:val="Compact"/>
            </w:pPr>
            <w:r>
              <w:rPr>
                <w:b/>
                <w:bCs/>
              </w:rPr>
              <w:t xml:space="preserve">f_systemic</w:t>
            </w:r>
          </w:p>
        </w:tc>
        <w:tc>
          <w:tcPr/>
          <w:p>
            <w:pPr>
              <w:pStyle w:val="Compact"/>
            </w:pPr>
            <w:r>
              <w:t xml:space="preserve">systemic THC (1g @ 1%)</w:t>
            </w:r>
          </w:p>
        </w:tc>
      </w:tr>
      <w:tr>
        <w:tc>
          <w:tcPr/>
          <w:p>
            <w:pPr>
              <w:pStyle w:val="Compact"/>
            </w:pPr>
            <w:r>
              <w:t xml:space="preserve">Conservative</w:t>
            </w:r>
          </w:p>
        </w:tc>
        <w:tc>
          <w:tcPr/>
          <w:p>
            <w:pPr>
              <w:pStyle w:val="Compact"/>
            </w:pPr>
            <w:r>
              <w:t xml:space="preserve">12%</w:t>
            </w:r>
          </w:p>
        </w:tc>
        <w:tc>
          <w:tcPr/>
          <w:p>
            <w:pPr>
              <w:pStyle w:val="Compact"/>
            </w:pPr>
            <w:r>
              <w:t xml:space="preserve">10%</w:t>
            </w:r>
          </w:p>
        </w:tc>
        <w:tc>
          <w:tcPr/>
          <w:p>
            <w:pPr>
              <w:pStyle w:val="Compact"/>
            </w:pPr>
            <w:r>
              <w:rPr>
                <w:b/>
                <w:bCs/>
              </w:rPr>
              <w:t xml:space="preserve">1,2%</w:t>
            </w:r>
          </w:p>
        </w:tc>
        <w:tc>
          <w:tcPr/>
          <w:p>
            <w:pPr>
              <w:pStyle w:val="Compact"/>
            </w:pPr>
            <w:r>
              <w:rPr>
                <w:b/>
                <w:bCs/>
              </w:rPr>
              <w:t xml:space="preserve">0,12 mg</w:t>
            </w:r>
          </w:p>
        </w:tc>
      </w:tr>
      <w:tr>
        <w:tc>
          <w:tcPr/>
          <w:p>
            <w:pPr>
              <w:pStyle w:val="Compact"/>
            </w:pPr>
            <w:r>
              <w:t xml:space="preserve">Central</w:t>
            </w:r>
          </w:p>
        </w:tc>
        <w:tc>
          <w:tcPr/>
          <w:p>
            <w:pPr>
              <w:pStyle w:val="Compact"/>
            </w:pPr>
            <w:r>
              <w:t xml:space="preserve">20%</w:t>
            </w:r>
          </w:p>
        </w:tc>
        <w:tc>
          <w:tcPr/>
          <w:p>
            <w:pPr>
              <w:pStyle w:val="Compact"/>
            </w:pPr>
            <w:r>
              <w:t xml:space="preserve">25%</w:t>
            </w:r>
          </w:p>
        </w:tc>
        <w:tc>
          <w:tcPr/>
          <w:p>
            <w:pPr>
              <w:pStyle w:val="Compact"/>
            </w:pPr>
            <w:r>
              <w:rPr>
                <w:b/>
                <w:bCs/>
              </w:rPr>
              <w:t xml:space="preserve">5%</w:t>
            </w:r>
          </w:p>
        </w:tc>
        <w:tc>
          <w:tcPr/>
          <w:p>
            <w:pPr>
              <w:pStyle w:val="Compact"/>
            </w:pPr>
            <w:r>
              <w:rPr>
                <w:b/>
                <w:bCs/>
              </w:rPr>
              <w:t xml:space="preserve">0.5 mg</w:t>
            </w:r>
          </w:p>
        </w:tc>
      </w:tr>
      <w:tr>
        <w:tc>
          <w:tcPr/>
          <w:p>
            <w:pPr>
              <w:pStyle w:val="Compact"/>
            </w:pPr>
            <w:r>
              <w:t xml:space="preserve">Regulatory</w:t>
            </w:r>
          </w:p>
        </w:tc>
        <w:tc>
          <w:tcPr/>
          <w:p>
            <w:pPr>
              <w:pStyle w:val="Compact"/>
            </w:pPr>
            <w:r>
              <w:t xml:space="preserve">20%</w:t>
            </w:r>
          </w:p>
        </w:tc>
        <w:tc>
          <w:tcPr/>
          <w:p>
            <w:pPr>
              <w:pStyle w:val="Compact"/>
            </w:pPr>
            <w:r>
              <w:t xml:space="preserve">50%</w:t>
            </w:r>
          </w:p>
        </w:tc>
        <w:tc>
          <w:tcPr/>
          <w:p>
            <w:pPr>
              <w:pStyle w:val="Compact"/>
            </w:pPr>
            <w:r>
              <w:rPr>
                <w:b/>
                <w:bCs/>
              </w:rPr>
              <w:t xml:space="preserve">10%</w:t>
            </w:r>
          </w:p>
        </w:tc>
        <w:tc>
          <w:tcPr/>
          <w:p>
            <w:pPr>
              <w:pStyle w:val="Compact"/>
            </w:pPr>
            <w:r>
              <w:rPr>
                <w:b/>
                <w:bCs/>
              </w:rPr>
              <w:t xml:space="preserve">1.0 mg</w:t>
            </w:r>
          </w:p>
        </w:tc>
      </w:tr>
      <w:tr>
        <w:tc>
          <w:tcPr/>
          <w:p>
            <w:pPr>
              <w:pStyle w:val="Compact"/>
            </w:pPr>
            <w:r>
              <w:t xml:space="preserve">High (optimal)</w:t>
            </w:r>
          </w:p>
        </w:tc>
        <w:tc>
          <w:tcPr/>
          <w:p>
            <w:pPr>
              <w:pStyle w:val="Compact"/>
            </w:pPr>
            <w:r>
              <w:t xml:space="preserve">37%</w:t>
            </w:r>
          </w:p>
        </w:tc>
        <w:tc>
          <w:tcPr/>
          <w:p>
            <w:pPr>
              <w:pStyle w:val="Compact"/>
            </w:pPr>
            <w:r>
              <w:t xml:space="preserve">55%</w:t>
            </w:r>
          </w:p>
        </w:tc>
        <w:tc>
          <w:tcPr/>
          <w:p>
            <w:pPr>
              <w:pStyle w:val="Compact"/>
            </w:pPr>
            <w:r>
              <w:rPr>
                <w:b/>
                <w:bCs/>
              </w:rPr>
              <w:t xml:space="preserve">20%</w:t>
            </w:r>
          </w:p>
        </w:tc>
        <w:tc>
          <w:tcPr/>
          <w:p>
            <w:pPr>
              <w:pStyle w:val="Compact"/>
            </w:pPr>
            <w:r>
              <w:rPr>
                <w:b/>
                <w:bCs/>
              </w:rPr>
              <w:t xml:space="preserve">2,0 mg</w:t>
            </w:r>
          </w:p>
        </w:tc>
      </w:tr>
    </w:tbl>
    <w:p>
      <w:pPr>
        <w:pStyle w:val="BodyText"/>
      </w:pPr>
      <w:r>
        <w:t xml:space="preserve">Confrontation with intoxication thresholds:** **</w:t>
      </w:r>
      <w:r>
        <w:t xml:space="preserve"> </w:t>
      </w:r>
      <w:r>
        <w:rPr>
          <w:b/>
          <w:bCs/>
        </w:rPr>
        <w:t xml:space="preserve">20%</w:t>
      </w:r>
      <w:r>
        <w:t xml:space="preserve"> </w:t>
      </w:r>
      <w:r>
        <w:rPr>
          <w:b/>
          <w:bCs/>
        </w:rPr>
        <w:t xml:space="preserve">20%</w:t>
      </w:r>
      <w:r>
        <w:t xml:space="preserve"> </w:t>
      </w:r>
      <w:r>
        <w:rPr>
          <w:b/>
          <w:bCs/>
        </w:rPr>
        <w:t xml:space="preserve">20%</w:t>
      </w:r>
      <w:r>
        <w:t xml:space="preserve"> </w:t>
      </w:r>
      <w:r>
        <w:t xml:space="preserve">**20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Comparison</w:t>
            </w:r>
          </w:p>
        </w:tc>
        <w:tc>
          <w:tcPr/>
          <w:p>
            <w:pPr>
              <w:pStyle w:val="Compact"/>
            </w:pPr>
            <w:r>
              <w:t xml:space="preserve">Outcome (systemic THC 0.12-2.0 mg)</w:t>
            </w:r>
          </w:p>
        </w:tc>
      </w:tr>
      <w:tr>
        <w:tc>
          <w:tcPr/>
          <w:p>
            <w:pPr>
              <w:pStyle w:val="Compact"/>
            </w:pPr>
            <w:r>
              <w:t xml:space="preserve">vs EFSA LOAEL oral (2.5 mg)</w:t>
            </w:r>
          </w:p>
        </w:tc>
        <w:tc>
          <w:tcPr/>
          <w:p>
            <w:pPr>
              <w:pStyle w:val="Compact"/>
            </w:pPr>
            <w:r>
              <w:rPr>
                <w:b/>
                <w:bCs/>
              </w:rPr>
              <w:t xml:space="preserve">Ã1.3-21 lower</w:t>
            </w:r>
          </w:p>
        </w:tc>
      </w:tr>
      <w:tr>
        <w:tc>
          <w:tcPr/>
          <w:p>
            <w:pPr>
              <w:pStyle w:val="Compact"/>
            </w:pPr>
            <w:r>
              <w:rPr>
                <w:b/>
                <w:bCs/>
              </w:rPr>
              <w:t xml:space="preserve">vs EFSA smoked LOAEL (7.5-50 mg systemic)</w:t>
            </w:r>
          </w:p>
        </w:tc>
        <w:tc>
          <w:tcPr/>
          <w:p>
            <w:pPr>
              <w:pStyle w:val="Compact"/>
            </w:pPr>
            <w:r>
              <w:rPr>
                <w:b/>
                <w:bCs/>
              </w:rPr>
              <w:t xml:space="preserve">Ã4-417 less</w:t>
            </w:r>
          </w:p>
        </w:tc>
      </w:tr>
      <w:tr>
        <w:tc>
          <w:tcPr/>
          <w:p>
            <w:pPr>
              <w:pStyle w:val="Compact"/>
            </w:pPr>
            <w:r>
              <w:t xml:space="preserve">vs</w:t>
            </w:r>
            <w:r>
              <w:t xml:space="preserve"> </w:t>
            </w:r>
            <w:r>
              <w:t xml:space="preserve">“desired high”</w:t>
            </w:r>
            <w:r>
              <w:t xml:space="preserve"> </w:t>
            </w:r>
            <w:r>
              <w:t xml:space="preserve">i.v. (3.1 mg)</w:t>
            </w:r>
          </w:p>
        </w:tc>
        <w:tc>
          <w:tcPr/>
          <w:p>
            <w:pPr>
              <w:pStyle w:val="Compact"/>
            </w:pPr>
            <w:r>
              <w:t xml:space="preserve">**</w:t>
            </w:r>
            <w:r>
              <w:t xml:space="preserve"> </w:t>
            </w:r>
            <w:r>
              <w:rPr>
                <w:b/>
                <w:bCs/>
              </w:rPr>
              <w:t xml:space="preserve">Ã1.5-26 less</w:t>
            </w:r>
          </w:p>
        </w:tc>
      </w:tr>
      <w:tr>
        <w:tc>
          <w:tcPr/>
          <w:p>
            <w:pPr>
              <w:pStyle w:val="Compact"/>
            </w:pPr>
            <w:r>
              <w:t xml:space="preserve">vs INTF Spain oral (10 mg) **</w:t>
            </w:r>
            <w:r>
              <w:t xml:space="preserve"> </w:t>
            </w:r>
            <w:r>
              <w:rPr>
                <w:b/>
                <w:bCs/>
              </w:rPr>
              <w:t xml:space="preserve">Ã5-83 less</w:t>
            </w:r>
          </w:p>
        </w:tc>
        <w:tc>
          <w:tcPr/>
          <w:p>
            <w:pPr>
              <w:pStyle w:val="Compact"/>
            </w:pPr>
            <w:r>
              <w:rPr>
                <w:b/>
                <w:bCs/>
              </w:rPr>
              <w:t xml:space="preserve">Ã5-83 less</w:t>
            </w:r>
          </w:p>
        </w:tc>
      </w:tr>
    </w:tbl>
    <w:p>
      <w:pPr>
        <w:pStyle w:val="BodyText"/>
      </w:pPr>
      <w:r>
        <w:rPr>
          <w:b/>
          <w:bCs/>
        </w:rPr>
        <w:t xml:space="preserve">Even in the most favorable scenario for exposure</w:t>
      </w:r>
      <w:r>
        <w:t xml:space="preserve"> </w:t>
      </w:r>
      <w:r>
        <w:t xml:space="preserve">(systemic f=20%), a full gram of 1% hemp smoked produces a systemic dose that is</w:t>
      </w:r>
      <w:r>
        <w:t xml:space="preserve"> </w:t>
      </w:r>
      <w:r>
        <w:rPr>
          <w:b/>
          <w:bCs/>
        </w:rPr>
        <w:t xml:space="preserve">1.5Ã below</w:t>
      </w:r>
      <w:r>
        <w:t xml:space="preserve"> </w:t>
      </w:r>
      <w:r>
        <w:t xml:space="preserve">the</w:t>
      </w:r>
      <w:r>
        <w:t xml:space="preserve"> </w:t>
      </w:r>
      <w:r>
        <w:t xml:space="preserve">“desired marijuana high”</w:t>
      </w:r>
      <w:r>
        <w:t xml:space="preserve"> </w:t>
      </w:r>
      <w:r>
        <w:t xml:space="preserve">documented by EFSA.</w:t>
      </w:r>
    </w:p>
    <w:p>
      <w:pPr>
        <w:pStyle w:val="BodyText"/>
      </w:pPr>
      <w:r>
        <w:rPr>
          <w:b/>
          <w:bCs/>
        </w:rPr>
        <w:t xml:space="preserve">At typical regulatory bioavailability (5-10%), the margin of safety is</w:t>
      </w:r>
      <w:r>
        <w:rPr>
          <w:b/>
          <w:bCs/>
        </w:rPr>
        <w:t xml:space="preserve"> </w:t>
      </w:r>
      <w:r>
        <w:t xml:space="preserve">3-6Ã**.</w:t>
      </w:r>
      <w:r>
        <w:t xml:space="preserve"> </w:t>
      </w:r>
      <w:r>
        <w:t xml:space="preserve">##### B.3 The typical scenario: normal cigarette</w:t>
      </w:r>
    </w:p>
    <w:p>
      <w:pPr>
        <w:pStyle w:val="BodyText"/>
      </w:pPr>
      <w:r>
        <w:t xml:space="preserve">Using the recommended regulatory bioavailability (</w:t>
      </w:r>
      <w:r>
        <w:rPr>
          <w:b/>
          <w:bCs/>
        </w:rPr>
        <w:t xml:space="preserve">5-10%</w:t>
      </w:r>
      <w:r>
        <w:t xml:space="preserve"> </w:t>
      </w:r>
      <w:r>
        <w:t xml:space="preserve">of nominal THC reaches systemic circulation):</w:t>
      </w:r>
    </w:p>
    <w:tbl>
      <w:tblPr>
        <w:tblStyle w:val="Table"/>
        <w:tblW w:type="pct" w:w="5000"/>
        <w:tblLayout w:type="fixed"/>
        <w:tblLook w:firstRow="1" w:lastRow="0" w:firstColumn="0" w:lastColumn="0" w:noHBand="0" w:noVBand="0" w:val="0020"/>
      </w:tblPr>
      <w:tblGrid>
        <w:gridCol w:w="1193"/>
        <w:gridCol w:w="1410"/>
        <w:gridCol w:w="2386"/>
        <w:gridCol w:w="2929"/>
      </w:tblGrid>
      <w:tr>
        <w:trPr>
          <w:tblHeader w:val="on"/>
        </w:trPr>
        <w:tc>
          <w:tcPr/>
          <w:p>
            <w:pPr>
              <w:pStyle w:val="Compact"/>
            </w:pPr>
            <w:r>
              <w:t xml:space="preserve">Scenario</w:t>
            </w:r>
          </w:p>
        </w:tc>
        <w:tc>
          <w:tcPr/>
          <w:p>
            <w:pPr>
              <w:pStyle w:val="Compact"/>
            </w:pPr>
            <w:r>
              <w:t xml:space="preserve">Nominal THC</w:t>
            </w:r>
          </w:p>
        </w:tc>
        <w:tc>
          <w:tcPr/>
          <w:p>
            <w:pPr>
              <w:pStyle w:val="Compact"/>
            </w:pPr>
            <w:r>
              <w:t xml:space="preserve">Systemic THC (5-10%)</w:t>
            </w:r>
          </w:p>
        </w:tc>
        <w:tc>
          <w:tcPr/>
          <w:p>
            <w:pPr>
              <w:pStyle w:val="Compact"/>
            </w:pPr>
            <w:r>
              <w:t xml:space="preserve">vs</w:t>
            </w:r>
            <w:r>
              <w:t xml:space="preserve"> </w:t>
            </w:r>
            <w:r>
              <w:t xml:space="preserve">“desired high”</w:t>
            </w:r>
            <w:r>
              <w:t xml:space="preserve"> </w:t>
            </w:r>
            <w:r>
              <w:t xml:space="preserve">(3.1 mg)</w:t>
            </w:r>
          </w:p>
        </w:tc>
      </w:tr>
      <w:tr>
        <w:tc>
          <w:tcPr/>
          <w:p>
            <w:pPr>
              <w:pStyle w:val="Compact"/>
            </w:pPr>
            <w:r>
              <w:t xml:space="preserve">Small cigarette (0.3 g @ 1%)</w:t>
            </w:r>
          </w:p>
        </w:tc>
        <w:tc>
          <w:tcPr/>
          <w:p>
            <w:pPr>
              <w:pStyle w:val="Compact"/>
            </w:pPr>
            <w:r>
              <w:t xml:space="preserve">3 mg</w:t>
            </w:r>
          </w:p>
        </w:tc>
        <w:tc>
          <w:tcPr/>
          <w:p>
            <w:pPr>
              <w:pStyle w:val="Compact"/>
            </w:pPr>
            <w:r>
              <w:rPr>
                <w:b/>
                <w:bCs/>
              </w:rPr>
              <w:t xml:space="preserve">0.15-0.30 mg</w:t>
            </w:r>
          </w:p>
        </w:tc>
        <w:tc>
          <w:tcPr/>
          <w:p>
            <w:pPr>
              <w:pStyle w:val="Compact"/>
            </w:pPr>
            <w:r>
              <w:rPr>
                <w:b/>
                <w:bCs/>
              </w:rPr>
              <w:t xml:space="preserve">Ã10-21 less</w:t>
            </w:r>
          </w:p>
        </w:tc>
      </w:tr>
      <w:tr>
        <w:tc>
          <w:tcPr/>
          <w:p>
            <w:pPr>
              <w:pStyle w:val="Compact"/>
            </w:pPr>
            <w:r>
              <w:t xml:space="preserve">Typical cigarette (0.5 g @ 1%)</w:t>
            </w:r>
          </w:p>
        </w:tc>
        <w:tc>
          <w:tcPr/>
          <w:p>
            <w:pPr>
              <w:pStyle w:val="Compact"/>
            </w:pPr>
            <w:r>
              <w:t xml:space="preserve">5 mg</w:t>
            </w:r>
          </w:p>
        </w:tc>
        <w:tc>
          <w:tcPr/>
          <w:p>
            <w:pPr>
              <w:pStyle w:val="Compact"/>
            </w:pPr>
            <w:r>
              <w:rPr>
                <w:b/>
                <w:bCs/>
              </w:rPr>
              <w:t xml:space="preserve">0.25-0.50 mg</w:t>
            </w:r>
          </w:p>
        </w:tc>
        <w:tc>
          <w:tcPr/>
          <w:p>
            <w:pPr>
              <w:pStyle w:val="Compact"/>
            </w:pPr>
            <w:r>
              <w:rPr>
                <w:b/>
                <w:bCs/>
              </w:rPr>
              <w:t xml:space="preserve">Ã6-12 less</w:t>
            </w:r>
          </w:p>
        </w:tc>
      </w:tr>
      <w:tr>
        <w:tc>
          <w:tcPr/>
          <w:p>
            <w:pPr>
              <w:pStyle w:val="Compact"/>
            </w:pPr>
            <w:r>
              <w:t xml:space="preserve">Large cigarette (1 g @ 1%)</w:t>
            </w:r>
          </w:p>
        </w:tc>
        <w:tc>
          <w:tcPr/>
          <w:p>
            <w:pPr>
              <w:pStyle w:val="Compact"/>
            </w:pPr>
            <w:r>
              <w:t xml:space="preserve">10 mg</w:t>
            </w:r>
          </w:p>
        </w:tc>
        <w:tc>
          <w:tcPr/>
          <w:p>
            <w:pPr>
              <w:pStyle w:val="Compact"/>
            </w:pPr>
            <w:r>
              <w:rPr>
                <w:b/>
                <w:bCs/>
              </w:rPr>
              <w:t xml:space="preserve">0.50-1.00 mg</w:t>
            </w:r>
          </w:p>
        </w:tc>
        <w:tc>
          <w:tcPr/>
          <w:p>
            <w:pPr>
              <w:pStyle w:val="Compact"/>
            </w:pPr>
            <w:r>
              <w:rPr>
                <w:b/>
                <w:bCs/>
              </w:rPr>
              <w:t xml:space="preserve">Ã3-6 less</w:t>
            </w:r>
          </w:p>
        </w:tc>
      </w:tr>
    </w:tbl>
    <w:bookmarkEnd w:id="44"/>
    <w:bookmarkEnd w:id="45"/>
    <w:bookmarkEnd w:id="46"/>
    <w:bookmarkStart w:id="50" w:name="X794a829de9c8dfe13f6143685d7be34efcbf448"/>
    <w:p>
      <w:pPr>
        <w:pStyle w:val="Heading3"/>
      </w:pPr>
      <w:r>
        <w:t xml:space="preserve">2.4.3 Modulatory Effects and Additional Factors</w:t>
      </w:r>
    </w:p>
    <w:bookmarkStart w:id="48" w:name="antagonistic-effect-of-cbd"/>
    <w:p>
      <w:pPr>
        <w:pStyle w:val="Heading4"/>
      </w:pPr>
      <w:r>
        <w:t xml:space="preserve">Antagonistic effect of CBD</w:t>
      </w:r>
    </w:p>
    <w:p>
      <w:pPr>
        <w:pStyle w:val="FirstParagraph"/>
      </w:pPr>
      <w:r>
        <w:t xml:space="preserve">Industrial hemp strains contain significant levels of cannabidiol (CBD), which</w:t>
      </w:r>
      <w:r>
        <w:t xml:space="preserve"> </w:t>
      </w:r>
      <w:r>
        <w:rPr>
          <w:b/>
          <w:bCs/>
        </w:rPr>
        <w:t xml:space="preserve">antagonizes the effects of THC</w:t>
      </w:r>
      <w:r>
        <w:t xml:space="preserve"> </w:t>
      </w:r>
      <w:r>
        <w:t xml:space="preserve">at the CB1 receptor level. Typical CBD:THC ratios in hemp (2:1 to 17:1) provide a modulating effect that further reduces any psychoactive impact.</w:t>
      </w:r>
      <w:r>
        <w:rPr>
          <w:rStyle w:val="FootnoteReference"/>
        </w:rPr>
        <w:footnoteReference w:id="47"/>
      </w:r>
      <w:r>
        <w:t xml:space="preserve">.</w:t>
      </w:r>
    </w:p>
    <w:bookmarkEnd w:id="48"/>
    <w:bookmarkStart w:id="49" w:name="economic-impossibility-of-abuse"/>
    <w:p>
      <w:pPr>
        <w:pStyle w:val="Heading4"/>
      </w:pPr>
      <w:r>
        <w:t xml:space="preserve">Economic impossibility of abuse</w:t>
      </w:r>
    </w:p>
    <w:p>
      <w:pPr>
        <w:pStyle w:val="FirstParagraph"/>
      </w:pPr>
      <w:r>
        <w:t xml:space="preserve">From an economic perspective, abuse of industrial hemp is</w:t>
      </w:r>
      <w:r>
        <w:t xml:space="preserve"> </w:t>
      </w:r>
      <w:r>
        <w:rPr>
          <w:b/>
          <w:bCs/>
        </w:rPr>
        <w:t xml:space="preserve">irrational</w:t>
      </w:r>
      <w:r>
        <w:t xml:space="preserve">. Obtaining THC from hemp is</w:t>
      </w:r>
      <w:r>
        <w:t xml:space="preserve"> </w:t>
      </w:r>
      <w:r>
        <w:rPr>
          <w:b/>
          <w:bCs/>
        </w:rPr>
        <w:t xml:space="preserve">substantially more expensive, laborious and inefficient</w:t>
      </w:r>
      <w:r>
        <w:t xml:space="preserve"> </w:t>
      </w:r>
      <w:r>
        <w:t xml:space="preserve">than accessing high THC (&gt;13%) illicit cannabis already available on the black market.</w:t>
      </w:r>
    </w:p>
    <w:bookmarkEnd w:id="49"/>
    <w:bookmarkEnd w:id="50"/>
    <w:bookmarkStart w:id="51" w:name="safety-conclusion"/>
    <w:p>
      <w:pPr>
        <w:pStyle w:val="Heading3"/>
      </w:pPr>
      <w:r>
        <w:t xml:space="preserve">2.4.4.4 Safety Conclusion</w:t>
      </w:r>
    </w:p>
    <w:p>
      <w:pPr>
        <w:pStyle w:val="FirstParagraph"/>
      </w:pPr>
      <w:r>
        <w:t xml:space="preserve">Raising the threshold to 1%</w:t>
      </w:r>
      <w:r>
        <w:t xml:space="preserve"> </w:t>
      </w:r>
      <w:r>
        <w:rPr>
          <w:b/>
          <w:bCs/>
        </w:rPr>
        <w:t xml:space="preserve">does not alter the risk assessment</w:t>
      </w:r>
      <w:r>
        <w:t xml:space="preserve">: the threshold refers to a field average under established controls, does not change the nature of the crop or enable psychoactive use.</w:t>
      </w:r>
    </w:p>
    <w:p>
      <w:pPr>
        <w:pStyle w:val="BodyText"/>
      </w:pPr>
      <w:r>
        <w:rPr>
          <w:b/>
          <w:bCs/>
        </w:rPr>
        <w:t xml:space="preserve">In practical terms, industrial hemp at 1% THC is comparable to</w:t>
      </w:r>
      <w:r>
        <w:rPr>
          <w:b/>
          <w:bCs/>
        </w:rPr>
        <w:t xml:space="preserve"> </w:t>
      </w:r>
      <w:r>
        <w:rPr>
          <w:b/>
          <w:bCs/>
        </w:rPr>
        <w:t xml:space="preserve">“non-alcoholic”</w:t>
      </w:r>
      <w:r>
        <w:rPr>
          <w:b/>
          <w:bCs/>
        </w:rPr>
        <w:t xml:space="preserve"> </w:t>
      </w:r>
      <w:r>
        <w:rPr>
          <w:b/>
          <w:bCs/>
        </w:rPr>
        <w:t xml:space="preserve">beer</w:t>
      </w:r>
      <w:r>
        <w:t xml:space="preserve">: it may contain traces of a psychoactive substance, but</w:t>
      </w:r>
      <w:r>
        <w:t xml:space="preserve"> </w:t>
      </w:r>
      <w:r>
        <w:rPr>
          <w:b/>
          <w:bCs/>
        </w:rPr>
        <w:t xml:space="preserve">without realistic potential for intoxication</w:t>
      </w:r>
      <w:r>
        <w:t xml:space="preserve">.</w:t>
      </w:r>
    </w:p>
    <w:p>
      <w:pPr>
        <w:pStyle w:val="BodyText"/>
      </w:pPr>
      <w:r>
        <w:t xml:space="preserve">Accurate pharmacokinetic quantification demonstrates substantial safety margins:</w:t>
      </w:r>
    </w:p>
    <w:p>
      <w:pPr>
        <w:pStyle w:val="Compact"/>
        <w:numPr>
          <w:ilvl w:val="0"/>
          <w:numId w:val="1015"/>
        </w:numPr>
      </w:pPr>
      <w:r>
        <w:rPr>
          <w:b/>
          <w:bCs/>
        </w:rPr>
        <w:t xml:space="preserve">Typical cigarette (0.5 g)</w:t>
      </w:r>
      <w:r>
        <w:t xml:space="preserve">: systemic dose</w:t>
      </w:r>
      <w:r>
        <w:t xml:space="preserve"> </w:t>
      </w:r>
      <w:r>
        <w:rPr>
          <w:b/>
          <w:bCs/>
        </w:rPr>
        <w:t xml:space="preserve">6-12Ã lower</w:t>
      </w:r>
      <w:r>
        <w:t xml:space="preserve"> </w:t>
      </w:r>
      <w:r>
        <w:t xml:space="preserve">than the</w:t>
      </w:r>
      <w:r>
        <w:t xml:space="preserve"> </w:t>
      </w:r>
      <w:r>
        <w:t xml:space="preserve">“desired high”</w:t>
      </w:r>
      <w:r>
        <w:t xml:space="preserve"> </w:t>
      </w:r>
      <w:r>
        <w:t xml:space="preserve">and</w:t>
      </w:r>
      <w:r>
        <w:t xml:space="preserve"> </w:t>
      </w:r>
      <w:r>
        <w:rPr>
          <w:b/>
          <w:bCs/>
        </w:rPr>
        <w:t xml:space="preserve">15-100Ã lower</w:t>
      </w:r>
      <w:r>
        <w:t xml:space="preserve"> </w:t>
      </w:r>
      <w:r>
        <w:t xml:space="preserve">than the equivalent smoked LOAEL.</w:t>
      </w:r>
    </w:p>
    <w:p>
      <w:pPr>
        <w:pStyle w:val="Compact"/>
        <w:numPr>
          <w:ilvl w:val="0"/>
          <w:numId w:val="1015"/>
        </w:numPr>
      </w:pPr>
      <w:r>
        <w:t xml:space="preserve">Realistic worst case (1 g)</w:t>
      </w:r>
      <w:r>
        <w:rPr>
          <w:b/>
          <w:bCs/>
        </w:rPr>
        <w:t xml:space="preserve">: systemic dose</w:t>
      </w:r>
      <w:r>
        <w:rPr>
          <w:b/>
          <w:bCs/>
        </w:rPr>
        <w:t xml:space="preserve"> </w:t>
      </w:r>
      <w:r>
        <w:t xml:space="preserve">3-6Ã lower** than the desired high and</w:t>
      </w:r>
      <w:r>
        <w:t xml:space="preserve"> </w:t>
      </w:r>
      <w:r>
        <w:rPr>
          <w:b/>
          <w:bCs/>
        </w:rPr>
        <w:t xml:space="preserve">4-50Ã lower</w:t>
      </w:r>
      <w:r>
        <w:t xml:space="preserve"> </w:t>
      </w:r>
      <w:r>
        <w:t xml:space="preserve">than the smoked LOAEL</w:t>
      </w:r>
    </w:p>
    <w:p>
      <w:pPr>
        <w:pStyle w:val="Compact"/>
        <w:numPr>
          <w:ilvl w:val="0"/>
          <w:numId w:val="1015"/>
        </w:numPr>
      </w:pPr>
      <w:r>
        <w:t xml:space="preserve">Only with &gt;2 grams** and optimal bioavailability (20%) would the i.v. intoxication threshold be reached.</w:t>
      </w:r>
    </w:p>
    <w:p>
      <w:pPr>
        <w:pStyle w:val="FirstParagraph"/>
      </w:pPr>
      <w:r>
        <w:t xml:space="preserve">These</w:t>
      </w:r>
      <w:r>
        <w:t xml:space="preserve"> </w:t>
      </w:r>
      <w:r>
        <w:rPr>
          <w:b/>
          <w:bCs/>
        </w:rPr>
        <w:t xml:space="preserve">safety margins (4-417Ã) are much higher</w:t>
      </w:r>
      <w:r>
        <w:t xml:space="preserve"> </w:t>
      </w:r>
      <w:r>
        <w:t xml:space="preserve">than those applied to other legal products containing traces of psychoactive substances, and are based on direct pharmacokinetic evidence from verifiable PMID controlled human studies.</w:t>
      </w:r>
    </w:p>
    <w:bookmarkEnd w:id="51"/>
    <w:bookmarkStart w:id="52" w:name="Xef4cbf066e94cf3630fb91dc810cbef8ff1fb18"/>
    <w:p>
      <w:pPr>
        <w:pStyle w:val="Heading3"/>
      </w:pPr>
      <w:r>
        <w:t xml:space="preserve">2.4.5 European precedent: more than a decade of uneventful sales</w:t>
      </w:r>
    </w:p>
    <w:p>
      <w:pPr>
        <w:pStyle w:val="FirstParagraph"/>
      </w:pPr>
      <w:r>
        <w:t xml:space="preserve">While scientific evidence supports the safety of 1% THC industrial hemp for inhalation,</w:t>
      </w:r>
      <w:r>
        <w:t xml:space="preserve"> </w:t>
      </w:r>
      <w:r>
        <w:rPr>
          <w:b/>
          <w:bCs/>
        </w:rPr>
        <w:t xml:space="preserve">the European practical precedent is even stronger</w:t>
      </w:r>
      <w:r>
        <w:t xml:space="preserve">.</w:t>
      </w:r>
    </w:p>
    <w:p>
      <w:pPr>
        <w:pStyle w:val="BodyText"/>
      </w:pPr>
      <w:r>
        <w:rPr>
          <w:b/>
          <w:bCs/>
        </w:rPr>
        <w:t xml:space="preserve">Switzerland</w:t>
      </w:r>
      <w:r>
        <w:t xml:space="preserve"> </w:t>
      </w:r>
      <w:r>
        <w:t xml:space="preserve">has allowed since 2011 the free sale of hemp flowers (&lt;1% THC) as an</w:t>
      </w:r>
      <w:r>
        <w:t xml:space="preserve"> </w:t>
      </w:r>
      <w:r>
        <w:rPr>
          <w:b/>
          <w:bCs/>
        </w:rPr>
        <w:t xml:space="preserve">alternative to tobacco</w:t>
      </w:r>
      <w:r>
        <w:t xml:space="preserve">, marketed in tobacconists, supermarkets and specialty stores.</w:t>
      </w:r>
      <w:r>
        <w:t xml:space="preserve"> </w:t>
      </w:r>
      <w:r>
        <w:rPr>
          <w:b/>
          <w:bCs/>
        </w:rPr>
        <w:t xml:space="preserve">Luxembourg</w:t>
      </w:r>
      <w:r>
        <w:t xml:space="preserve"> </w:t>
      </w:r>
      <w:r>
        <w:t xml:space="preserve">has adopted the same approach under its</w:t>
      </w:r>
      <w:r>
        <w:t xml:space="preserve"> </w:t>
      </w:r>
      <w:r>
        <w:rPr>
          <w:i/>
          <w:iCs/>
        </w:rPr>
        <w:t xml:space="preserve">Tobacco Control Act</w:t>
      </w:r>
      <w:r>
        <w:t xml:space="preserve">, allowing hemp products up to 1% THC as tobacco substitutes.</w:t>
      </w:r>
      <w:r>
        <w:t xml:space="preserve"> </w:t>
      </w:r>
      <w:r>
        <w:t xml:space="preserve">Beyond these formal frameworks,</w:t>
      </w:r>
      <w:r>
        <w:t xml:space="preserve"> </w:t>
      </w:r>
      <w:r>
        <w:rPr>
          <w:b/>
          <w:bCs/>
        </w:rPr>
        <w:t xml:space="preserve">multiple member states allow de facto marketing of hemp flowers</w:t>
      </w:r>
      <w:r>
        <w:t xml:space="preserve"> </w:t>
      </w:r>
      <w:r>
        <w:t xml:space="preserve">for smoking under various regulatory interpretations:</w:t>
      </w:r>
      <w:r>
        <w:t xml:space="preserve"> </w:t>
      </w:r>
      <w:r>
        <w:rPr>
          <w:b/>
          <w:bCs/>
        </w:rPr>
        <w:t xml:space="preserve">Austria, Belgium, Poland, Greece, Czech Republic and France</w:t>
      </w:r>
      <w:r>
        <w:t xml:space="preserve">, among others, have active markets for CBD flowers in specialty stores. Although not all Member States have established specific registration frameworks for these products,</w:t>
      </w:r>
      <w:r>
        <w:t xml:space="preserve"> </w:t>
      </w:r>
      <w:r>
        <w:rPr>
          <w:b/>
          <w:bCs/>
        </w:rPr>
        <w:t xml:space="preserve">the commercial reality is that hemp flowers have been sold for inhalation in Europe for more than a decade</w:t>
      </w:r>
      <w:r>
        <w:t xml:space="preserve">.</w:t>
      </w:r>
    </w:p>
    <w:p>
      <w:pPr>
        <w:pStyle w:val="BodyText"/>
      </w:pPr>
      <w:r>
        <w:t xml:space="preserve">**The most relevant fact: no Member State has reported any public health incidents associated with these products.</w:t>
      </w:r>
    </w:p>
    <w:p>
      <w:pPr>
        <w:pStyle w:val="BodyText"/>
      </w:pPr>
      <w:r>
        <w:t xml:space="preserve">This empirical precedent strengthens the scientific argument and raises a question of regulatory consistency:</w:t>
      </w:r>
    </w:p>
    <w:p>
      <w:pPr>
        <w:pStyle w:val="BlockText"/>
      </w:pPr>
      <w:r>
        <w:rPr>
          <w:b/>
          <w:bCs/>
        </w:rPr>
        <w:t xml:space="preserve">If the TFEU protects the free circulation of products that do not constitute harm to public health</w:t>
      </w:r>
      <w:r>
        <w:t xml:space="preserve"> </w:t>
      </w:r>
      <w:r>
        <w:t xml:space="preserve">- and industrial hemp flowers clearly are not, as demonstrated by more than a decade of incident-free marketing -</w:t>
      </w:r>
      <w:r>
        <w:t xml:space="preserve"> </w:t>
      </w:r>
      <w:r>
        <w:rPr>
          <w:b/>
          <w:bCs/>
        </w:rPr>
        <w:t xml:space="preserve">then the real harm to public health comes from regulatory inaction</w:t>
      </w:r>
      <w:r>
        <w:t xml:space="preserve">.</w:t>
      </w:r>
    </w:p>
    <w:p>
      <w:pPr>
        <w:pStyle w:val="FirstParagraph"/>
      </w:pPr>
      <w:r>
        <w:t xml:space="preserve">The absence of a harmonized framework generates:</w:t>
      </w:r>
    </w:p>
    <w:p>
      <w:pPr>
        <w:pStyle w:val="Compact"/>
        <w:numPr>
          <w:ilvl w:val="0"/>
          <w:numId w:val="1016"/>
        </w:numPr>
      </w:pPr>
      <w:r>
        <w:rPr>
          <w:b/>
          <w:bCs/>
        </w:rPr>
        <w:t xml:space="preserve">Untraced operators</w:t>
      </w:r>
      <w:r>
        <w:t xml:space="preserve">: traders operating in gray areas without registration or oversight.</w:t>
      </w:r>
    </w:p>
    <w:p>
      <w:pPr>
        <w:pStyle w:val="Compact"/>
        <w:numPr>
          <w:ilvl w:val="0"/>
          <w:numId w:val="1016"/>
        </w:numPr>
      </w:pPr>
      <w:r>
        <w:t xml:space="preserve">Products without quality control**: absence of sanitary standards, pesticides, heavy metals or microbiological contaminants.</w:t>
      </w:r>
    </w:p>
    <w:p>
      <w:pPr>
        <w:pStyle w:val="Compact"/>
        <w:numPr>
          <w:ilvl w:val="0"/>
          <w:numId w:val="1016"/>
        </w:numPr>
      </w:pPr>
      <w:r>
        <w:t xml:space="preserve">Legal uncertainty**: farmers and companies exposed to arbitrary interpretations by national authorities.</w:t>
      </w:r>
    </w:p>
    <w:p>
      <w:pPr>
        <w:pStyle w:val="Compact"/>
        <w:numPr>
          <w:ilvl w:val="0"/>
          <w:numId w:val="1016"/>
        </w:numPr>
      </w:pPr>
      <w:r>
        <w:t xml:space="preserve">Fragmented market**: barriers to mutual recognition that contradict the principles of the internal market.</w:t>
      </w:r>
    </w:p>
    <w:p>
      <w:pPr>
        <w:pStyle w:val="FirstParagraph"/>
      </w:pPr>
      <w:r>
        <w:t xml:space="preserve">**The urgency is not to prohibit what is already safe, but to regulate what is already legal. A harmonized threshold at 1% THC, combined with the traceability and quality controls that the CAP and the CMO make it possible to implement, would turn a</w:t>
      </w:r>
      <w:r>
        <w:t xml:space="preserve"> </w:t>
      </w:r>
      <w:r>
        <w:rPr>
          <w:i/>
          <w:iCs/>
        </w:rPr>
        <w:t xml:space="preserve">de facto</w:t>
      </w:r>
      <w:r>
        <w:t xml:space="preserve"> </w:t>
      </w:r>
      <w:r>
        <w:t xml:space="preserve">uncontrolled market into a</w:t>
      </w:r>
      <w:r>
        <w:t xml:space="preserve"> </w:t>
      </w:r>
      <w:r>
        <w:rPr>
          <w:i/>
          <w:iCs/>
        </w:rPr>
        <w:t xml:space="preserve">de jure</w:t>
      </w:r>
      <w:r>
        <w:t xml:space="preserve"> </w:t>
      </w:r>
      <w:r>
        <w:t xml:space="preserve">traceable, controlled and safe sector.</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3. CONCLUSION AND PROPOSED AMENDMENT</w:t>
            </w:r>
          </w:p>
        </w:tc>
      </w:tr>
      <w:tr>
        <w:tc>
          <w:tcPr/>
          <w:p>
            <w:pPr>
              <w:pStyle w:val="Compact"/>
            </w:pPr>
            <w:r>
              <w:t xml:space="preserve">## 3.1 Proposal</w:t>
            </w:r>
          </w:p>
        </w:tc>
      </w:tr>
      <w:tr>
        <w:tc>
          <w:tcPr/>
          <w:p>
            <w:pPr>
              <w:pStyle w:val="Compact"/>
            </w:pPr>
            <w:r>
              <w:t xml:space="preserve">Cannabis Hub proposes to</w:t>
            </w:r>
            <w:r>
              <w:t xml:space="preserve"> </w:t>
            </w:r>
            <w:r>
              <w:rPr>
                <w:b/>
                <w:bCs/>
              </w:rPr>
              <w:t xml:space="preserve">replace the 0.3% threshold with 1.0% THC</w:t>
            </w:r>
            <w:r>
              <w:t xml:space="preserve"> </w:t>
            </w:r>
            <w:r>
              <w:t xml:space="preserve">in all CAP and CMO provisions where this criterion operates as a definition of</w:t>
            </w:r>
            <w:r>
              <w:t xml:space="preserve"> </w:t>
            </w:r>
            <w:r>
              <w:rPr>
                <w:b/>
                <w:bCs/>
              </w:rPr>
              <w:t xml:space="preserve">industrial hemp</w:t>
            </w:r>
            <w:r>
              <w:t xml:space="preserve">, maintaining the existing control architecture and adding a</w:t>
            </w:r>
            <w:r>
              <w:t xml:space="preserve"> </w:t>
            </w:r>
            <w:r>
              <w:rPr>
                <w:b/>
                <w:bCs/>
              </w:rPr>
              <w:t xml:space="preserve">minimum technical clause</w:t>
            </w:r>
            <w:r>
              <w:t xml:space="preserve"> </w:t>
            </w:r>
            <w:r>
              <w:t xml:space="preserve">that closes the interpretative ambiguity.</w:t>
            </w:r>
          </w:p>
        </w:tc>
      </w:tr>
      <w:tr>
        <w:tc>
          <w:tcPr/>
          <w:p>
            <w:pPr>
              <w:pStyle w:val="Compact"/>
            </w:pPr>
            <w:r>
              <w:t xml:space="preserve">This reform:</w:t>
            </w:r>
            <w:r>
              <w:t xml:space="preserve"> </w:t>
            </w:r>
            <w:r>
              <w:t xml:space="preserve">-</w:t>
            </w:r>
            <w:r>
              <w:t xml:space="preserve"> </w:t>
            </w:r>
            <w:r>
              <w:rPr>
                <w:b/>
                <w:bCs/>
              </w:rPr>
              <w:t xml:space="preserve">Resolves</w:t>
            </w:r>
            <w:r>
              <w:t xml:space="preserve"> </w:t>
            </w:r>
            <w:r>
              <w:t xml:space="preserve">the fragmentation of the internal market and documented legal uncertainty.</w:t>
            </w:r>
            <w:r>
              <w:t xml:space="preserve"> </w:t>
            </w:r>
            <w:r>
              <w:t xml:space="preserve">- Protects** the farmer against losses due to agronomic and climatic variability (</w:t>
            </w:r>
            <w:r>
              <w:t xml:space="preserve">“hot crops”</w:t>
            </w:r>
            <w:r>
              <w:t xml:space="preserve">).</w:t>
            </w:r>
            <w:r>
              <w:t xml:space="preserve"> </w:t>
            </w:r>
            <w:r>
              <w:t xml:space="preserve">- Aligns** the EU with the international bloc of 1% (18 verified jurisdictions) and strengthens its competitiveness.</w:t>
            </w:r>
            <w:r>
              <w:t xml:space="preserve"> </w:t>
            </w:r>
            <w:r>
              <w:t xml:space="preserve">- Maintains** official control through the EU harmonized method (Delegated Reg. 2017/1155).</w:t>
            </w:r>
          </w:p>
        </w:tc>
      </w:tr>
    </w:tbl>
    <w:bookmarkEnd w:id="52"/>
    <w:bookmarkEnd w:id="53"/>
    <w:bookmarkStart w:id="56" w:name="nuclear-amendments-0.3-â-1.0."/>
    <w:p>
      <w:pPr>
        <w:pStyle w:val="Heading2"/>
      </w:pPr>
      <w:r>
        <w:t xml:space="preserve">3.2 Nuclear amendments: 0.3% â 1.0%.</w:t>
      </w:r>
    </w:p>
    <w:bookmarkStart w:id="54" w:name="pac---com2025-560"/>
    <w:p>
      <w:pPr>
        <w:pStyle w:val="Heading3"/>
      </w:pPr>
      <w:r>
        <w:t xml:space="preserve">PAC - COM(2025) 560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Commission proposal</w:t>
            </w:r>
          </w:p>
        </w:tc>
        <w:tc>
          <w:tcPr/>
          <w:p>
            <w:pPr>
              <w:pStyle w:val="Compact"/>
            </w:pPr>
            <w:r>
              <w:t xml:space="preserve">Proposed amendment</w:t>
            </w:r>
          </w:p>
        </w:tc>
      </w:tr>
      <w:tr>
        <w:tc>
          <w:tcPr/>
          <w:p>
            <w:pPr>
              <w:pStyle w:val="Compact"/>
            </w:pPr>
            <w:r>
              <w:t xml:space="preserve">Article 5** - Types of aid</w:t>
            </w:r>
            <w:r>
              <w:t xml:space="preserve"> </w:t>
            </w:r>
            <w:r>
              <w:rPr>
                <w:i/>
                <w:iCs/>
              </w:rPr>
              <w:t xml:space="preserve">(…)</w:t>
            </w:r>
            <w:r>
              <w:t xml:space="preserve"> </w:t>
            </w:r>
            <w:r>
              <w:t xml:space="preserve">The production of varieties of hemp with a tetrahydrocannabinol (THC) content exceeding</w:t>
            </w:r>
            <w:r>
              <w:t xml:space="preserve"> </w:t>
            </w:r>
            <w:r>
              <w:rPr>
                <w:b/>
                <w:bCs/>
              </w:rPr>
              <w:t xml:space="preserve">0.3%</w:t>
            </w:r>
            <w:r>
              <w:t xml:space="preserve"> </w:t>
            </w:r>
            <w:r>
              <w:t xml:space="preserve">shall not be eligible for aid under this Regulation.</w:t>
            </w:r>
          </w:p>
        </w:tc>
        <w:tc>
          <w:tcPr/>
          <w:p>
            <w:pPr>
              <w:pStyle w:val="Compact"/>
            </w:pPr>
            <w:r>
              <w:t xml:space="preserve">Article 5** - Types of aid</w:t>
            </w:r>
            <w:r>
              <w:t xml:space="preserve"> </w:t>
            </w:r>
            <w:r>
              <w:rPr>
                <w:i/>
                <w:iCs/>
              </w:rPr>
              <w:t xml:space="preserve">(…)</w:t>
            </w:r>
            <w:r>
              <w:t xml:space="preserve"> </w:t>
            </w:r>
            <w:r>
              <w:t xml:space="preserve">The production of hemp varieties with a tetrahydrocannabinol (THC) content exceeding</w:t>
            </w:r>
            <w:r>
              <w:t xml:space="preserve"> </w:t>
            </w:r>
            <w:r>
              <w:rPr>
                <w:b/>
                <w:bCs/>
              </w:rPr>
              <w:t xml:space="preserve">1.0%</w:t>
            </w:r>
            <w:r>
              <w:t xml:space="preserve"> </w:t>
            </w:r>
            <w:r>
              <w:t xml:space="preserve">shall not be eligible for aid under this Regulation.</w:t>
            </w:r>
          </w:p>
        </w:tc>
      </w:tr>
    </w:tbl>
    <w:bookmarkEnd w:id="54"/>
    <w:bookmarkStart w:id="55" w:name="X94969fdfce527b586ec8095535ac68a241847cd"/>
    <w:p>
      <w:pPr>
        <w:pStyle w:val="Heading3"/>
      </w:pPr>
      <w:r>
        <w:t xml:space="preserve">CMO - COM(2025) 553 (amends Reg. (EU) 1308/2013)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Commission proposal</w:t>
            </w:r>
          </w:p>
        </w:tc>
        <w:tc>
          <w:tcPr/>
          <w:p>
            <w:pPr>
              <w:pStyle w:val="Compact"/>
            </w:pPr>
            <w:r>
              <w:t xml:space="preserve">Proposed amendment</w:t>
            </w:r>
          </w:p>
        </w:tc>
      </w:tr>
      <w:tr>
        <w:tc>
          <w:tcPr/>
          <w:p>
            <w:pPr>
              <w:pStyle w:val="Compact"/>
            </w:pPr>
            <w:r>
              <w:t xml:space="preserve">Article 147b** - Production of hemp. The following products may be produced in the Union if they are derived from a variety of</w:t>
            </w:r>
            <w:r>
              <w:t xml:space="preserve"> </w:t>
            </w:r>
            <w:r>
              <w:rPr>
                <w:i/>
                <w:iCs/>
              </w:rPr>
              <w:t xml:space="preserve">Cannabis Sativa</w:t>
            </w:r>
            <w:r>
              <w:t xml:space="preserve"> </w:t>
            </w:r>
            <w:r>
              <w:t xml:space="preserve">L. registered in the common catalog whose maximum Î9-tetrahydrocannabinol content does not exceed</w:t>
            </w:r>
            <w:r>
              <w:t xml:space="preserve"> </w:t>
            </w:r>
            <w:r>
              <w:rPr>
                <w:b/>
                <w:bCs/>
              </w:rPr>
              <w:t xml:space="preserve">0.3%</w:t>
            </w:r>
            <w:r>
              <w:t xml:space="preserve"> </w:t>
            </w:r>
            <w:r>
              <w:t xml:space="preserve">and meet the following conditions:</w:t>
            </w:r>
            <w:r>
              <w:t xml:space="preserve"> </w:t>
            </w:r>
            <w:r>
              <w:rPr>
                <w:i/>
                <w:iCs/>
              </w:rPr>
              <w:t xml:space="preserve">(…)</w:t>
            </w:r>
          </w:p>
        </w:tc>
        <w:tc>
          <w:tcPr/>
          <w:p>
            <w:pPr>
              <w:pStyle w:val="Compact"/>
            </w:pPr>
            <w:r>
              <w:rPr>
                <w:b/>
                <w:bCs/>
              </w:rPr>
              <w:t xml:space="preserve">Article 147 ter</w:t>
            </w:r>
            <w:r>
              <w:t xml:space="preserve"> </w:t>
            </w:r>
            <w:r>
              <w:t xml:space="preserve">- Hemp production. 1. The following products may be produced in the Union if they are derived from a variety of</w:t>
            </w:r>
            <w:r>
              <w:t xml:space="preserve"> </w:t>
            </w:r>
            <w:r>
              <w:rPr>
                <w:i/>
                <w:iCs/>
              </w:rPr>
              <w:t xml:space="preserve">Cannabis Sativa</w:t>
            </w:r>
            <w:r>
              <w:t xml:space="preserve"> </w:t>
            </w:r>
            <w:r>
              <w:t xml:space="preserve">L. registered in the common catalog whose maximum Î9-tetrahydrocannabinol content does not exceed</w:t>
            </w:r>
            <w:r>
              <w:t xml:space="preserve"> </w:t>
            </w:r>
            <w:r>
              <w:rPr>
                <w:b/>
                <w:bCs/>
              </w:rPr>
              <w:t xml:space="preserve">1.0%</w:t>
            </w:r>
            <w:r>
              <w:t xml:space="preserve"> </w:t>
            </w:r>
            <w:r>
              <w:t xml:space="preserve">and meet the following conditions:</w:t>
            </w:r>
            <w:r>
              <w:t xml:space="preserve"> </w:t>
            </w:r>
            <w:r>
              <w:rPr>
                <w:i/>
                <w:iCs/>
              </w:rPr>
              <w:t xml:space="preserve">(…)</w:t>
            </w:r>
          </w:p>
        </w:tc>
      </w:tr>
      <w:tr>
        <w:tc>
          <w:tcPr/>
          <w:p>
            <w:pPr>
              <w:pStyle w:val="Compact"/>
            </w:pPr>
            <w:r>
              <w:t xml:space="preserve">Article 147c** - Marketing of hemp. 1. The following products may be placed on the market in the Union only if the following conditions are met:</w:t>
            </w:r>
            <w:r>
              <w:t xml:space="preserve"> </w:t>
            </w:r>
            <w:r>
              <w:rPr>
                <w:b/>
                <w:bCs/>
              </w:rPr>
              <w:t xml:space="preserve">(a)</w:t>
            </w:r>
            <w:r>
              <w:t xml:space="preserve"> </w:t>
            </w:r>
            <w:r>
              <w:t xml:space="preserve">raw hemp falling within code</w:t>
            </w:r>
            <w:r>
              <w:t xml:space="preserve"> </w:t>
            </w:r>
            <w:r>
              <w:rPr>
                <w:b/>
                <w:bCs/>
              </w:rPr>
              <w:t xml:space="preserve">NC 5302</w:t>
            </w:r>
            <w:r>
              <w:t xml:space="preserve"> </w:t>
            </w:r>
            <w:r>
              <w:rPr>
                <w:i/>
                <w:iCs/>
              </w:rPr>
              <w:t xml:space="preserve">(…)</w:t>
            </w:r>
            <w:r>
              <w:t xml:space="preserve"> </w:t>
            </w:r>
            <w:r>
              <w:t xml:space="preserve">of which the maximum Î9-THC content does not exceed</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hemp seed for sowing falling within code</w:t>
            </w:r>
            <w:r>
              <w:t xml:space="preserve"> </w:t>
            </w:r>
            <w:r>
              <w:rPr>
                <w:b/>
                <w:bCs/>
              </w:rPr>
              <w:t xml:space="preserve">NC ex 1207 99 20</w:t>
            </w:r>
            <w:r>
              <w:t xml:space="preserve"> </w:t>
            </w:r>
            <w:r>
              <w:rPr>
                <w:i/>
                <w:iCs/>
              </w:rPr>
              <w:t xml:space="preserve">(….)</w:t>
            </w:r>
            <w:r>
              <w:t xml:space="preserve"> </w:t>
            </w:r>
            <w:r>
              <w:t xml:space="preserve">with a maximum Î9-THC content not exceeding</w:t>
            </w:r>
            <w:r>
              <w:t xml:space="preserve"> </w:t>
            </w:r>
            <w:r>
              <w:rPr>
                <w:b/>
                <w:bCs/>
              </w:rPr>
              <w:t xml:space="preserve">0.3%</w:t>
            </w:r>
            <w:r>
              <w:t xml:space="preserve"> </w:t>
            </w:r>
            <w:r>
              <w:rPr>
                <w:i/>
                <w:iCs/>
              </w:rPr>
              <w:t xml:space="preserve">(…)</w:t>
            </w:r>
            <w:r>
              <w:t xml:space="preserve">;</w:t>
            </w:r>
            <w:r>
              <w:t xml:space="preserve"> </w:t>
            </w:r>
            <w:r>
              <w:rPr>
                <w:b/>
                <w:bCs/>
              </w:rPr>
              <w:t xml:space="preserve">(c)</w:t>
            </w:r>
            <w:r>
              <w:t xml:space="preserve"> </w:t>
            </w:r>
            <w:r>
              <w:t xml:space="preserve">other parts of hemp plant of code</w:t>
            </w:r>
            <w:r>
              <w:t xml:space="preserve"> </w:t>
            </w:r>
            <w:r>
              <w:rPr>
                <w:b/>
                <w:bCs/>
              </w:rPr>
              <w:t xml:space="preserve">NC 1211 90 86</w:t>
            </w:r>
            <w:r>
              <w:t xml:space="preserve"> </w:t>
            </w:r>
            <w:r>
              <w:rPr>
                <w:i/>
                <w:iCs/>
              </w:rPr>
              <w:t xml:space="preserve">(…)</w:t>
            </w:r>
            <w:r>
              <w:t xml:space="preserve"> </w:t>
            </w:r>
            <w:r>
              <w:t xml:space="preserve">with a maximum Î9-THC content not exceeding</w:t>
            </w:r>
            <w:r>
              <w:t xml:space="preserve"> </w:t>
            </w:r>
            <w:r>
              <w:rPr>
                <w:b/>
                <w:bCs/>
              </w:rPr>
              <w:t xml:space="preserve">0.3%</w:t>
            </w:r>
            <w:r>
              <w:t xml:space="preserve"> </w:t>
            </w:r>
            <w:r>
              <w:rPr>
                <w:i/>
                <w:iCs/>
              </w:rPr>
              <w:t xml:space="preserve">(…)</w:t>
            </w:r>
            <w:r>
              <w:t xml:space="preserve">.</w:t>
            </w:r>
          </w:p>
        </w:tc>
        <w:tc>
          <w:tcPr/>
          <w:p>
            <w:pPr>
              <w:pStyle w:val="Compact"/>
            </w:pPr>
            <w:r>
              <w:t xml:space="preserve">Article 147c** - Marketing of hemp. 1. The following products may be placed on the market in the Union only if the following conditions are met:</w:t>
            </w:r>
            <w:r>
              <w:t xml:space="preserve"> </w:t>
            </w:r>
            <w:r>
              <w:rPr>
                <w:b/>
                <w:bCs/>
              </w:rPr>
              <w:t xml:space="preserve">(a)</w:t>
            </w:r>
            <w:r>
              <w:t xml:space="preserve"> </w:t>
            </w:r>
            <w:r>
              <w:t xml:space="preserve">raw hemp falling within code</w:t>
            </w:r>
            <w:r>
              <w:t xml:space="preserve"> </w:t>
            </w:r>
            <w:r>
              <w:rPr>
                <w:b/>
                <w:bCs/>
              </w:rPr>
              <w:t xml:space="preserve">NC 5302</w:t>
            </w:r>
            <w:r>
              <w:t xml:space="preserve"> </w:t>
            </w:r>
            <w:r>
              <w:rPr>
                <w:i/>
                <w:iCs/>
              </w:rPr>
              <w:t xml:space="preserve">(…)</w:t>
            </w:r>
            <w:r>
              <w:t xml:space="preserve"> </w:t>
            </w:r>
            <w:r>
              <w:t xml:space="preserve">the maximum Î9-THC content of which does not exceed</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hemp seed for sowing falling within code</w:t>
            </w:r>
            <w:r>
              <w:t xml:space="preserve"> </w:t>
            </w:r>
            <w:r>
              <w:rPr>
                <w:b/>
                <w:bCs/>
              </w:rPr>
              <w:t xml:space="preserve">NC ex 1207 99 20</w:t>
            </w:r>
            <w:r>
              <w:t xml:space="preserve"> </w:t>
            </w:r>
            <w:r>
              <w:rPr>
                <w:i/>
                <w:iCs/>
              </w:rPr>
              <w:t xml:space="preserve">(….)</w:t>
            </w:r>
            <w:r>
              <w:t xml:space="preserve"> </w:t>
            </w:r>
            <w:r>
              <w:t xml:space="preserve">with a maximum Î9-THC content not exceeding</w:t>
            </w:r>
            <w:r>
              <w:t xml:space="preserve"> </w:t>
            </w:r>
            <w:r>
              <w:rPr>
                <w:b/>
                <w:bCs/>
              </w:rPr>
              <w:t xml:space="preserve">1.0%</w:t>
            </w:r>
            <w:r>
              <w:t xml:space="preserve"> </w:t>
            </w:r>
            <w:r>
              <w:rPr>
                <w:i/>
                <w:iCs/>
              </w:rPr>
              <w:t xml:space="preserve">(…)</w:t>
            </w:r>
            <w:r>
              <w:t xml:space="preserve">;</w:t>
            </w:r>
            <w:r>
              <w:t xml:space="preserve"> </w:t>
            </w:r>
            <w:r>
              <w:rPr>
                <w:b/>
                <w:bCs/>
              </w:rPr>
              <w:t xml:space="preserve">(c)</w:t>
            </w:r>
            <w:r>
              <w:t xml:space="preserve"> </w:t>
            </w:r>
            <w:r>
              <w:t xml:space="preserve">other parts of hemp plant of code</w:t>
            </w:r>
            <w:r>
              <w:t xml:space="preserve"> </w:t>
            </w:r>
            <w:r>
              <w:rPr>
                <w:b/>
                <w:bCs/>
              </w:rPr>
              <w:t xml:space="preserve">NC 1211 90 86</w:t>
            </w:r>
            <w:r>
              <w:t xml:space="preserve"> </w:t>
            </w:r>
            <w:r>
              <w:rPr>
                <w:i/>
                <w:iCs/>
              </w:rPr>
              <w:t xml:space="preserve">(…)</w:t>
            </w:r>
            <w:r>
              <w:t xml:space="preserve"> </w:t>
            </w:r>
            <w:r>
              <w:t xml:space="preserve">with a maximum Î9-THC content not exceeding</w:t>
            </w:r>
            <w:r>
              <w:t xml:space="preserve"> </w:t>
            </w:r>
            <w:r>
              <w:rPr>
                <w:b/>
                <w:bCs/>
              </w:rPr>
              <w:t xml:space="preserve">1.0%</w:t>
            </w:r>
            <w:r>
              <w:t xml:space="preserve"> </w:t>
            </w:r>
            <w:r>
              <w:rPr>
                <w:i/>
                <w:iCs/>
              </w:rPr>
              <w:t xml:space="preserve">(…)</w:t>
            </w:r>
            <w:r>
              <w:t xml:space="preserve">.</w:t>
            </w:r>
          </w:p>
        </w:tc>
      </w:tr>
      <w:tr>
        <w:tc>
          <w:tcPr/>
          <w:p>
            <w:pPr>
              <w:pStyle w:val="Compact"/>
            </w:pPr>
            <w:r>
              <w:t xml:space="preserve">Article 189** - Imports of hemp. The following products may be imported into the Union only if the following conditions are met:</w:t>
            </w:r>
            <w:r>
              <w:t xml:space="preserve"> </w:t>
            </w:r>
            <w:r>
              <w:rPr>
                <w:b/>
                <w:bCs/>
              </w:rPr>
              <w:t xml:space="preserve">(a)</w:t>
            </w:r>
            <w:r>
              <w:t xml:space="preserve"> </w:t>
            </w:r>
            <w:r>
              <w:t xml:space="preserve">raw hemp falling within code</w:t>
            </w:r>
            <w:r>
              <w:t xml:space="preserve"> </w:t>
            </w:r>
            <w:r>
              <w:rPr>
                <w:b/>
                <w:bCs/>
              </w:rPr>
              <w:t xml:space="preserve">NC 5302</w:t>
            </w:r>
            <w:r>
              <w:t xml:space="preserve"> </w:t>
            </w:r>
            <w:r>
              <w:rPr>
                <w:i/>
                <w:iCs/>
              </w:rPr>
              <w:t xml:space="preserve">(…)</w:t>
            </w:r>
            <w:r>
              <w:t xml:space="preserve"> </w:t>
            </w:r>
            <w:r>
              <w:t xml:space="preserve">the maximum Î9-THC content of which does not exceed</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hemp seed for sowing falling within code</w:t>
            </w:r>
            <w:r>
              <w:t xml:space="preserve"> </w:t>
            </w:r>
            <w:r>
              <w:rPr>
                <w:b/>
                <w:bCs/>
              </w:rPr>
              <w:t xml:space="preserve">NC ex 1207 99 20</w:t>
            </w:r>
            <w:r>
              <w:t xml:space="preserve"> </w:t>
            </w:r>
            <w:r>
              <w:rPr>
                <w:i/>
                <w:iCs/>
              </w:rPr>
              <w:t xml:space="preserve">(….)</w:t>
            </w:r>
            <w:r>
              <w:t xml:space="preserve"> </w:t>
            </w:r>
            <w:r>
              <w:t xml:space="preserve">with a maximum Î9-THC content not exceeding</w:t>
            </w:r>
            <w:r>
              <w:t xml:space="preserve"> </w:t>
            </w:r>
            <w:r>
              <w:rPr>
                <w:b/>
                <w:bCs/>
              </w:rPr>
              <w:t xml:space="preserve">0.3%</w:t>
            </w:r>
            <w:r>
              <w:t xml:space="preserve"> </w:t>
            </w:r>
            <w:r>
              <w:rPr>
                <w:i/>
                <w:iCs/>
              </w:rPr>
              <w:t xml:space="preserve">(…)</w:t>
            </w:r>
            <w:r>
              <w:t xml:space="preserve">;</w:t>
            </w:r>
            <w:r>
              <w:t xml:space="preserve"> </w:t>
            </w:r>
            <w:r>
              <w:rPr>
                <w:b/>
                <w:bCs/>
              </w:rPr>
              <w:t xml:space="preserve">(d)</w:t>
            </w:r>
            <w:r>
              <w:t xml:space="preserve"> </w:t>
            </w:r>
            <w:r>
              <w:t xml:space="preserve">other parts of hemp plant of code</w:t>
            </w:r>
            <w:r>
              <w:t xml:space="preserve"> </w:t>
            </w:r>
            <w:r>
              <w:rPr>
                <w:b/>
                <w:bCs/>
              </w:rPr>
              <w:t xml:space="preserve">NC 1211 90 86</w:t>
            </w:r>
            <w:r>
              <w:t xml:space="preserve"> </w:t>
            </w:r>
            <w:r>
              <w:rPr>
                <w:i/>
                <w:iCs/>
              </w:rPr>
              <w:t xml:space="preserve">(…)</w:t>
            </w:r>
            <w:r>
              <w:t xml:space="preserve"> </w:t>
            </w:r>
            <w:r>
              <w:t xml:space="preserve">with a maximum Î9-THC content not exceeding</w:t>
            </w:r>
            <w:r>
              <w:t xml:space="preserve"> </w:t>
            </w:r>
            <w:r>
              <w:rPr>
                <w:b/>
                <w:bCs/>
              </w:rPr>
              <w:t xml:space="preserve">0.3%</w:t>
            </w:r>
            <w:r>
              <w:t xml:space="preserve"> </w:t>
            </w:r>
            <w:r>
              <w:rPr>
                <w:i/>
                <w:iCs/>
              </w:rPr>
              <w:t xml:space="preserve">(…)</w:t>
            </w:r>
            <w:r>
              <w:t xml:space="preserve">.</w:t>
            </w:r>
          </w:p>
        </w:tc>
        <w:tc>
          <w:tcPr/>
          <w:p>
            <w:pPr>
              <w:pStyle w:val="Compact"/>
            </w:pPr>
            <w:r>
              <w:t xml:space="preserve">Article 189** - Imports of hemp. The following products may be imported into the Union only if the following conditions are met:</w:t>
            </w:r>
            <w:r>
              <w:t xml:space="preserve"> </w:t>
            </w:r>
            <w:r>
              <w:rPr>
                <w:b/>
                <w:bCs/>
              </w:rPr>
              <w:t xml:space="preserve">(a)</w:t>
            </w:r>
            <w:r>
              <w:t xml:space="preserve"> </w:t>
            </w:r>
            <w:r>
              <w:t xml:space="preserve">raw hemp falling within code</w:t>
            </w:r>
            <w:r>
              <w:t xml:space="preserve"> </w:t>
            </w:r>
            <w:r>
              <w:rPr>
                <w:b/>
                <w:bCs/>
              </w:rPr>
              <w:t xml:space="preserve">NC 5302</w:t>
            </w:r>
            <w:r>
              <w:t xml:space="preserve"> </w:t>
            </w:r>
            <w:r>
              <w:rPr>
                <w:i/>
                <w:iCs/>
              </w:rPr>
              <w:t xml:space="preserve">(…)</w:t>
            </w:r>
            <w:r>
              <w:t xml:space="preserve"> </w:t>
            </w:r>
            <w:r>
              <w:t xml:space="preserve">the maximum Î9-THC content of which does not exceed</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hemp seed for sowing falling within code</w:t>
            </w:r>
            <w:r>
              <w:t xml:space="preserve"> </w:t>
            </w:r>
            <w:r>
              <w:rPr>
                <w:b/>
                <w:bCs/>
              </w:rPr>
              <w:t xml:space="preserve">NC ex 1207 99 20</w:t>
            </w:r>
            <w:r>
              <w:t xml:space="preserve"> </w:t>
            </w:r>
            <w:r>
              <w:rPr>
                <w:i/>
                <w:iCs/>
              </w:rPr>
              <w:t xml:space="preserve">(….)</w:t>
            </w:r>
            <w:r>
              <w:t xml:space="preserve"> </w:t>
            </w:r>
            <w:r>
              <w:t xml:space="preserve">with a maximum Î9-THC content not exceeding</w:t>
            </w:r>
            <w:r>
              <w:t xml:space="preserve"> </w:t>
            </w:r>
            <w:r>
              <w:rPr>
                <w:b/>
                <w:bCs/>
              </w:rPr>
              <w:t xml:space="preserve">1.0%</w:t>
            </w:r>
            <w:r>
              <w:t xml:space="preserve"> </w:t>
            </w:r>
            <w:r>
              <w:rPr>
                <w:i/>
                <w:iCs/>
              </w:rPr>
              <w:t xml:space="preserve">(…)</w:t>
            </w:r>
            <w:r>
              <w:t xml:space="preserve">;</w:t>
            </w:r>
            <w:r>
              <w:t xml:space="preserve"> </w:t>
            </w:r>
            <w:r>
              <w:rPr>
                <w:b/>
                <w:bCs/>
              </w:rPr>
              <w:t xml:space="preserve">(d)</w:t>
            </w:r>
            <w:r>
              <w:t xml:space="preserve"> </w:t>
            </w:r>
            <w:r>
              <w:t xml:space="preserve">other parts of hemp plant of CN code</w:t>
            </w:r>
            <w:r>
              <w:t xml:space="preserve"> </w:t>
            </w:r>
            <w:r>
              <w:rPr>
                <w:b/>
                <w:bCs/>
              </w:rPr>
              <w:t xml:space="preserve">NC 1211 90 86</w:t>
            </w:r>
            <w:r>
              <w:t xml:space="preserve"> </w:t>
            </w:r>
            <w:r>
              <w:rPr>
                <w:i/>
                <w:iCs/>
              </w:rPr>
              <w:t xml:space="preserve">(…)</w:t>
            </w:r>
            <w:r>
              <w:t xml:space="preserve"> </w:t>
            </w:r>
            <w:r>
              <w:t xml:space="preserve">with a maximum Î9-THC content not exceeding</w:t>
            </w:r>
            <w:r>
              <w:t xml:space="preserve"> </w:t>
            </w:r>
            <w:r>
              <w:rPr>
                <w:b/>
                <w:bCs/>
              </w:rPr>
              <w:t xml:space="preserve">1.0%</w:t>
            </w:r>
            <w:r>
              <w:t xml:space="preserve"> </w:t>
            </w:r>
            <w:r>
              <w:rPr>
                <w:i/>
                <w:iCs/>
              </w:rPr>
              <w:t xml:space="preserve">(…)</w:t>
            </w:r>
            <w:r>
              <w:t xml:space="preserve">.</w:t>
            </w:r>
          </w:p>
        </w:tc>
      </w:tr>
    </w:tbl>
    <w:p>
      <w:pPr>
        <w:pStyle w:val="BlockText"/>
      </w:pPr>
      <w:r>
        <w:t xml:space="preserve">Note on CN 1211 90 86</w:t>
      </w:r>
      <w:r>
        <w:rPr>
          <w:b/>
          <w:bCs/>
        </w:rPr>
        <w:t xml:space="preserve">: This code (</w:t>
      </w:r>
      <w:r>
        <w:rPr>
          <w:b/>
          <w:bCs/>
        </w:rPr>
        <w:t xml:space="preserve">“other parts of the hemp plant”</w:t>
      </w:r>
      <w:r>
        <w:rPr>
          <w:b/>
          <w:bCs/>
        </w:rPr>
        <w:t xml:space="preserve">) is the key novelty of COM(2025) 553, including for the first time</w:t>
      </w:r>
      <w:r>
        <w:rPr>
          <w:b/>
          <w:bCs/>
        </w:rPr>
        <w:t xml:space="preserve"> </w:t>
      </w:r>
      <w:r>
        <w:t xml:space="preserve">flowers, tops and biomass** in the CMO regulatory framework. It is precisely this category that requires a robust threshold (1%) to enable the value chain of</w:t>
      </w:r>
      <w:r>
        <w:t xml:space="preserve"> </w:t>
      </w:r>
      <w:r>
        <w:rPr>
          <w:b/>
          <w:bCs/>
        </w:rPr>
        <w:t xml:space="preserve">CBD extracts</w:t>
      </w:r>
      <w:r>
        <w:t xml:space="preserve"> </w:t>
      </w:r>
      <w:r>
        <w:t xml:space="preserve">and derived products.</w:t>
      </w:r>
    </w:p>
    <w:p>
      <w:r>
        <w:pict>
          <v:rect style="width:0;height:1.5pt" o:hralign="center" o:hrstd="t" o:hr="t"/>
        </w:pict>
      </w:r>
    </w:p>
    <w:bookmarkEnd w:id="55"/>
    <w:bookmarkEnd w:id="56"/>
    <w:bookmarkStart w:id="57" w:name="recommended-minimum-technical-clause"/>
    <w:p>
      <w:pPr>
        <w:pStyle w:val="Heading2"/>
      </w:pPr>
      <w:r>
        <w:t xml:space="preserve">3.3 Recommended minimum technical clause</w:t>
      </w:r>
    </w:p>
    <w:p>
      <w:pPr>
        <w:pStyle w:val="FirstParagraph"/>
      </w:pPr>
      <w:r>
        <w:t xml:space="preserve">To avoid litigation due to divergent interpretations, it is recommended that a technical reference be added to both instruments:</w:t>
      </w:r>
    </w:p>
    <w:p>
      <w:pPr>
        <w:pStyle w:val="Compact"/>
        <w:numPr>
          <w:ilvl w:val="0"/>
          <w:numId w:val="1017"/>
        </w:numPr>
      </w:pPr>
      <w:r>
        <w:rPr>
          <w:i/>
          <w:iCs/>
        </w:rPr>
        <w:t xml:space="preserve">“For the purposes of this Regulation, the tetrahydrocannabinol (Î9-THC) content shall be determined</w:t>
      </w:r>
      <w:r>
        <w:rPr>
          <w:i/>
          <w:iCs/>
        </w:rPr>
        <w:t xml:space="preserve"> </w:t>
      </w:r>
      <w:r>
        <w:rPr>
          <w:b/>
          <w:bCs/>
          <w:i/>
          <w:iCs/>
        </w:rPr>
        <w:t xml:space="preserve">on a dry matter basis (constant weight)</w:t>
      </w:r>
      <w:r>
        <w:rPr>
          <w:i/>
          <w:iCs/>
        </w:rPr>
        <w:t xml:space="preserve"> </w:t>
      </w:r>
      <w:r>
        <w:rPr>
          <w:i/>
          <w:iCs/>
        </w:rPr>
        <w:t xml:space="preserve">and in accordance with the</w:t>
      </w:r>
      <w:r>
        <w:rPr>
          <w:i/>
          <w:iCs/>
        </w:rPr>
        <w:t xml:space="preserve"> </w:t>
      </w:r>
      <w:r>
        <w:rPr>
          <w:b/>
          <w:bCs/>
          <w:i/>
          <w:iCs/>
        </w:rPr>
        <w:t xml:space="preserve">Union method</w:t>
      </w:r>
      <w:r>
        <w:rPr>
          <w:i/>
          <w:iCs/>
        </w:rPr>
        <w:t xml:space="preserve"> </w:t>
      </w:r>
      <w:r>
        <w:rPr>
          <w:i/>
          <w:iCs/>
        </w:rPr>
        <w:t xml:space="preserve">set out in Annex III to Delegated Regulation (EU) 2017/1155, or in the act replacing it.”</w:t>
      </w:r>
      <w:r>
        <w:t xml:space="preserve"> </w:t>
      </w:r>
      <w:r>
        <w:t xml:space="preserve">*</w:t>
      </w:r>
      <w:r>
        <w:t xml:space="preserve"> </w:t>
      </w:r>
      <w:r>
        <w:rPr>
          <w:i/>
          <w:iCs/>
        </w:rPr>
        <w:t xml:space="preserve">“</w:t>
      </w:r>
      <w:r>
        <w:t xml:space="preserve">”.</w:t>
      </w:r>
    </w:p>
    <w:p>
      <w:r>
        <w:pict>
          <v:rect style="width:0;height:1.5pt" o:hralign="center" o:hrstd="t" o:hr="t"/>
        </w:pict>
      </w:r>
    </w:p>
    <w:bookmarkEnd w:id="57"/>
    <w:bookmarkStart w:id="58" w:name="conclusions"/>
    <w:p>
      <w:pPr>
        <w:pStyle w:val="Heading2"/>
      </w:pPr>
      <w:r>
        <w:t xml:space="preserve">3.4 Conclusions</w:t>
      </w:r>
    </w:p>
    <w:p>
      <w:pPr>
        <w:pStyle w:val="FirstParagraph"/>
      </w:pPr>
      <w:r>
        <w:t xml:space="preserve">Raising the threshold to</w:t>
      </w:r>
      <w:r>
        <w:t xml:space="preserve"> </w:t>
      </w:r>
      <w:r>
        <w:rPr>
          <w:b/>
          <w:bCs/>
        </w:rPr>
        <w:t xml:space="preserve">1.0% THC</w:t>
      </w:r>
      <w:r>
        <w:t xml:space="preserve"> </w:t>
      </w:r>
      <w:r>
        <w:t xml:space="preserve">is not a maximalist request: it is the coherent closure of the reasoning that the European Parliament itself and the industry have initiated. The same arguments that justify 0.5% - proportionality, agronomic reality, competitiveness, internal market - more solidly justify 1%, further supported by:</w:t>
      </w:r>
    </w:p>
    <w:p>
      <w:pPr>
        <w:pStyle w:val="Compact"/>
        <w:numPr>
          <w:ilvl w:val="0"/>
          <w:numId w:val="1018"/>
        </w:numPr>
      </w:pPr>
      <w:r>
        <w:rPr>
          <w:b/>
          <w:bCs/>
        </w:rPr>
        <w:t xml:space="preserve">Primary evidence</w:t>
      </w:r>
      <w:r>
        <w:t xml:space="preserve">: the originator of 0.3% (Dr. Ernest Small) states that practical abuse potential requires ~1% total THC.</w:t>
      </w:r>
    </w:p>
    <w:p>
      <w:pPr>
        <w:pStyle w:val="Compact"/>
        <w:numPr>
          <w:ilvl w:val="0"/>
          <w:numId w:val="1018"/>
        </w:numPr>
      </w:pPr>
      <w:r>
        <w:rPr>
          <w:b/>
          <w:bCs/>
        </w:rPr>
        <w:t xml:space="preserve">Consolidated international block</w:t>
      </w:r>
      <w:r>
        <w:t xml:space="preserve">: 18 jurisdictions operate with 1% with no control issues.</w:t>
      </w:r>
    </w:p>
    <w:p>
      <w:pPr>
        <w:pStyle w:val="Compact"/>
        <w:numPr>
          <w:ilvl w:val="0"/>
          <w:numId w:val="1018"/>
        </w:numPr>
      </w:pPr>
      <w:r>
        <w:t xml:space="preserve">Technical compatibility**: EU method works without modification with the new threshold.</w:t>
      </w:r>
    </w:p>
    <w:p>
      <w:pPr>
        <w:pStyle w:val="FirstParagraph"/>
      </w:pPr>
      <w:r>
        <w:t xml:space="preserve">The proposed reform will allow the hemp sector to fully contribute to EU objectives in bioeconomy, climate resilience and strategic autonomy, with a</w:t>
      </w:r>
      <w:r>
        <w:t xml:space="preserve"> </w:t>
      </w:r>
      <w:r>
        <w:rPr>
          <w:b/>
          <w:bCs/>
        </w:rPr>
        <w:t xml:space="preserve">harmonized, operable and defensible</w:t>
      </w:r>
      <w:r>
        <w:t xml:space="preserve"> </w:t>
      </w:r>
      <w:r>
        <w:t xml:space="preserve">regulatory framework.</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ANNEXES</w:t>
            </w:r>
          </w:p>
        </w:tc>
      </w:tr>
      <w:tr>
        <w:tc>
          <w:tcPr/>
          <w:p>
            <w:pPr>
              <w:pStyle w:val="Compact"/>
            </w:pPr>
            <w:r>
              <w:t xml:space="preserve">## ANNEX A: SCIENTIFIC EVIDENCE</w:t>
            </w:r>
          </w:p>
        </w:tc>
      </w:tr>
      <w:tr>
        <w:tc>
          <w:tcPr/>
          <w:p>
            <w:pPr>
              <w:pStyle w:val="Compact"/>
            </w:pPr>
            <w:r>
              <w:t xml:space="preserve">### A.1 Taxonomy and classification of cannabis</w:t>
            </w:r>
          </w:p>
        </w:tc>
      </w:tr>
      <w:tr>
        <w:tc>
          <w:tcPr/>
          <w:p>
            <w:pPr>
              <w:pStyle w:val="Compact"/>
            </w:pPr>
            <w:r>
              <w:t xml:space="preserve">| Reference | Key Findings |</w:t>
            </w:r>
            <w:r>
              <w:t xml:space="preserve"> </w:t>
            </w:r>
            <w:r>
              <w:t xml:space="preserve">|————|—————-|</w:t>
            </w:r>
            <w:r>
              <w:t xml:space="preserve"> </w:t>
            </w:r>
            <w:r>
              <w:t xml:space="preserve">|</w:t>
            </w:r>
            <w:r>
              <w:t xml:space="preserve"> </w:t>
            </w:r>
            <w:r>
              <w:rPr>
                <w:b/>
                <w:bCs/>
              </w:rPr>
              <w:t xml:space="preserve">Small &amp; Cronquist (1976)</w:t>
            </w:r>
            <w:r>
              <w:t xml:space="preserve">,</w:t>
            </w:r>
            <w:r>
              <w:t xml:space="preserve"> </w:t>
            </w:r>
            <w:r>
              <w:rPr>
                <w:i/>
                <w:iCs/>
              </w:rPr>
              <w:t xml:space="preserve">Taxon</w:t>
            </w:r>
            <w:r>
              <w:t xml:space="preserve"> </w:t>
            </w:r>
            <w:r>
              <w:t xml:space="preserve">25(4): 405-435 | Threshold 0.3% THC established</w:t>
            </w:r>
            <w:r>
              <w:t xml:space="preserve"> </w:t>
            </w:r>
            <w:r>
              <w:t xml:space="preserve">“arbitrarily”</w:t>
            </w:r>
            <w:r>
              <w:t xml:space="preserve"> </w:t>
            </w:r>
            <w:r>
              <w:t xml:space="preserve">for taxonomic discrimination in young leaves, not flowers. |</w:t>
            </w:r>
            <w:r>
              <w:t xml:space="preserve"> </w:t>
            </w:r>
            <w:r>
              <w:t xml:space="preserve">|</w:t>
            </w:r>
            <w:r>
              <w:t xml:space="preserve"> </w:t>
            </w:r>
            <w:r>
              <w:rPr>
                <w:b/>
                <w:bCs/>
              </w:rPr>
              <w:t xml:space="preserve">Small (2021)</w:t>
            </w:r>
            <w:r>
              <w:t xml:space="preserve">, Statement on Regulated Maximum THC Levels | Confirms that 0.3% was taxonomic criterion; recommends 1% as</w:t>
            </w:r>
            <w:r>
              <w:t xml:space="preserve"> </w:t>
            </w:r>
            <w:r>
              <w:t xml:space="preserve">“more suitable criterion”</w:t>
            </w:r>
            <w:r>
              <w:t xml:space="preserve"> </w:t>
            </w:r>
            <w:r>
              <w:t xml:space="preserve">for industrial regulation. |</w:t>
            </w:r>
            <w:r>
              <w:t xml:space="preserve"> </w:t>
            </w:r>
            <w:r>
              <w:t xml:space="preserve">|</w:t>
            </w:r>
            <w:r>
              <w:t xml:space="preserve"> </w:t>
            </w:r>
            <w:r>
              <w:rPr>
                <w:b/>
                <w:bCs/>
              </w:rPr>
              <w:t xml:space="preserve">Small, Beckstead &amp; Chan (1975)</w:t>
            </w:r>
            <w:r>
              <w:t xml:space="preserve">,</w:t>
            </w:r>
            <w:r>
              <w:t xml:space="preserve"> </w:t>
            </w:r>
            <w:r>
              <w:rPr>
                <w:i/>
                <w:iCs/>
              </w:rPr>
              <w:t xml:space="preserve">Evolution of Cannabinoid Phenotypes</w:t>
            </w:r>
            <w:r>
              <w:t xml:space="preserve"> </w:t>
            </w:r>
            <w:r>
              <w:t xml:space="preserve">| Documents natural variation of THC between plant parts and environmental conditions. |</w:t>
            </w:r>
          </w:p>
        </w:tc>
      </w:tr>
      <w:tr>
        <w:tc>
          <w:tcPr/>
          <w:p>
            <w:pPr>
              <w:pStyle w:val="Compact"/>
            </w:pPr>
            <w:r>
              <w:t xml:space="preserve">### A.2 Pharmacokinetics, Minimum Psychoactive Doses and Toxicological Thresholds</w:t>
            </w:r>
          </w:p>
        </w:tc>
      </w:tr>
      <w:tr>
        <w:tc>
          <w:tcPr/>
          <w:p>
            <w:pPr>
              <w:pStyle w:val="Compact"/>
            </w:pPr>
            <w:r>
              <w:t xml:space="preserve">| Reference | Key Findings |</w:t>
            </w:r>
            <w:r>
              <w:t xml:space="preserve"> </w:t>
            </w:r>
            <w:r>
              <w:t xml:space="preserve">|————|—————-|</w:t>
            </w:r>
            <w:r>
              <w:t xml:space="preserve"> </w:t>
            </w:r>
            <w:r>
              <w:t xml:space="preserve">|</w:t>
            </w:r>
            <w:r>
              <w:t xml:space="preserve"> </w:t>
            </w:r>
            <w:r>
              <w:rPr>
                <w:b/>
                <w:bCs/>
              </w:rPr>
              <w:t xml:space="preserve">EFSA CONTAM Panel (2015)</w:t>
            </w:r>
            <w:r>
              <w:t xml:space="preserve">, EFSA Journal 13(6):4141 | Oral LOAEL:</w:t>
            </w:r>
            <w:r>
              <w:t xml:space="preserve"> </w:t>
            </w:r>
            <w:r>
              <w:rPr>
                <w:b/>
                <w:bCs/>
              </w:rPr>
              <w:t xml:space="preserve">2.5 mg Î9-THC/day</w:t>
            </w:r>
            <w:r>
              <w:t xml:space="preserve">; ARfD: 1 Âµg/kg. Oral generates ~3Ã more 11-OH-THC than smoking. |</w:t>
            </w:r>
            <w:r>
              <w:t xml:space="preserve"> </w:t>
            </w:r>
            <w:r>
              <w:rPr>
                <w:b/>
                <w:bCs/>
              </w:rPr>
              <w:t xml:space="preserve">Perez-Reyes et al. (1972)</w:t>
            </w:r>
            <w:r>
              <w:t xml:space="preserve"> </w:t>
            </w:r>
            <w:r>
              <w:t xml:space="preserve">via EFSA |</w:t>
            </w:r>
            <w:r>
              <w:t xml:space="preserve"> </w:t>
            </w:r>
            <w:r>
              <w:t xml:space="preserve">“Desired marijuana high”</w:t>
            </w:r>
            <w:r>
              <w:t xml:space="preserve"> </w:t>
            </w:r>
            <w:r>
              <w:t xml:space="preserve">requires</w:t>
            </w:r>
            <w:r>
              <w:t xml:space="preserve"> </w:t>
            </w:r>
            <w:r>
              <w:rPr>
                <w:b/>
                <w:bCs/>
              </w:rPr>
              <w:t xml:space="preserve">3.1 Â± 0.9 mg Î9-THC</w:t>
            </w:r>
            <w:r>
              <w:t xml:space="preserve"> </w:t>
            </w:r>
            <w:r>
              <w:t xml:space="preserve">systemic (i.v.). |</w:t>
            </w:r>
            <w:r>
              <w:t xml:space="preserve"> </w:t>
            </w:r>
            <w:r>
              <w:rPr>
                <w:b/>
                <w:bCs/>
              </w:rPr>
              <w:t xml:space="preserve">Huestis et al. (1992, 2007)</w:t>
            </w:r>
            <w:r>
              <w:t xml:space="preserve">, PMID: 1338215, 17712819 | Smoked bioavailability:</w:t>
            </w:r>
            <w:r>
              <w:t xml:space="preserve"> </w:t>
            </w:r>
            <w:r>
              <w:rPr>
                <w:b/>
                <w:bCs/>
              </w:rPr>
              <w:t xml:space="preserve">2-56%</w:t>
            </w:r>
            <w:r>
              <w:t xml:space="preserve"> </w:t>
            </w:r>
            <w:r>
              <w:t xml:space="preserve">(mean ~30%). Gold standard inhaled THC pharmacokinetics. |</w:t>
            </w:r>
            <w:r>
              <w:t xml:space="preserve"> </w:t>
            </w:r>
            <w:r>
              <w:t xml:space="preserve">|</w:t>
            </w:r>
            <w:r>
              <w:t xml:space="preserve"> </w:t>
            </w:r>
            <w:r>
              <w:rPr>
                <w:b/>
                <w:bCs/>
              </w:rPr>
              <w:t xml:space="preserve">Sheehan et al. (2018)</w:t>
            </w:r>
            <w:r>
              <w:t xml:space="preserve">, PMID: 31304445 | Transfer mainstream smoke:</w:t>
            </w:r>
            <w:r>
              <w:t xml:space="preserve"> </w:t>
            </w:r>
            <w:r>
              <w:rPr>
                <w:b/>
                <w:bCs/>
              </w:rPr>
              <w:t xml:space="preserve">12.6% mean</w:t>
            </w:r>
            <w:r>
              <w:t xml:space="preserve"> </w:t>
            </w:r>
            <w:r>
              <w:t xml:space="preserve">(7.2-28%). ISO realistic conditions. |</w:t>
            </w:r>
            <w:r>
              <w:t xml:space="preserve"> </w:t>
            </w:r>
            <w:r>
              <w:t xml:space="preserve">|</w:t>
            </w:r>
            <w:r>
              <w:t xml:space="preserve"> </w:t>
            </w:r>
            <w:r>
              <w:rPr>
                <w:b/>
                <w:bCs/>
              </w:rPr>
              <w:t xml:space="preserve">Naef et al. (2004)</w:t>
            </w:r>
            <w:r>
              <w:t xml:space="preserve">, PMID: 15067694 | Pulmonary bioavailability:</w:t>
            </w:r>
            <w:r>
              <w:t xml:space="preserve"> </w:t>
            </w:r>
            <w:r>
              <w:rPr>
                <w:b/>
                <w:bCs/>
              </w:rPr>
              <w:t xml:space="preserve">28.7Â±8.2%</w:t>
            </w:r>
            <w:r>
              <w:t xml:space="preserve"> </w:t>
            </w:r>
            <w:r>
              <w:t xml:space="preserve">(vs i.v.). Robust methodology. |</w:t>
            </w:r>
            <w:r>
              <w:t xml:space="preserve"> </w:t>
            </w:r>
            <w:r>
              <w:t xml:space="preserve">|</w:t>
            </w:r>
            <w:r>
              <w:t xml:space="preserve"> </w:t>
            </w:r>
            <w:r>
              <w:rPr>
                <w:b/>
                <w:bCs/>
              </w:rPr>
              <w:t xml:space="preserve">Grotenhermen &amp; Karus (1998)</w:t>
            </w:r>
            <w:r>
              <w:t xml:space="preserve">,</w:t>
            </w:r>
            <w:r>
              <w:t xml:space="preserve"> </w:t>
            </w:r>
            <w:r>
              <w:rPr>
                <w:i/>
                <w:iCs/>
              </w:rPr>
              <w:t xml:space="preserve">J. Int. Hemp Assoc.</w:t>
            </w:r>
            <w:r>
              <w:t xml:space="preserve"> </w:t>
            </w:r>
            <w:r>
              <w:t xml:space="preserve">5(2) | Sensory discrimination threshold placebo/active:</w:t>
            </w:r>
            <w:r>
              <w:t xml:space="preserve"> </w:t>
            </w:r>
            <w:r>
              <w:rPr>
                <w:b/>
                <w:bCs/>
              </w:rPr>
              <w:t xml:space="preserve">0.8-1.0% THC</w:t>
            </w:r>
            <w:r>
              <w:t xml:space="preserve"> </w:t>
            </w:r>
            <w:r>
              <w:t xml:space="preserve">smoked. |</w:t>
            </w:r>
            <w:r>
              <w:t xml:space="preserve"> </w:t>
            </w:r>
            <w:r>
              <w:t xml:space="preserve">|</w:t>
            </w:r>
            <w:r>
              <w:t xml:space="preserve"> </w:t>
            </w:r>
            <w:r>
              <w:rPr>
                <w:b/>
                <w:bCs/>
              </w:rPr>
              <w:t xml:space="preserve">INTF Spain (2021)</w:t>
            </w:r>
            <w:r>
              <w:t xml:space="preserve">, Minimum psychoactive doses | 10 mg THC (oral) as minimum psychoactive dose in official forensic table. |</w:t>
            </w:r>
            <w:r>
              <w:t xml:space="preserve"> </w:t>
            </w:r>
            <w:r>
              <w:t xml:space="preserve">| European Pharmacopoeia**, Monograph 3028 Cannabis flos | Methodology for quantification of cannabinoids in plant material. |</w:t>
            </w:r>
          </w:p>
        </w:tc>
      </w:tr>
      <w:tr>
        <w:tc>
          <w:tcPr/>
          <w:p>
            <w:pPr>
              <w:pStyle w:val="Compact"/>
            </w:pPr>
            <w:r>
              <w:t xml:space="preserve">### A.3 Agronomic and genetic performance</w:t>
            </w:r>
          </w:p>
        </w:tc>
      </w:tr>
      <w:tr>
        <w:tc>
          <w:tcPr/>
          <w:p>
            <w:pPr>
              <w:pStyle w:val="Compact"/>
            </w:pPr>
            <w:r>
              <w:t xml:space="preserve">| Reference | Key Findings |</w:t>
            </w:r>
            <w:r>
              <w:t xml:space="preserve"> </w:t>
            </w:r>
            <w:r>
              <w:t xml:space="preserve">|————|—————-|</w:t>
            </w:r>
            <w:r>
              <w:t xml:space="preserve"> </w:t>
            </w:r>
            <w:r>
              <w:t xml:space="preserve">|</w:t>
            </w:r>
            <w:r>
              <w:t xml:space="preserve"> </w:t>
            </w:r>
            <w:r>
              <w:rPr>
                <w:b/>
                <w:bCs/>
              </w:rPr>
              <w:t xml:space="preserve">Rahemi et al. (2021)</w:t>
            </w:r>
            <w:r>
              <w:t xml:space="preserve">,</w:t>
            </w:r>
            <w:r>
              <w:t xml:space="preserve"> </w:t>
            </w:r>
            <w:r>
              <w:rPr>
                <w:i/>
                <w:iCs/>
              </w:rPr>
              <w:t xml:space="preserve">Agronomy</w:t>
            </w:r>
            <w:r>
              <w:t xml:space="preserve"> </w:t>
            </w:r>
            <w:r>
              <w:t xml:space="preserve">11(11):2321 | Carmagnola (0.4-0.6% THC): 8.62 t/ha vs Futura 75 (&lt;0.2% THC): 4.60 t/ha (+87%). |</w:t>
            </w:r>
            <w:r>
              <w:t xml:space="preserve"> </w:t>
            </w:r>
            <w:r>
              <w:t xml:space="preserve">| Halker et al. (2024)</w:t>
            </w:r>
            <w:r>
              <w:rPr>
                <w:b/>
                <w:bCs/>
              </w:rPr>
              <w:t xml:space="preserve">,</w:t>
            </w:r>
            <w:r>
              <w:rPr>
                <w:b/>
                <w:bCs/>
              </w:rPr>
              <w:t xml:space="preserve"> </w:t>
            </w:r>
            <w:r>
              <w:rPr>
                <w:b/>
                <w:bCs/>
                <w:i/>
                <w:iCs/>
              </w:rPr>
              <w:t xml:space="preserve">Agrosyst. Geosci. Environ.</w:t>
            </w:r>
            <w:r>
              <w:rPr>
                <w:b/>
                <w:bCs/>
              </w:rPr>
              <w:t xml:space="preserve"> </w:t>
            </w:r>
            <w:r>
              <w:rPr>
                <w:b/>
                <w:bCs/>
              </w:rPr>
              <w:t xml:space="preserve">7: e20569 | Chinese fiber varieties in North Carolina: Yuma (0.723% THC) = 35.1 t/ha; Bama (0.506% THC) = 22.3 t/ha. THC range 0.4-0.9% in high yielding varieties. |</w:t>
            </w:r>
            <w:r>
              <w:rPr>
                <w:b/>
                <w:bCs/>
              </w:rPr>
              <w:t xml:space="preserve"> </w:t>
            </w:r>
            <w:r>
              <w:rPr>
                <w:b/>
                <w:bCs/>
              </w:rPr>
              <w:t xml:space="preserve">| BÃ³csa (1994)</w:t>
            </w:r>
            <w:r>
              <w:t xml:space="preserve">,</w:t>
            </w:r>
            <w:r>
              <w:t xml:space="preserve"> </w:t>
            </w:r>
            <w:r>
              <w:rPr>
                <w:i/>
                <w:iCs/>
              </w:rPr>
              <w:t xml:space="preserve">J. Int. Hemp Assoc.</w:t>
            </w:r>
            <w:r>
              <w:t xml:space="preserve"> </w:t>
            </w:r>
            <w:r>
              <w:t xml:space="preserve">2(2) | Varieties selected for chemical stability yield 10-20% less than traditional varieties. |</w:t>
            </w:r>
            <w:r>
              <w:t xml:space="preserve"> </w:t>
            </w:r>
            <w:r>
              <w:t xml:space="preserve">|</w:t>
            </w:r>
            <w:r>
              <w:t xml:space="preserve"> </w:t>
            </w:r>
            <w:r>
              <w:rPr>
                <w:b/>
                <w:bCs/>
              </w:rPr>
              <w:t xml:space="preserve">Clarke &amp; Merlin (2016)</w:t>
            </w:r>
            <w:r>
              <w:t xml:space="preserve">,</w:t>
            </w:r>
            <w:r>
              <w:t xml:space="preserve"> </w:t>
            </w:r>
            <w:r>
              <w:rPr>
                <w:i/>
                <w:iCs/>
              </w:rPr>
              <w:t xml:space="preserve">Crit. Rev. Plant Sci.</w:t>
            </w:r>
            <w:r>
              <w:t xml:space="preserve"> </w:t>
            </w:r>
            <w:r>
              <w:t xml:space="preserve">35:293-327 | Domestication and breeding: selection for low THC reduces genetic diversity and vigor. |</w:t>
            </w:r>
            <w:r>
              <w:t xml:space="preserve"> </w:t>
            </w:r>
            <w:r>
              <w:t xml:space="preserve">|</w:t>
            </w:r>
            <w:r>
              <w:t xml:space="preserve"> </w:t>
            </w:r>
            <w:r>
              <w:rPr>
                <w:b/>
                <w:bCs/>
              </w:rPr>
              <w:t xml:space="preserve">Zager et al. (2019)</w:t>
            </w:r>
            <w:r>
              <w:t xml:space="preserve">,</w:t>
            </w:r>
            <w:r>
              <w:t xml:space="preserve"> </w:t>
            </w:r>
            <w:r>
              <w:rPr>
                <w:i/>
                <w:iCs/>
              </w:rPr>
              <w:t xml:space="preserve">Plant Physiology</w:t>
            </w:r>
            <w:r>
              <w:t xml:space="preserve"> </w:t>
            </w:r>
            <w:r>
              <w:t xml:space="preserve">180(4):1877-1897 | Genetic networks: shared metabolic pathways among cannabinoids, terpenoids, and biomass. |</w:t>
            </w:r>
            <w:r>
              <w:t xml:space="preserve"> </w:t>
            </w:r>
            <w:r>
              <w:t xml:space="preserve">|</w:t>
            </w:r>
            <w:r>
              <w:t xml:space="preserve"> </w:t>
            </w:r>
            <w:r>
              <w:rPr>
                <w:b/>
                <w:bCs/>
              </w:rPr>
              <w:t xml:space="preserve">Stack et al. (2023)</w:t>
            </w:r>
            <w:r>
              <w:t xml:space="preserve">,</w:t>
            </w:r>
            <w:r>
              <w:t xml:space="preserve"> </w:t>
            </w:r>
            <w:r>
              <w:rPr>
                <w:i/>
                <w:iCs/>
              </w:rPr>
              <w:t xml:space="preserve">Horticulture Research</w:t>
            </w:r>
            <w:r>
              <w:t xml:space="preserve"> </w:t>
            </w:r>
            <w:r>
              <w:t xml:space="preserve">10(11) | Cannabinoids and phenological cycle: late varieties accumulate more biomass and more THC. |</w:t>
            </w:r>
          </w:p>
        </w:tc>
      </w:tr>
      <w:tr>
        <w:tc>
          <w:tcPr/>
          <w:p>
            <w:pPr>
              <w:pStyle w:val="Compact"/>
            </w:pPr>
            <w:r>
              <w:t xml:space="preserve">### A.4 CBD-THC Interaction</w:t>
            </w:r>
          </w:p>
        </w:tc>
      </w:tr>
      <w:tr>
        <w:tc>
          <w:tcPr/>
          <w:p>
            <w:pPr>
              <w:pStyle w:val="Compact"/>
            </w:pPr>
            <w:r>
              <w:t xml:space="preserve">| Reference | Key Findings |</w:t>
            </w:r>
            <w:r>
              <w:t xml:space="preserve"> </w:t>
            </w:r>
            <w:r>
              <w:t xml:space="preserve">|————|—————-|</w:t>
            </w:r>
            <w:r>
              <w:t xml:space="preserve"> </w:t>
            </w:r>
            <w:r>
              <w:t xml:space="preserve">|</w:t>
            </w:r>
            <w:r>
              <w:t xml:space="preserve"> </w:t>
            </w:r>
            <w:r>
              <w:rPr>
                <w:b/>
                <w:bCs/>
              </w:rPr>
              <w:t xml:space="preserve">EIHA (2025)</w:t>
            </w:r>
            <w:r>
              <w:t xml:space="preserve"> </w:t>
            </w:r>
            <w:r>
              <w:t xml:space="preserve">| CBD antagonizes THC effects at the receptor level, reducing psychoactive impact. |</w:t>
            </w:r>
            <w:r>
              <w:t xml:space="preserve"> </w:t>
            </w:r>
            <w:r>
              <w:t xml:space="preserve">|</w:t>
            </w:r>
            <w:r>
              <w:t xml:space="preserve"> </w:t>
            </w:r>
            <w:r>
              <w:rPr>
                <w:b/>
                <w:bCs/>
              </w:rPr>
              <w:t xml:space="preserve">WHO (2018)</w:t>
            </w:r>
            <w:r>
              <w:t xml:space="preserve">, CBD Report | CBD has no addictive or narcotic potential; not internationally controlled. |</w:t>
            </w:r>
          </w:p>
        </w:tc>
      </w:tr>
    </w:tbl>
    <w:bookmarkEnd w:id="58"/>
    <w:bookmarkStart w:id="62" w:name="annex-b-international-comparison"/>
    <w:p>
      <w:pPr>
        <w:pStyle w:val="Heading2"/>
      </w:pPr>
      <w:r>
        <w:t xml:space="preserve">ANNEX B: INTERNATIONAL COMPARISON</w:t>
      </w:r>
    </w:p>
    <w:bookmarkStart w:id="59" w:name="X14199766ec31083ffbfb26ba53a70bba9b6a0c7"/>
    <w:p>
      <w:pPr>
        <w:pStyle w:val="Heading3"/>
      </w:pPr>
      <w:r>
        <w:t xml:space="preserve">B.1 Countries with threshold â¥1% THC (verified January 2026)</w:t>
      </w:r>
    </w:p>
    <w:tbl>
      <w:tblPr>
        <w:tblStyle w:val="Table"/>
        <w:tblW w:type="pct" w:w="5000"/>
        <w:tblLayout w:type="fixed"/>
        <w:tblLook w:firstRow="1" w:lastRow="0" w:firstColumn="0" w:lastColumn="0" w:noHBand="0" w:noVBand="0" w:val="0020"/>
      </w:tblPr>
      <w:tblGrid>
        <w:gridCol w:w="1131"/>
        <w:gridCol w:w="2074"/>
        <w:gridCol w:w="1508"/>
        <w:gridCol w:w="1320"/>
        <w:gridCol w:w="1885"/>
      </w:tblGrid>
      <w:tr>
        <w:trPr>
          <w:tblHeader w:val="on"/>
        </w:trPr>
        <w:tc>
          <w:tcPr/>
          <w:p>
            <w:pPr>
              <w:pStyle w:val="Compact"/>
            </w:pPr>
            <w:r>
              <w:t xml:space="preserve">Country</w:t>
            </w:r>
          </w:p>
        </w:tc>
        <w:tc>
          <w:tcPr/>
          <w:p>
            <w:pPr>
              <w:pStyle w:val="Compact"/>
            </w:pPr>
            <w:r>
              <w:t xml:space="preserve">THC Threshold</w:t>
            </w:r>
          </w:p>
        </w:tc>
        <w:tc>
          <w:tcPr/>
          <w:p>
            <w:pPr>
              <w:pStyle w:val="Compact"/>
            </w:pPr>
            <w:r>
              <w:t xml:space="preserve">Scope</w:t>
            </w:r>
          </w:p>
        </w:tc>
        <w:tc>
          <w:tcPr/>
          <w:p>
            <w:pPr>
              <w:pStyle w:val="Compact"/>
            </w:pPr>
            <w:r>
              <w:t xml:space="preserve">Standard</w:t>
            </w:r>
          </w:p>
        </w:tc>
        <w:tc>
          <w:tcPr/>
          <w:p>
            <w:pPr>
              <w:pStyle w:val="Compact"/>
            </w:pPr>
            <w:r>
              <w:t xml:space="preserve">Validity</w:t>
            </w:r>
          </w:p>
        </w:tc>
      </w:tr>
      <w:tr>
        <w:tc>
          <w:tcPr/>
          <w:p>
            <w:pPr>
              <w:pStyle w:val="Compact"/>
            </w:pPr>
            <w:r>
              <w:t xml:space="preserve">South Africa**</w:t>
            </w:r>
          </w:p>
        </w:tc>
        <w:tc>
          <w:tcPr/>
          <w:p>
            <w:pPr>
              <w:pStyle w:val="Compact"/>
            </w:pPr>
            <w:r>
              <w:t xml:space="preserve">2.0%</w:t>
            </w:r>
          </w:p>
        </w:tc>
        <w:tc>
          <w:tcPr/>
          <w:p>
            <w:pPr>
              <w:pStyle w:val="Compact"/>
            </w:pPr>
            <w:r>
              <w:t xml:space="preserve">Cultivation</w:t>
            </w:r>
          </w:p>
        </w:tc>
        <w:tc>
          <w:tcPr/>
          <w:p>
            <w:pPr>
              <w:pStyle w:val="Compact"/>
            </w:pPr>
            <w:r>
              <w:t xml:space="preserve">Plant Improvement Act 2018 + Regulations 2025</w:t>
            </w:r>
          </w:p>
        </w:tc>
        <w:tc>
          <w:tcPr/>
          <w:p>
            <w:pPr>
              <w:pStyle w:val="Compact"/>
            </w:pPr>
            <w:r>
              <w:t xml:space="preserve">1 Dec 2025</w:t>
            </w:r>
          </w:p>
        </w:tc>
      </w:tr>
      <w:tr>
        <w:tc>
          <w:tcPr/>
          <w:p>
            <w:pPr>
              <w:pStyle w:val="Compact"/>
            </w:pPr>
            <w:r>
              <w:rPr>
                <w:b/>
                <w:bCs/>
              </w:rPr>
              <w:t xml:space="preserve">Switzerland</w:t>
            </w:r>
          </w:p>
        </w:tc>
        <w:tc>
          <w:tcPr/>
          <w:p>
            <w:pPr>
              <w:pStyle w:val="Compact"/>
            </w:pPr>
            <w:r>
              <w:t xml:space="preserve">1.0%</w:t>
            </w:r>
          </w:p>
        </w:tc>
        <w:tc>
          <w:tcPr/>
          <w:p>
            <w:pPr>
              <w:pStyle w:val="Compact"/>
            </w:pPr>
            <w:r>
              <w:t xml:space="preserve">Cultivation</w:t>
            </w:r>
          </w:p>
        </w:tc>
        <w:tc>
          <w:tcPr/>
          <w:p>
            <w:pPr>
              <w:pStyle w:val="Compact"/>
            </w:pPr>
            <w:r>
              <w:t xml:space="preserve">Cultivation and Products</w:t>
            </w:r>
          </w:p>
        </w:tc>
        <w:tc>
          <w:tcPr/>
          <w:p>
            <w:pPr>
              <w:pStyle w:val="Compact"/>
            </w:pPr>
            <w:r>
              <w:t xml:space="preserve">Narcotic Drugs Act (LStup)</w:t>
            </w:r>
          </w:p>
        </w:tc>
      </w:tr>
      <w:tr>
        <w:tc>
          <w:tcPr/>
          <w:p>
            <w:pPr>
              <w:pStyle w:val="Compact"/>
            </w:pPr>
            <w:r>
              <w:t xml:space="preserve">Czech Republic**</w:t>
            </w:r>
          </w:p>
        </w:tc>
        <w:tc>
          <w:tcPr/>
          <w:p>
            <w:pPr>
              <w:pStyle w:val="Compact"/>
            </w:pPr>
            <w:r>
              <w:t xml:space="preserve">1.0%</w:t>
            </w:r>
          </w:p>
        </w:tc>
        <w:tc>
          <w:tcPr/>
          <w:p>
            <w:pPr>
              <w:pStyle w:val="Compact"/>
            </w:pPr>
            <w:r>
              <w:t xml:space="preserve">Cultivation and retail</w:t>
            </w:r>
          </w:p>
        </w:tc>
        <w:tc>
          <w:tcPr/>
          <w:p>
            <w:pPr>
              <w:pStyle w:val="Compact"/>
            </w:pPr>
            <w:r>
              <w:t xml:space="preserve">Psychomodulatory Substances Act</w:t>
            </w:r>
          </w:p>
        </w:tc>
        <w:tc>
          <w:tcPr/>
          <w:p>
            <w:pPr>
              <w:pStyle w:val="Compact"/>
            </w:pPr>
            <w:r>
              <w:t xml:space="preserve">1 Jan 2025</w:t>
            </w:r>
          </w:p>
        </w:tc>
      </w:tr>
      <w:tr>
        <w:tc>
          <w:tcPr/>
          <w:p>
            <w:pPr>
              <w:pStyle w:val="Compact"/>
            </w:pPr>
            <w:r>
              <w:t xml:space="preserve">Chile**</w:t>
            </w:r>
          </w:p>
        </w:tc>
        <w:tc>
          <w:tcPr/>
          <w:p>
            <w:pPr>
              <w:pStyle w:val="Compact"/>
            </w:pPr>
            <w:r>
              <w:t xml:space="preserve">&lt;1.0%</w:t>
            </w:r>
          </w:p>
        </w:tc>
        <w:tc>
          <w:tcPr/>
          <w:p>
            <w:pPr>
              <w:pStyle w:val="Compact"/>
            </w:pPr>
            <w:r>
              <w:t xml:space="preserve">Exclusion of narcotics control</w:t>
            </w:r>
          </w:p>
        </w:tc>
        <w:tc>
          <w:tcPr/>
          <w:p>
            <w:pPr>
              <w:pStyle w:val="Compact"/>
            </w:pPr>
            <w:r>
              <w:t xml:space="preserve">Law 20.000 + SAG/ISP criteria</w:t>
            </w:r>
          </w:p>
        </w:tc>
        <w:tc>
          <w:tcPr/>
          <w:p>
            <w:pPr>
              <w:pStyle w:val="Compact"/>
            </w:pPr>
            <w:r>
              <w:t xml:space="preserve">2021</w:t>
            </w:r>
          </w:p>
        </w:tc>
      </w:tr>
      <w:tr>
        <w:tc>
          <w:tcPr/>
          <w:p>
            <w:pPr>
              <w:pStyle w:val="Compact"/>
            </w:pPr>
            <w:r>
              <w:t xml:space="preserve">Uruguay**</w:t>
            </w:r>
          </w:p>
        </w:tc>
        <w:tc>
          <w:tcPr/>
          <w:p>
            <w:pPr>
              <w:pStyle w:val="Compact"/>
            </w:pPr>
            <w:r>
              <w:t xml:space="preserve">1.0%</w:t>
            </w:r>
          </w:p>
        </w:tc>
        <w:tc>
          <w:tcPr/>
          <w:p>
            <w:pPr>
              <w:pStyle w:val="Compact"/>
            </w:pPr>
            <w:r>
              <w:t xml:space="preserve">1.0%</w:t>
            </w:r>
          </w:p>
        </w:tc>
        <w:tc>
          <w:tcPr/>
          <w:p>
            <w:pPr>
              <w:pStyle w:val="Compact"/>
            </w:pPr>
            <w:r>
              <w:t xml:space="preserve">Cultivation and plant parts</w:t>
            </w:r>
          </w:p>
        </w:tc>
        <w:tc>
          <w:tcPr/>
          <w:p>
            <w:pPr>
              <w:pStyle w:val="Compact"/>
            </w:pPr>
            <w:r>
              <w:t xml:space="preserve">Law 19.172 + Decree 372/2014</w:t>
            </w:r>
          </w:p>
        </w:tc>
      </w:tr>
      <w:tr>
        <w:tc>
          <w:tcPr/>
          <w:p>
            <w:pPr>
              <w:pStyle w:val="Compact"/>
            </w:pPr>
            <w:r>
              <w:t xml:space="preserve">Ecuador**</w:t>
            </w:r>
          </w:p>
        </w:tc>
        <w:tc>
          <w:tcPr/>
          <w:p>
            <w:pPr>
              <w:pStyle w:val="Compact"/>
            </w:pPr>
            <w:r>
              <w:t xml:space="preserve">1.0%</w:t>
            </w:r>
          </w:p>
        </w:tc>
        <w:tc>
          <w:tcPr/>
          <w:p>
            <w:pPr>
              <w:pStyle w:val="Compact"/>
            </w:pPr>
            <w:r>
              <w:t xml:space="preserve">Non-psychoactive Cannabis</w:t>
            </w:r>
          </w:p>
        </w:tc>
        <w:tc>
          <w:tcPr/>
          <w:p>
            <w:pPr>
              <w:pStyle w:val="Compact"/>
            </w:pPr>
            <w:r>
              <w:t xml:space="preserve">COIP + Agreement Min. 109-2020</w:t>
            </w:r>
          </w:p>
        </w:tc>
        <w:tc>
          <w:tcPr/>
          <w:p>
            <w:pPr>
              <w:pStyle w:val="Compact"/>
            </w:pPr>
            <w:r>
              <w:t xml:space="preserve">2020</w:t>
            </w:r>
          </w:p>
        </w:tc>
      </w:tr>
      <w:tr>
        <w:tc>
          <w:tcPr/>
          <w:p>
            <w:pPr>
              <w:pStyle w:val="Compact"/>
            </w:pPr>
            <w:r>
              <w:t xml:space="preserve">Colombia**</w:t>
            </w:r>
          </w:p>
        </w:tc>
        <w:tc>
          <w:tcPr/>
          <w:p>
            <w:pPr>
              <w:pStyle w:val="Compact"/>
            </w:pPr>
            <w:r>
              <w:t xml:space="preserve">1.0%</w:t>
            </w:r>
          </w:p>
        </w:tc>
        <w:tc>
          <w:tcPr/>
          <w:p>
            <w:pPr>
              <w:pStyle w:val="Compact"/>
            </w:pPr>
            <w:r>
              <w:t xml:space="preserve">1.0%</w:t>
            </w:r>
          </w:p>
        </w:tc>
        <w:tc>
          <w:tcPr/>
          <w:p>
            <w:pPr>
              <w:pStyle w:val="Compact"/>
            </w:pPr>
            <w:r>
              <w:t xml:space="preserve">Processed derivatives</w:t>
            </w:r>
          </w:p>
        </w:tc>
        <w:tc>
          <w:tcPr/>
          <w:p>
            <w:pPr>
              <w:pStyle w:val="Compact"/>
            </w:pPr>
            <w:r>
              <w:t xml:space="preserve">Law 1787/2016 + Decree 613/2017</w:t>
            </w:r>
          </w:p>
        </w:tc>
      </w:tr>
      <w:tr>
        <w:tc>
          <w:tcPr/>
          <w:p>
            <w:pPr>
              <w:pStyle w:val="Compact"/>
            </w:pPr>
            <w:r>
              <w:t xml:space="preserve">Argentina**</w:t>
            </w:r>
          </w:p>
        </w:tc>
        <w:tc>
          <w:tcPr/>
          <w:p>
            <w:pPr>
              <w:pStyle w:val="Compact"/>
            </w:pPr>
            <w:r>
              <w:t xml:space="preserve">1.0%</w:t>
            </w:r>
          </w:p>
        </w:tc>
        <w:tc>
          <w:tcPr/>
          <w:p>
            <w:pPr>
              <w:pStyle w:val="Compact"/>
            </w:pPr>
            <w:r>
              <w:t xml:space="preserve">Industrial hemp</w:t>
            </w:r>
          </w:p>
        </w:tc>
        <w:tc>
          <w:tcPr/>
          <w:p>
            <w:pPr>
              <w:pStyle w:val="Compact"/>
            </w:pPr>
            <w:r>
              <w:t xml:space="preserve">Law 27.669 + Decree 405/2023</w:t>
            </w:r>
          </w:p>
        </w:tc>
        <w:tc>
          <w:tcPr/>
          <w:p>
            <w:pPr>
              <w:pStyle w:val="Compact"/>
            </w:pPr>
            <w:r>
              <w:t xml:space="preserve">2022-2023</w:t>
            </w:r>
          </w:p>
        </w:tc>
      </w:tr>
      <w:tr>
        <w:tc>
          <w:tcPr/>
          <w:p>
            <w:pPr>
              <w:pStyle w:val="Compact"/>
            </w:pPr>
            <w:r>
              <w:t xml:space="preserve">Mexico** 1.0%</w:t>
            </w:r>
          </w:p>
        </w:tc>
        <w:tc>
          <w:tcPr/>
          <w:p>
            <w:pPr>
              <w:pStyle w:val="Compact"/>
            </w:pPr>
            <w:r>
              <w:t xml:space="preserve">1.0%</w:t>
            </w:r>
          </w:p>
        </w:tc>
        <w:tc>
          <w:tcPr/>
          <w:p>
            <w:pPr>
              <w:pStyle w:val="Compact"/>
            </w:pPr>
            <w:r>
              <w:t xml:space="preserve">Industrial products</w:t>
            </w:r>
          </w:p>
        </w:tc>
        <w:tc>
          <w:tcPr/>
          <w:p>
            <w:pPr>
              <w:pStyle w:val="Compact"/>
            </w:pPr>
            <w:r>
              <w:t xml:space="preserve">General Health Law Art. 245</w:t>
            </w:r>
          </w:p>
        </w:tc>
        <w:tc>
          <w:tcPr/>
          <w:p>
            <w:pPr>
              <w:pStyle w:val="Compact"/>
            </w:pPr>
            <w:r>
              <w:t xml:space="preserve">2017</w:t>
            </w:r>
          </w:p>
        </w:tc>
      </w:tr>
      <w:tr>
        <w:tc>
          <w:tcPr/>
          <w:p>
            <w:pPr>
              <w:pStyle w:val="Compact"/>
            </w:pPr>
            <w:r>
              <w:rPr>
                <w:b/>
                <w:bCs/>
              </w:rPr>
              <w:t xml:space="preserve">Peru</w:t>
            </w:r>
          </w:p>
        </w:tc>
        <w:tc>
          <w:tcPr/>
          <w:p>
            <w:pPr>
              <w:pStyle w:val="Compact"/>
            </w:pPr>
            <w:r>
              <w:t xml:space="preserve">1.0%</w:t>
            </w:r>
          </w:p>
        </w:tc>
        <w:tc>
          <w:tcPr/>
          <w:p>
            <w:pPr>
              <w:pStyle w:val="Compact"/>
            </w:pPr>
            <w:r>
              <w:t xml:space="preserve">Industrial hemp</w:t>
            </w:r>
          </w:p>
        </w:tc>
        <w:tc>
          <w:tcPr/>
          <w:p>
            <w:pPr>
              <w:pStyle w:val="Compact"/>
            </w:pPr>
            <w:r>
              <w:t xml:space="preserve">Law 32195</w:t>
            </w:r>
          </w:p>
        </w:tc>
        <w:tc>
          <w:tcPr/>
          <w:p>
            <w:pPr>
              <w:pStyle w:val="Compact"/>
            </w:pPr>
            <w:r>
              <w:t xml:space="preserve">Dec 2024</w:t>
            </w:r>
          </w:p>
        </w:tc>
      </w:tr>
      <w:tr>
        <w:tc>
          <w:tcPr/>
          <w:p>
            <w:pPr>
              <w:pStyle w:val="Compact"/>
            </w:pPr>
            <w:r>
              <w:rPr>
                <w:b/>
                <w:bCs/>
              </w:rPr>
              <w:t xml:space="preserve">Costa Rica</w:t>
            </w:r>
          </w:p>
        </w:tc>
        <w:tc>
          <w:tcPr/>
          <w:p>
            <w:pPr>
              <w:pStyle w:val="Compact"/>
            </w:pPr>
            <w:r>
              <w:t xml:space="preserve">1.0%</w:t>
            </w:r>
          </w:p>
        </w:tc>
        <w:tc>
          <w:tcPr/>
          <w:p>
            <w:pPr>
              <w:pStyle w:val="Compact"/>
            </w:pPr>
            <w:r>
              <w:t xml:space="preserve">Industrial hemp</w:t>
            </w:r>
          </w:p>
        </w:tc>
        <w:tc>
          <w:tcPr/>
          <w:p>
            <w:pPr>
              <w:pStyle w:val="Compact"/>
            </w:pPr>
            <w:r>
              <w:t xml:space="preserve">Law 10113 + RTCR 515:2024</w:t>
            </w:r>
          </w:p>
        </w:tc>
        <w:tc>
          <w:tcPr/>
          <w:p>
            <w:pPr>
              <w:pStyle w:val="Compact"/>
            </w:pPr>
            <w:r>
              <w:t xml:space="preserve">2022</w:t>
            </w:r>
          </w:p>
        </w:tc>
      </w:tr>
      <w:tr>
        <w:tc>
          <w:tcPr/>
          <w:p>
            <w:pPr>
              <w:pStyle w:val="Compact"/>
            </w:pPr>
            <w:r>
              <w:rPr>
                <w:b/>
                <w:bCs/>
              </w:rPr>
              <w:t xml:space="preserve">Panama</w:t>
            </w:r>
          </w:p>
        </w:tc>
        <w:tc>
          <w:tcPr/>
          <w:p>
            <w:pPr>
              <w:pStyle w:val="Compact"/>
            </w:pPr>
            <w:r>
              <w:t xml:space="preserve">1.0%</w:t>
            </w:r>
          </w:p>
        </w:tc>
        <w:tc>
          <w:tcPr/>
          <w:p>
            <w:pPr>
              <w:pStyle w:val="Compact"/>
            </w:pPr>
            <w:r>
              <w:t xml:space="preserve">Industrial hemp</w:t>
            </w:r>
          </w:p>
        </w:tc>
        <w:tc>
          <w:tcPr/>
          <w:p>
            <w:pPr>
              <w:pStyle w:val="Compact"/>
            </w:pPr>
            <w:r>
              <w:t xml:space="preserve">Law 464</w:t>
            </w:r>
          </w:p>
        </w:tc>
        <w:tc>
          <w:tcPr/>
          <w:p>
            <w:pPr>
              <w:pStyle w:val="Compact"/>
            </w:pPr>
            <w:r>
              <w:t xml:space="preserve">Mar 2025</w:t>
            </w:r>
          </w:p>
        </w:tc>
      </w:tr>
      <w:tr>
        <w:tc>
          <w:tcPr/>
          <w:p>
            <w:pPr>
              <w:pStyle w:val="Compact"/>
            </w:pPr>
            <w:r>
              <w:t xml:space="preserve">Jamaica**</w:t>
            </w:r>
          </w:p>
        </w:tc>
        <w:tc>
          <w:tcPr/>
          <w:p>
            <w:pPr>
              <w:pStyle w:val="Compact"/>
            </w:pPr>
            <w:r>
              <w:t xml:space="preserve">&lt;1.0%</w:t>
            </w:r>
          </w:p>
        </w:tc>
        <w:tc>
          <w:tcPr/>
          <w:p>
            <w:pPr>
              <w:pStyle w:val="Compact"/>
            </w:pPr>
            <w:r>
              <w:t xml:space="preserve">Legal definition of hemp</w:t>
            </w:r>
          </w:p>
        </w:tc>
        <w:tc>
          <w:tcPr/>
          <w:p>
            <w:pPr>
              <w:pStyle w:val="Compact"/>
            </w:pPr>
            <w:r>
              <w:t xml:space="preserve">Dangerous Drugs (Amendment) Act 2015</w:t>
            </w:r>
          </w:p>
        </w:tc>
        <w:tc>
          <w:tcPr/>
          <w:p>
            <w:pPr>
              <w:pStyle w:val="Compact"/>
            </w:pPr>
            <w:r>
              <w:t xml:space="preserve">Apr 2015</w:t>
            </w:r>
          </w:p>
        </w:tc>
      </w:tr>
      <w:tr>
        <w:tc>
          <w:tcPr/>
          <w:p>
            <w:pPr>
              <w:pStyle w:val="Compact"/>
            </w:pPr>
            <w:r>
              <w:t xml:space="preserve">Fiji**</w:t>
            </w:r>
          </w:p>
        </w:tc>
        <w:tc>
          <w:tcPr/>
          <w:p>
            <w:pPr>
              <w:pStyle w:val="Compact"/>
            </w:pPr>
            <w:r>
              <w:t xml:space="preserve">1.0%</w:t>
            </w:r>
          </w:p>
        </w:tc>
        <w:tc>
          <w:tcPr/>
          <w:p>
            <w:pPr>
              <w:pStyle w:val="Compact"/>
            </w:pPr>
            <w:r>
              <w:t xml:space="preserve">Cultivation and Products</w:t>
            </w:r>
          </w:p>
        </w:tc>
        <w:tc>
          <w:tcPr/>
          <w:p>
            <w:pPr>
              <w:pStyle w:val="Compact"/>
            </w:pPr>
            <w:r>
              <w:t xml:space="preserve">Illicit Drugs Control Act 2022</w:t>
            </w:r>
          </w:p>
        </w:tc>
        <w:tc>
          <w:tcPr/>
          <w:p>
            <w:pPr>
              <w:pStyle w:val="Compact"/>
            </w:pPr>
            <w:r>
              <w:t xml:space="preserve">July 2022</w:t>
            </w:r>
          </w:p>
        </w:tc>
      </w:tr>
      <w:tr>
        <w:tc>
          <w:tcPr/>
          <w:p>
            <w:pPr>
              <w:pStyle w:val="Compact"/>
            </w:pPr>
            <w:r>
              <w:t xml:space="preserve">New Zealand**</w:t>
            </w:r>
          </w:p>
        </w:tc>
        <w:tc>
          <w:tcPr/>
          <w:p>
            <w:pPr>
              <w:pStyle w:val="Compact"/>
            </w:pPr>
          </w:p>
        </w:tc>
        <w:tc>
          <w:tcPr/>
          <w:p>
            <w:pPr>
              <w:pStyle w:val="Compact"/>
            </w:pPr>
            <w:r>
              <w:t xml:space="preserve">&lt;1.0%</w:t>
            </w:r>
          </w:p>
        </w:tc>
        <w:tc>
          <w:tcPr/>
          <w:p>
            <w:pPr>
              <w:pStyle w:val="Compact"/>
            </w:pPr>
            <w:r>
              <w:t xml:space="preserve">Crop and Products</w:t>
            </w:r>
          </w:p>
        </w:tc>
        <w:tc>
          <w:tcPr/>
          <w:p>
            <w:pPr>
              <w:pStyle w:val="Compact"/>
            </w:pPr>
            <w:r>
              <w:t xml:space="preserve">Reform Dec 2025</w:t>
            </w:r>
          </w:p>
        </w:tc>
      </w:tr>
      <w:tr>
        <w:tc>
          <w:tcPr/>
          <w:p>
            <w:pPr>
              <w:pStyle w:val="Compact"/>
            </w:pPr>
            <w:r>
              <w:t xml:space="preserve">Morocco**</w:t>
            </w:r>
          </w:p>
        </w:tc>
        <w:tc>
          <w:tcPr/>
          <w:p>
            <w:pPr>
              <w:pStyle w:val="Compact"/>
            </w:pPr>
            <w:r>
              <w:t xml:space="preserve">1.0%</w:t>
            </w:r>
          </w:p>
        </w:tc>
        <w:tc>
          <w:tcPr/>
          <w:p>
            <w:pPr>
              <w:pStyle w:val="Compact"/>
            </w:pPr>
            <w:r>
              <w:t xml:space="preserve">1.0%</w:t>
            </w:r>
          </w:p>
        </w:tc>
        <w:tc>
          <w:tcPr/>
          <w:p>
            <w:pPr>
              <w:pStyle w:val="Compact"/>
            </w:pPr>
            <w:r>
              <w:t xml:space="preserve">Industrial crop</w:t>
            </w:r>
          </w:p>
        </w:tc>
        <w:tc>
          <w:tcPr/>
          <w:p>
            <w:pPr>
              <w:pStyle w:val="Compact"/>
            </w:pPr>
            <w:r>
              <w:t xml:space="preserve">Law 13-21 + ANRAC</w:t>
            </w:r>
          </w:p>
        </w:tc>
      </w:tr>
      <w:tr>
        <w:tc>
          <w:tcPr/>
          <w:p>
            <w:pPr>
              <w:pStyle w:val="Compact"/>
            </w:pPr>
            <w:r>
              <w:t xml:space="preserve">Lebanon**</w:t>
            </w:r>
          </w:p>
        </w:tc>
        <w:tc>
          <w:tcPr/>
          <w:p>
            <w:pPr>
              <w:pStyle w:val="Compact"/>
            </w:pPr>
            <w:r>
              <w:t xml:space="preserve">&lt;1.0%</w:t>
            </w:r>
          </w:p>
        </w:tc>
        <w:tc>
          <w:tcPr/>
          <w:p>
            <w:pPr>
              <w:pStyle w:val="Compact"/>
            </w:pPr>
            <w:r>
              <w:t xml:space="preserve">Industrial Cannabis</w:t>
            </w:r>
          </w:p>
        </w:tc>
        <w:tc>
          <w:tcPr/>
          <w:p>
            <w:pPr>
              <w:pStyle w:val="Compact"/>
            </w:pPr>
            <w:r>
              <w:t xml:space="preserve">Law 178/2020</w:t>
            </w:r>
          </w:p>
        </w:tc>
        <w:tc>
          <w:tcPr/>
          <w:p>
            <w:pPr>
              <w:pStyle w:val="Compact"/>
            </w:pPr>
            <w:r>
              <w:t xml:space="preserve">Apr 2020</w:t>
            </w:r>
          </w:p>
        </w:tc>
      </w:tr>
      <w:tr>
        <w:tc>
          <w:tcPr/>
          <w:p>
            <w:pPr>
              <w:pStyle w:val="Compact"/>
            </w:pPr>
            <w:r>
              <w:t xml:space="preserve">Malawi**</w:t>
            </w:r>
          </w:p>
        </w:tc>
        <w:tc>
          <w:tcPr/>
          <w:p>
            <w:pPr>
              <w:pStyle w:val="Compact"/>
            </w:pPr>
            <w:r>
              <w:t xml:space="preserve">1.0%</w:t>
            </w:r>
          </w:p>
        </w:tc>
        <w:tc>
          <w:tcPr/>
          <w:p>
            <w:pPr>
              <w:pStyle w:val="Compact"/>
            </w:pPr>
            <w:r>
              <w:t xml:space="preserve">Industrial Hemp</w:t>
            </w:r>
          </w:p>
        </w:tc>
        <w:tc>
          <w:tcPr/>
          <w:p>
            <w:pPr>
              <w:pStyle w:val="Compact"/>
            </w:pPr>
            <w:r>
              <w:t xml:space="preserve">Cannabis Regulation Act 2020</w:t>
            </w:r>
          </w:p>
        </w:tc>
        <w:tc>
          <w:tcPr/>
          <w:p>
            <w:pPr>
              <w:pStyle w:val="Compact"/>
            </w:pPr>
            <w:r>
              <w:t xml:space="preserve">May 2020</w:t>
            </w:r>
          </w:p>
        </w:tc>
      </w:tr>
      <w:tr>
        <w:tc>
          <w:tcPr/>
          <w:p>
            <w:pPr>
              <w:pStyle w:val="Compact"/>
            </w:pPr>
            <w:r>
              <w:rPr>
                <w:b/>
                <w:bCs/>
              </w:rPr>
              <w:t xml:space="preserve">Zimbabwe</w:t>
            </w:r>
          </w:p>
        </w:tc>
        <w:tc>
          <w:tcPr/>
          <w:p>
            <w:pPr>
              <w:pStyle w:val="Compact"/>
            </w:pPr>
            <w:r>
              <w:t xml:space="preserve">1.0%</w:t>
            </w:r>
          </w:p>
        </w:tc>
        <w:tc>
          <w:tcPr/>
          <w:p>
            <w:pPr>
              <w:pStyle w:val="Compact"/>
            </w:pPr>
            <w:r>
              <w:t xml:space="preserve">Industrial Hemp</w:t>
            </w:r>
          </w:p>
        </w:tc>
        <w:tc>
          <w:tcPr/>
          <w:p>
            <w:pPr>
              <w:pStyle w:val="Compact"/>
            </w:pPr>
            <w:r>
              <w:t xml:space="preserve">Criminal Law Amendment Bill</w:t>
            </w:r>
          </w:p>
        </w:tc>
        <w:tc>
          <w:tcPr/>
          <w:p>
            <w:pPr>
              <w:pStyle w:val="Compact"/>
            </w:pPr>
            <w:r>
              <w:t xml:space="preserve">Feb 2023</w:t>
            </w:r>
          </w:p>
        </w:tc>
      </w:tr>
    </w:tbl>
    <w:bookmarkEnd w:id="59"/>
    <w:bookmarkStart w:id="60" w:name="X34ab2745a6d038a3f1ff56b5ca672138dfad4f0"/>
    <w:p>
      <w:pPr>
        <w:pStyle w:val="Heading3"/>
      </w:pPr>
      <w:r>
        <w:t xml:space="preserve">B.2 Countries with 0.5-0.8% THC Thresholds</w:t>
      </w:r>
    </w:p>
    <w:tbl>
      <w:tblPr>
        <w:tblStyle w:val="Table"/>
        <w:tblW w:type="pct" w:w="5000"/>
        <w:tblLayout w:type="fixed"/>
        <w:tblLook w:firstRow="1" w:lastRow="0" w:firstColumn="0" w:lastColumn="0" w:noHBand="0" w:noVBand="0" w:val="0020"/>
      </w:tblPr>
      <w:tblGrid>
        <w:gridCol w:w="1485"/>
        <w:gridCol w:w="2722"/>
        <w:gridCol w:w="1980"/>
        <w:gridCol w:w="1732"/>
      </w:tblGrid>
      <w:tr>
        <w:trPr>
          <w:tblHeader w:val="on"/>
        </w:trPr>
        <w:tc>
          <w:tcPr/>
          <w:p>
            <w:pPr>
              <w:pStyle w:val="Compact"/>
            </w:pPr>
            <w:r>
              <w:t xml:space="preserve">Country</w:t>
            </w:r>
          </w:p>
        </w:tc>
        <w:tc>
          <w:tcPr/>
          <w:p>
            <w:pPr>
              <w:pStyle w:val="Compact"/>
            </w:pPr>
            <w:r>
              <w:t xml:space="preserve">THC Threshold</w:t>
            </w:r>
          </w:p>
        </w:tc>
        <w:tc>
          <w:tcPr/>
          <w:p>
            <w:pPr>
              <w:pStyle w:val="Compact"/>
            </w:pPr>
            <w:r>
              <w:t xml:space="preserve">Scope</w:t>
            </w:r>
          </w:p>
        </w:tc>
        <w:tc>
          <w:tcPr/>
          <w:p>
            <w:pPr>
              <w:pStyle w:val="Compact"/>
            </w:pPr>
            <w:r>
              <w:t xml:space="preserve">Standard</w:t>
            </w:r>
          </w:p>
        </w:tc>
      </w:tr>
      <w:tr>
        <w:tc>
          <w:tcPr/>
          <w:p>
            <w:pPr>
              <w:pStyle w:val="Compact"/>
            </w:pPr>
            <w:r>
              <w:t xml:space="preserve">Albania**</w:t>
            </w:r>
          </w:p>
        </w:tc>
        <w:tc>
          <w:tcPr/>
          <w:p>
            <w:pPr>
              <w:pStyle w:val="Compact"/>
            </w:pPr>
            <w:r>
              <w:t xml:space="preserve">0.8%</w:t>
            </w:r>
          </w:p>
        </w:tc>
        <w:tc>
          <w:tcPr/>
          <w:p>
            <w:pPr>
              <w:pStyle w:val="Compact"/>
            </w:pPr>
            <w:r>
              <w:t xml:space="preserve">Industrial Hemp</w:t>
            </w:r>
          </w:p>
        </w:tc>
        <w:tc>
          <w:tcPr/>
          <w:p>
            <w:pPr>
              <w:pStyle w:val="Compact"/>
            </w:pPr>
            <w:r>
              <w:t xml:space="preserve">Cannabis Law 61/2023</w:t>
            </w:r>
          </w:p>
        </w:tc>
      </w:tr>
      <w:tr>
        <w:tc>
          <w:tcPr/>
          <w:p>
            <w:pPr>
              <w:pStyle w:val="Compact"/>
            </w:pPr>
            <w:r>
              <w:t xml:space="preserve">Australia** 0.5% planting / 1.0% harvesting</w:t>
            </w:r>
          </w:p>
        </w:tc>
        <w:tc>
          <w:tcPr/>
          <w:p>
            <w:pPr>
              <w:pStyle w:val="Compact"/>
            </w:pPr>
            <w:r>
              <w:t xml:space="preserve">Dual State System</w:t>
            </w:r>
          </w:p>
        </w:tc>
        <w:tc>
          <w:tcPr/>
          <w:p>
            <w:pPr>
              <w:pStyle w:val="Compact"/>
            </w:pPr>
            <w:r>
              <w:t xml:space="preserve">State-by-State Legislation</w:t>
            </w:r>
          </w:p>
        </w:tc>
        <w:tc>
          <w:tcPr/>
          <w:p>
            <w:pPr>
              <w:pStyle w:val="Compact"/>
            </w:pPr>
            <w:r>
              <w:rPr>
                <w:b/>
                <w:bCs/>
              </w:rPr>
              <w:t xml:space="preserve">Australia</w:t>
            </w:r>
            <w:r>
              <w:t xml:space="preserve"> </w:t>
            </w:r>
            <w:r>
              <w:t xml:space="preserve">0.5% planting / 1.0% harvesting</w:t>
            </w:r>
          </w:p>
        </w:tc>
      </w:tr>
      <w:tr>
        <w:tc>
          <w:tcPr/>
          <w:p>
            <w:pPr>
              <w:pStyle w:val="Compact"/>
            </w:pPr>
            <w:r>
              <w:rPr>
                <w:b/>
                <w:bCs/>
              </w:rPr>
              <w:t xml:space="preserve">Paraguay</w:t>
            </w:r>
          </w:p>
        </w:tc>
        <w:tc>
          <w:tcPr/>
          <w:p>
            <w:pPr>
              <w:pStyle w:val="Compact"/>
            </w:pPr>
            <w:r>
              <w:t xml:space="preserve">0.5%</w:t>
            </w:r>
          </w:p>
        </w:tc>
        <w:tc>
          <w:tcPr/>
          <w:p>
            <w:pPr>
              <w:pStyle w:val="Compact"/>
            </w:pPr>
            <w:r>
              <w:t xml:space="preserve">Industrial Hemp</w:t>
            </w:r>
          </w:p>
        </w:tc>
        <w:tc>
          <w:tcPr/>
          <w:p>
            <w:pPr>
              <w:pStyle w:val="Compact"/>
            </w:pPr>
            <w:r>
              <w:t xml:space="preserve">Decree 2725/2019</w:t>
            </w:r>
          </w:p>
        </w:tc>
      </w:tr>
    </w:tbl>
    <w:bookmarkEnd w:id="60"/>
    <w:bookmarkStart w:id="61" w:name="Xeea1aa73d08448ed851b4e9d21c1f2506f6cb4f"/>
    <w:p>
      <w:pPr>
        <w:pStyle w:val="Heading3"/>
      </w:pPr>
      <w:r>
        <w:t xml:space="preserve">B.3 Special cases: product vs. cultivation</w:t>
      </w:r>
    </w:p>
    <w:tbl>
      <w:tblPr>
        <w:tblStyle w:val="Table"/>
        <w:tblW w:type="pct" w:w="5000"/>
        <w:tblLayout w:type="fixed"/>
        <w:tblLook w:firstRow="1" w:lastRow="0" w:firstColumn="0" w:lastColumn="0" w:noHBand="0" w:noVBand="0" w:val="0020"/>
      </w:tblPr>
      <w:tblGrid>
        <w:gridCol w:w="1056"/>
        <w:gridCol w:w="2640"/>
        <w:gridCol w:w="2992"/>
        <w:gridCol w:w="1232"/>
      </w:tblGrid>
      <w:tr>
        <w:trPr>
          <w:tblHeader w:val="on"/>
        </w:trPr>
        <w:tc>
          <w:tcPr/>
          <w:p>
            <w:pPr>
              <w:pStyle w:val="Compact"/>
            </w:pPr>
            <w:r>
              <w:t xml:space="preserve">Country</w:t>
            </w:r>
          </w:p>
        </w:tc>
        <w:tc>
          <w:tcPr/>
          <w:p>
            <w:pPr>
              <w:pStyle w:val="Compact"/>
            </w:pPr>
            <w:r>
              <w:t xml:space="preserve">Crop threshold</w:t>
            </w:r>
          </w:p>
        </w:tc>
        <w:tc>
          <w:tcPr/>
          <w:p>
            <w:pPr>
              <w:pStyle w:val="Compact"/>
            </w:pPr>
            <w:r>
              <w:t xml:space="preserve">Product threshold</w:t>
            </w:r>
          </w:p>
        </w:tc>
        <w:tc>
          <w:tcPr/>
          <w:p>
            <w:pPr>
              <w:pStyle w:val="Compact"/>
            </w:pPr>
            <w:r>
              <w:t xml:space="preserve">Standard</w:t>
            </w:r>
          </w:p>
        </w:tc>
      </w:tr>
      <w:tr>
        <w:tc>
          <w:tcPr/>
          <w:p>
            <w:pPr>
              <w:pStyle w:val="Compact"/>
            </w:pPr>
            <w:r>
              <w:rPr>
                <w:b/>
                <w:bCs/>
              </w:rPr>
              <w:t xml:space="preserve">Luxembourg</w:t>
            </w:r>
          </w:p>
        </w:tc>
        <w:tc>
          <w:tcPr/>
          <w:p>
            <w:pPr>
              <w:pStyle w:val="Compact"/>
            </w:pPr>
            <w:r>
              <w:t xml:space="preserve">0.3% (EU Standard)</w:t>
            </w:r>
          </w:p>
        </w:tc>
        <w:tc>
          <w:tcPr/>
          <w:p>
            <w:pPr>
              <w:pStyle w:val="Compact"/>
            </w:pPr>
            <w:r>
              <w:t xml:space="preserve">1.0% (tobacco substitutes)</w:t>
            </w:r>
          </w:p>
        </w:tc>
        <w:tc>
          <w:tcPr/>
          <w:p>
            <w:pPr>
              <w:pStyle w:val="Compact"/>
            </w:pPr>
            <w:r>
              <w:t xml:space="preserve">Tobacco Control Act</w:t>
            </w:r>
          </w:p>
        </w:tc>
      </w:tr>
    </w:tbl>
    <w:p>
      <w:r>
        <w:pict>
          <v:rect style="width:0;height:1.5pt" o:hralign="center" o:hrstd="t" o:hr="t"/>
        </w:pict>
      </w:r>
    </w:p>
    <w:bookmarkEnd w:id="61"/>
    <w:bookmarkEnd w:id="62"/>
    <w:bookmarkStart w:id="67" w:name="annex-c-proposed-amendment-text"/>
    <w:p>
      <w:pPr>
        <w:pStyle w:val="Heading2"/>
      </w:pPr>
      <w:r>
        <w:t xml:space="preserve">ANNEX C: PROPOSED AMENDMENT TEXT</w:t>
      </w:r>
    </w:p>
    <w:bookmarkStart w:id="63" w:name="c.1-cap-amendment---com2025-560"/>
    <w:p>
      <w:pPr>
        <w:pStyle w:val="Heading3"/>
      </w:pPr>
      <w:r>
        <w:t xml:space="preserve">C.1 CAP Amendment - COM(2025) 560</w:t>
      </w:r>
    </w:p>
    <w:p>
      <w:pPr>
        <w:pStyle w:val="FirstParagraph"/>
      </w:pPr>
      <w:r>
        <w:rPr>
          <w:b/>
          <w:bCs/>
        </w:rPr>
        <w:t xml:space="preserve">Article 5 - Types of support</w:t>
      </w:r>
      <w:r>
        <w:rPr>
          <w:b/>
          <w:bCs/>
        </w:rPr>
        <w:t xml:space="preserve"> </w:t>
      </w:r>
      <w:r>
        <w:t xml:space="preserve">Article 5 - Types of support</w:t>
      </w:r>
    </w:p>
    <w:p>
      <w:pPr>
        <w:pStyle w:val="BodyText"/>
      </w:pPr>
      <w:r>
        <w:t xml:space="preserve">Current text proposed by the Commission:* *</w:t>
      </w:r>
      <w:r>
        <w:t xml:space="preserve"> </w:t>
      </w:r>
      <w:r>
        <w:t xml:space="preserve">“Production of hemp varieties with a tetrahydrocannabinol (THC) content”</w:t>
      </w:r>
      <w:r>
        <w:t xml:space="preserve">.</w:t>
      </w:r>
      <w:r>
        <w:t xml:space="preserve"> </w:t>
      </w:r>
      <w:r>
        <w:t xml:space="preserve">&gt;</w:t>
      </w:r>
      <w:r>
        <w:t xml:space="preserve"> </w:t>
      </w:r>
      <w:r>
        <w:t xml:space="preserve">“The production of hemp varieties with a tetrahydrocannabinol (THC) content exceeding 0.3% shall not be eligible for aid under this Regulation.”</w:t>
      </w:r>
    </w:p>
    <w:p>
      <w:pPr>
        <w:pStyle w:val="BodyText"/>
      </w:pPr>
      <w:r>
        <w:rPr>
          <w:i/>
          <w:iCs/>
        </w:rPr>
        <w:t xml:space="preserve">Proposed amendment:</w:t>
      </w:r>
      <w:r>
        <w:t xml:space="preserve">.</w:t>
      </w:r>
      <w:r>
        <w:t xml:space="preserve"> </w:t>
      </w:r>
      <w:r>
        <w:t xml:space="preserve">&gt;</w:t>
      </w:r>
      <w:r>
        <w:t xml:space="preserve"> </w:t>
      </w:r>
      <w:r>
        <w:t xml:space="preserve">“The production of hemp varieties with a tetrahydrocannabinol (THC) content exceeding</w:t>
      </w:r>
      <w:r>
        <w:t xml:space="preserve"> </w:t>
      </w:r>
      <w:r>
        <w:rPr>
          <w:b/>
          <w:bCs/>
        </w:rPr>
        <w:t xml:space="preserve">1.0%</w:t>
      </w:r>
      <w:r>
        <w:t xml:space="preserve"> </w:t>
      </w:r>
      <w:r>
        <w:t xml:space="preserve">shall not be eligible for aid under this Regulation.”</w:t>
      </w:r>
    </w:p>
    <w:p>
      <w:r>
        <w:pict>
          <v:rect style="width:0;height:1.5pt" o:hralign="center" o:hrstd="t" o:hr="t"/>
        </w:pict>
      </w:r>
    </w:p>
    <w:bookmarkEnd w:id="63"/>
    <w:bookmarkStart w:id="64" w:name="c.2-cmo-amendment---com2025-553"/>
    <w:p>
      <w:pPr>
        <w:pStyle w:val="Heading3"/>
      </w:pPr>
      <w:r>
        <w:t xml:space="preserve">C.2 CMO Amendment - COM(2025) 553</w:t>
      </w:r>
    </w:p>
    <w:p>
      <w:pPr>
        <w:pStyle w:val="FirstParagraph"/>
      </w:pPr>
      <w:r>
        <w:rPr>
          <w:b/>
          <w:bCs/>
        </w:rPr>
        <w:t xml:space="preserve">Article 147b - Hemp production</w:t>
      </w:r>
      <w:r>
        <w:rPr>
          <w:b/>
          <w:bCs/>
        </w:rPr>
        <w:t xml:space="preserve"> </w:t>
      </w:r>
      <w:r>
        <w:t xml:space="preserve">Article 147b - Hemp production</w:t>
      </w:r>
      <w:r>
        <w:t xml:space="preserve"> </w:t>
      </w:r>
      <w:r>
        <w:t xml:space="preserve">In paragraph 1, replace</w:t>
      </w:r>
      <w:r>
        <w:t xml:space="preserve"> </w:t>
      </w:r>
      <w:r>
        <w:t xml:space="preserve">“0.3%”</w:t>
      </w:r>
      <w:r>
        <w:t xml:space="preserve"> </w:t>
      </w:r>
      <w:r>
        <w:t xml:space="preserve">with</w:t>
      </w:r>
      <w:r>
        <w:t xml:space="preserve"> </w:t>
      </w:r>
      <w:r>
        <w:t xml:space="preserve">“</w:t>
      </w:r>
      <w:r>
        <w:rPr>
          <w:b/>
          <w:bCs/>
        </w:rPr>
        <w:t xml:space="preserve">1.0%</w:t>
      </w:r>
      <w:r>
        <w:t xml:space="preserve">”</w:t>
      </w:r>
      <w:r>
        <w:t xml:space="preserve">.</w:t>
      </w:r>
    </w:p>
    <w:p>
      <w:pPr>
        <w:pStyle w:val="BodyText"/>
      </w:pPr>
      <w:r>
        <w:t xml:space="preserve">Article 147c - Marketing of hemp</w:t>
      </w:r>
      <w:r>
        <w:t xml:space="preserve"> </w:t>
      </w:r>
      <w:r>
        <w:rPr>
          <w:b/>
          <w:bCs/>
        </w:rPr>
        <w:t xml:space="preserve">Article 147c - Marketing of hemp</w:t>
      </w:r>
      <w:r>
        <w:t xml:space="preserve">.</w:t>
      </w:r>
    </w:p>
    <w:p>
      <w:pPr>
        <w:pStyle w:val="BodyText"/>
      </w:pPr>
      <w:r>
        <w:t xml:space="preserve">In paragraph 1(a), (b) and (c), replace each mention of</w:t>
      </w:r>
      <w:r>
        <w:t xml:space="preserve"> </w:t>
      </w:r>
      <w:r>
        <w:t xml:space="preserve">“0.3%”</w:t>
      </w:r>
      <w:r>
        <w:t xml:space="preserve"> </w:t>
      </w:r>
      <w:r>
        <w:t xml:space="preserve">with</w:t>
      </w:r>
      <w:r>
        <w:t xml:space="preserve"> </w:t>
      </w:r>
      <w:r>
        <w:t xml:space="preserve">“</w:t>
      </w:r>
      <w:r>
        <w:rPr>
          <w:b/>
          <w:bCs/>
        </w:rPr>
        <w:t xml:space="preserve">1.0%</w:t>
      </w:r>
      <w:r>
        <w:t xml:space="preserve">”</w:t>
      </w:r>
      <w:r>
        <w:t xml:space="preserve">.</w:t>
      </w:r>
    </w:p>
    <w:p>
      <w:pPr>
        <w:pStyle w:val="BodyText"/>
      </w:pPr>
      <w:r>
        <w:t xml:space="preserve">Article 189 - Imports of hemp</w:t>
      </w:r>
      <w:r>
        <w:t xml:space="preserve"> </w:t>
      </w:r>
      <w:r>
        <w:rPr>
          <w:b/>
          <w:bCs/>
        </w:rPr>
        <w:t xml:space="preserve">Article 189 - Imports of hemp</w:t>
      </w:r>
      <w:r>
        <w:t xml:space="preserve">.</w:t>
      </w:r>
    </w:p>
    <w:p>
      <w:pPr>
        <w:pStyle w:val="BodyText"/>
      </w:pPr>
      <w:r>
        <w:t xml:space="preserve">In paragraph 1(a), (b) and (d), replace each</w:t>
      </w:r>
      <w:r>
        <w:t xml:space="preserve"> </w:t>
      </w:r>
      <w:r>
        <w:t xml:space="preserve">“0.3%”</w:t>
      </w:r>
      <w:r>
        <w:t xml:space="preserve"> </w:t>
      </w:r>
      <w:r>
        <w:t xml:space="preserve">with</w:t>
      </w:r>
      <w:r>
        <w:t xml:space="preserve"> </w:t>
      </w:r>
      <w:r>
        <w:t xml:space="preserve">“</w:t>
      </w:r>
      <w:r>
        <w:rPr>
          <w:b/>
          <w:bCs/>
        </w:rPr>
        <w:t xml:space="preserve">1.0%</w:t>
      </w:r>
      <w:r>
        <w:t xml:space="preserve">”</w:t>
      </w:r>
      <w:r>
        <w:t xml:space="preserve">.</w:t>
      </w:r>
    </w:p>
    <w:p>
      <w:r>
        <w:pict>
          <v:rect style="width:0;height:1.5pt" o:hralign="center" o:hrstd="t" o:hr="t"/>
        </w:pict>
      </w:r>
    </w:p>
    <w:bookmarkEnd w:id="64"/>
    <w:bookmarkStart w:id="65" w:name="Xcee9862fac1977fc4baf20cefd40997d7687193"/>
    <w:p>
      <w:pPr>
        <w:pStyle w:val="Heading3"/>
      </w:pPr>
      <w:r>
        <w:t xml:space="preserve">C.3 Recommended technical clause (new paragraph)</w:t>
      </w:r>
    </w:p>
    <w:p>
      <w:pPr>
        <w:pStyle w:val="FirstParagraph"/>
      </w:pPr>
      <w:r>
        <w:t xml:space="preserve">Add the following paragraph to both Regulations:</w:t>
      </w:r>
    </w:p>
    <w:p>
      <w:pPr>
        <w:pStyle w:val="BlockText"/>
      </w:pPr>
      <w:r>
        <w:rPr>
          <w:i/>
          <w:iCs/>
        </w:rPr>
        <w:t xml:space="preserve">“For the purposes of these Regulations, the tetrahydrocannabinol (Î9-THC) content shall be determined:</w:t>
      </w:r>
    </w:p>
    <w:p>
      <w:pPr>
        <w:pStyle w:val="BlockText"/>
      </w:pPr>
      <w:r>
        <w:rPr>
          <w:i/>
          <w:iCs/>
        </w:rPr>
        <w:t xml:space="preserve">(a) on a dry matter basis (constant weight);</w:t>
      </w:r>
      <w:r>
        <w:t xml:space="preserve"> </w:t>
      </w:r>
      <w:r>
        <w:t xml:space="preserve">&gt;(b) on a dry matter basis (constant weight);*</w:t>
      </w:r>
    </w:p>
    <w:p>
      <w:pPr>
        <w:pStyle w:val="BlockText"/>
      </w:pPr>
      <w:r>
        <w:rPr>
          <w:i/>
          <w:iCs/>
        </w:rPr>
        <w:t xml:space="preserve">(b) in accordance with the Union method set out in Annex III to Delegated Regulation (EU) 2017/1155, or in the act replacing it;</w:t>
      </w:r>
      <w:r>
        <w:t xml:space="preserve"> </w:t>
      </w:r>
      <w:r>
        <w:t xml:space="preserve">&gt;(c) in accordance with the Union method set out in Annex III to Delegated Regulation (EU) 2017/1155, or the act replacing it;*</w:t>
      </w:r>
    </w:p>
    <w:p>
      <w:pPr>
        <w:pStyle w:val="BlockText"/>
      </w:pPr>
      <w:r>
        <w:rPr>
          <w:i/>
          <w:iCs/>
        </w:rPr>
        <w:t xml:space="preserve">(c) by representative sampling carried out in accordance with the protocol laid down in that Delegated Regulation. “</w:t>
      </w:r>
      <w:r>
        <w:t xml:space="preserve"> </w:t>
      </w:r>
      <w:r>
        <w:t xml:space="preserve">&gt; *(d) by representative sampling carried out in accordance with the protocol laid down in that Delegated Regulation.</w:t>
      </w:r>
    </w:p>
    <w:p>
      <w:r>
        <w:pict>
          <v:rect style="width:0;height:1.5pt" o:hralign="center" o:hrstd="t" o:hr="t"/>
        </w:pict>
      </w:r>
    </w:p>
    <w:bookmarkEnd w:id="65"/>
    <w:bookmarkStart w:id="66" w:name="c.4-technical-justification"/>
    <w:p>
      <w:pPr>
        <w:pStyle w:val="Heading3"/>
      </w:pPr>
      <w:r>
        <w:t xml:space="preserve">C.4 Technical justification</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Aspect</w:t>
            </w:r>
          </w:p>
        </w:tc>
        <w:tc>
          <w:tcPr/>
          <w:p>
            <w:pPr>
              <w:pStyle w:val="Compact"/>
            </w:pPr>
            <w:r>
              <w:t xml:space="preserve">Specification</w:t>
            </w:r>
          </w:p>
        </w:tc>
      </w:tr>
      <w:tr>
        <w:tc>
          <w:tcPr/>
          <w:p>
            <w:pPr>
              <w:pStyle w:val="Compact"/>
            </w:pPr>
            <w:r>
              <w:t xml:space="preserve">Measured THC: Î9-THC (delta-9-tetrahydrocannabinol): Î9-THC</w:t>
            </w:r>
          </w:p>
        </w:tc>
        <w:tc>
          <w:tcPr/>
          <w:p>
            <w:pPr>
              <w:pStyle w:val="Compact"/>
            </w:pPr>
          </w:p>
        </w:tc>
      </w:tr>
      <w:tr>
        <w:tc>
          <w:tcPr/>
          <w:p>
            <w:pPr>
              <w:pStyle w:val="Compact"/>
            </w:pPr>
            <w:r>
              <w:t xml:space="preserve">Calculation basis**</w:t>
            </w:r>
          </w:p>
        </w:tc>
        <w:tc>
          <w:tcPr/>
          <w:p>
            <w:pPr>
              <w:pStyle w:val="Compact"/>
            </w:pPr>
          </w:p>
        </w:tc>
      </w:tr>
      <w:tr>
        <w:tc>
          <w:tcPr/>
          <w:p>
            <w:pPr>
              <w:pStyle w:val="Compact"/>
            </w:pPr>
            <w:r>
              <w:t xml:space="preserve">Analytical method**</w:t>
            </w:r>
          </w:p>
        </w:tc>
        <w:tc>
          <w:tcPr/>
          <w:p>
            <w:pPr>
              <w:pStyle w:val="Compact"/>
            </w:pPr>
          </w:p>
        </w:tc>
      </w:tr>
      <w:tr>
        <w:tc>
          <w:tcPr/>
          <w:p>
            <w:pPr>
              <w:pStyle w:val="Compact"/>
            </w:pPr>
            <w:r>
              <w:t xml:space="preserve">Sampling**</w:t>
            </w:r>
          </w:p>
        </w:tc>
        <w:tc>
          <w:tcPr/>
          <w:p>
            <w:pPr>
              <w:pStyle w:val="Compact"/>
            </w:pPr>
            <w:r>
              <w:t xml:space="preserve">Upper 30 cm of the plant; EU protocol</w:t>
            </w:r>
          </w:p>
        </w:tc>
      </w:tr>
      <w:tr>
        <w:tc>
          <w:tcPr/>
          <w:p>
            <w:pPr>
              <w:pStyle w:val="Compact"/>
            </w:pPr>
            <w:r>
              <w:t xml:space="preserve">Timing**</w:t>
            </w:r>
          </w:p>
        </w:tc>
        <w:tc>
          <w:tcPr/>
          <w:p>
            <w:pPr>
              <w:pStyle w:val="Compact"/>
            </w:pPr>
            <w:r>
              <w:t xml:space="preserve">Between the beginning of flowering and 10 days post-flowering</w:t>
            </w:r>
          </w:p>
        </w:tc>
      </w:tr>
    </w:tbl>
    <w:p/>
    <w:tbl>
      <w:tblPr>
        <w:tblStyle w:val="Table"/>
        <w:tblW w:type="pct" w:w="278"/>
        <w:tblLayout w:type="fixed"/>
        <w:tblLook w:firstRow="0" w:lastRow="0" w:firstColumn="0" w:lastColumn="0" w:noHBand="0" w:noVBand="0" w:val="0000"/>
      </w:tblPr>
      <w:tblGrid>
        <w:gridCol w:w="440"/>
      </w:tblGrid>
      <w:tr>
        <w:tc>
          <w:tcPr/>
          <w:p>
            <w:pPr>
              <w:pStyle w:val="Compact"/>
            </w:pPr>
            <w:r>
              <w:t xml:space="preserve"># REFERENCES</w:t>
            </w:r>
          </w:p>
        </w:tc>
      </w:tr>
      <w:tr>
        <w:tc>
          <w:tcPr/>
          <w:p>
            <w:pPr>
              <w:pStyle w:val="Compact"/>
            </w:pPr>
            <w:r>
              <w:t xml:space="preserve">## Scientific References</w:t>
            </w:r>
          </w:p>
        </w:tc>
      </w:tr>
      <w:tr>
        <w:tc>
          <w:tcPr/>
          <w:p>
            <w:pPr>
              <w:pStyle w:val="Compact"/>
            </w:pPr>
            <w:r>
              <w:t xml:space="preserve">Small E, Cronquist A. A practical and natural taxonomy for Cannabis. *Taxon. 1976;25(4):405-435. DOI: https://www.jstor.org/stable/1220524</w:t>
            </w:r>
          </w:p>
        </w:tc>
      </w:tr>
      <w:tr>
        <w:tc>
          <w:tcPr/>
          <w:p>
            <w:pPr>
              <w:pStyle w:val="Compact"/>
            </w:pPr>
            <w:r>
              <w:t xml:space="preserve">2. Small E. Statement on Regulated Maximum THC Levels in Industrial Hemp Inflorescence. Canadian Hemp Trade Association. 18 June 2021.</w:t>
            </w:r>
          </w:p>
        </w:tc>
      </w:tr>
      <w:tr>
        <w:tc>
          <w:tcPr/>
          <w:p>
            <w:pPr>
              <w:pStyle w:val="Compact"/>
            </w:pPr>
            <w:r>
              <w:t xml:space="preserve">3. Small E, Beckstead HD, Chan A. The evolution of cannabinoid phenotypes in Cannabis. *Economic Botany. 1975;29(2):219-232.</w:t>
            </w:r>
          </w:p>
        </w:tc>
      </w:tr>
      <w:tr>
        <w:tc>
          <w:tcPr/>
          <w:p>
            <w:pPr>
              <w:pStyle w:val="Compact"/>
            </w:pPr>
            <w:r>
              <w:t xml:space="preserve">4. EFSA CONTAM Panel (EFSA Panel on Contaminants in the Food Chain). Scientific Opinion on the risks for human health related to the presence of tetrahydrocannabinol (THC) in milk and other food of animal origin. *EFSA Journal. 2015;13(6):4141. DOI: 10.2903/j.efsa.2015.4141.</w:t>
            </w:r>
          </w:p>
        </w:tc>
      </w:tr>
      <w:tr>
        <w:tc>
          <w:tcPr/>
          <w:p>
            <w:pPr>
              <w:pStyle w:val="Compact"/>
            </w:pPr>
            <w:r>
              <w:t xml:space="preserve">5. Halker ET, Angima SD, Rongione BL, et al. Evaluating Chinese fiber hemp varieties and planting dates in North Carolina. *Agrosystems, Geosciences &amp; Environment. 2024;7:e20569. DOI: 10.1002/agg2.20569.</w:t>
            </w:r>
          </w:p>
        </w:tc>
      </w:tr>
      <w:tr>
        <w:tc>
          <w:tcPr/>
          <w:p>
            <w:pPr>
              <w:pStyle w:val="Compact"/>
            </w:pPr>
            <w:r>
              <w:t xml:space="preserve">6. Rahemi A, Fatahi R, Ebadi A, et al. Morphological diversity and oil content of Cannabis sativa L. accessions. *Agronomy. 2021;11(11):2321. DOI: 10.3390/agronomy11112321.</w:t>
            </w:r>
          </w:p>
        </w:tc>
      </w:tr>
      <w:tr>
        <w:tc>
          <w:tcPr/>
          <w:p>
            <w:pPr>
              <w:pStyle w:val="Compact"/>
            </w:pPr>
            <w:r>
              <w:t xml:space="preserve">7. BÃ³csa I. Breeding and seed production of monoecious hemp varieties (Cannabis sativa L.). *Journal of the International Hemp Association. 1994;2(2):78-81.</w:t>
            </w:r>
          </w:p>
        </w:tc>
      </w:tr>
      <w:tr>
        <w:tc>
          <w:tcPr/>
          <w:p>
            <w:pPr>
              <w:pStyle w:val="Compact"/>
            </w:pPr>
            <w:r>
              <w:t xml:space="preserve">8. Clarke RC, Merlin MD. Cannabis evolution and ethnobotany. *Critical Reviews in Plant Sciences. 2016;35:293-327. DOI: 10.1080/07352689.2016.1273010</w:t>
            </w:r>
          </w:p>
        </w:tc>
      </w:tr>
      <w:tr>
        <w:tc>
          <w:tcPr/>
          <w:p>
            <w:pPr>
              <w:pStyle w:val="Compact"/>
            </w:pPr>
            <w:r>
              <w:t xml:space="preserve">9. Zager JJ, Lange I, Srividya N, et al. Gene networks underlying cannabinoid and terpenoid accumulation in cannabis. *Plant Physiology. 2019;180(4):1877-1897. DOI: 10.1104/pp.18.01506.</w:t>
            </w:r>
          </w:p>
        </w:tc>
      </w:tr>
      <w:tr>
        <w:tc>
          <w:tcPr/>
          <w:p>
            <w:pPr>
              <w:pStyle w:val="Compact"/>
            </w:pPr>
            <w:r>
              <w:t xml:space="preserve">10. Stack GM, Toth JA, Carlson CH, et al. Season-long characterization of high-cannabinoid hemp (Cannabis sativa L.) reveals viable seed production and key physiological traits. *Horticulture Research. 2023;10(11):uhad188. DOI: 10.1093/hr/uhad188.</w:t>
            </w:r>
          </w:p>
        </w:tc>
      </w:tr>
      <w:tr>
        <w:tc>
          <w:tcPr/>
          <w:p>
            <w:pPr>
              <w:pStyle w:val="Compact"/>
            </w:pPr>
            <w:r>
              <w:t xml:space="preserve">11. Huestis MA, Henningfield JE, Cone EJ. Blood cannabinoids. I. Absorption of THC and formation of 11-OH-THC and THCCOOH during and after smoking marijuana. *Journal of Analytical Toxicology. 1992;16(5):276-282. PMID: 1338215</w:t>
            </w:r>
          </w:p>
        </w:tc>
      </w:tr>
      <w:tr>
        <w:tc>
          <w:tcPr/>
          <w:p>
            <w:pPr>
              <w:pStyle w:val="Compact"/>
            </w:pPr>
            <w:r>
              <w:t xml:space="preserve">12. Huestis MA. Human cannabinoid pharmacokinetics. *Chemistry &amp; Biodiversity. 2007;4(8):1770-1804. PMID: 17712819</w:t>
            </w:r>
          </w:p>
        </w:tc>
      </w:tr>
      <w:tr>
        <w:tc>
          <w:tcPr/>
          <w:p>
            <w:pPr>
              <w:pStyle w:val="Compact"/>
            </w:pPr>
            <w:r>
              <w:t xml:space="preserve">13. Sheehan TJ, Hecksel CW, Marquez SS, et al. Quantitative analysis of cannabinoids in Cannabis smoke condensate using liquid chromatography-electrospray ionization mass spectrometry. *Journal of Analytical Toxicology. 2019;43(4):307-313. PMID: 31304445</w:t>
            </w:r>
          </w:p>
        </w:tc>
      </w:tr>
      <w:tr>
        <w:tc>
          <w:tcPr/>
          <w:p>
            <w:pPr>
              <w:pStyle w:val="Compact"/>
            </w:pPr>
            <w:r>
              <w:t xml:space="preserve">14. Naef M, Russmann S, Petersen-Braun M, Brenneisen R. Development and pharmacokinetic characterization of pulmonary and intravenous delta-9-tetrahydrocannabinol (THC) in humans. *Journal of Pharmaceutical Sciences. 2004;93(5):1176-1184. PMID: 15067694</w:t>
            </w:r>
          </w:p>
        </w:tc>
      </w:tr>
      <w:tr>
        <w:tc>
          <w:tcPr/>
          <w:p>
            <w:pPr>
              <w:pStyle w:val="Compact"/>
            </w:pPr>
            <w:r>
              <w:t xml:space="preserve">15. Wall ME, Sadler BM, Brine D, Taylor H, Perez-Reyes M. Metabolism, disposition, and kinetics of delta-9-tetrahydrocannabinol in men and women. *Clinical Pharmacology &amp; Therapeutics. 1983;34(3):352-363. PMID: 6309462</w:t>
            </w:r>
          </w:p>
        </w:tc>
      </w:tr>
      <w:tr>
        <w:tc>
          <w:tcPr/>
          <w:p>
            <w:pPr>
              <w:pStyle w:val="Compact"/>
            </w:pPr>
            <w:r>
              <w:t xml:space="preserve">16. McGilveray IJ. Pharmacokinetics of cannabinoids.</w:t>
            </w:r>
            <w:r>
              <w:t xml:space="preserve"> </w:t>
            </w:r>
            <w:r>
              <w:rPr>
                <w:i/>
                <w:iCs/>
              </w:rPr>
              <w:t xml:space="preserve">Pain Research and Management. 2005;10 Suppl A:15A-22A. PMID: 16237477</w:t>
            </w:r>
            <w:r>
              <w:rPr>
                <w:i/>
                <w:iCs/>
              </w:rPr>
              <w:t xml:space="preserve"> </w:t>
            </w:r>
            <w:r>
              <w:rPr>
                <w:i/>
                <w:iCs/>
              </w:rPr>
              <w:t xml:space="preserve">17. Elzinga S, Fischedick J, Podkolinski R, Raber JC. Cannabinoids and terpenes as chemotaxonomic markers in cannabis.</w:t>
            </w:r>
            <w:r>
              <w:rPr>
                <w:i/>
                <w:iCs/>
              </w:rPr>
              <w:t xml:space="preserve"> </w:t>
            </w:r>
            <w:r>
              <w:t xml:space="preserve">Natural Products Chemistry &amp; Research. 2015;3:163. DOI: 10.4172/2329-6836.1000163.</w:t>
            </w:r>
          </w:p>
        </w:tc>
      </w:tr>
      <w:tr>
        <w:tc>
          <w:tcPr/>
          <w:p>
            <w:pPr>
              <w:pStyle w:val="Compact"/>
            </w:pPr>
            <w:r>
              <w:t xml:space="preserve">18. Brym ZT, Panter KL, Gomez-Martinez C, et al. Molecular identification of Cannabis cultivars. *Genetics. 2020;216(2):435-447. DOI: 10.1534/genetics.120.303511</w:t>
            </w:r>
          </w:p>
        </w:tc>
      </w:tr>
      <w:tr>
        <w:tc>
          <w:tcPr/>
          <w:p>
            <w:pPr>
              <w:pStyle w:val="Compact"/>
            </w:pPr>
            <w:r>
              <w:t xml:space="preserve">19. Grotenhermen F, Karus M. Industrial hemp contains enough THC to be detected by sensitive drug tests. *Journal of the International Hemp Association. 1998;5(2):96-101.</w:t>
            </w:r>
          </w:p>
        </w:tc>
      </w:tr>
      <w:tr>
        <w:tc>
          <w:tcPr/>
          <w:p>
            <w:pPr>
              <w:pStyle w:val="Compact"/>
            </w:pPr>
            <w:r>
              <w:t xml:space="preserve">20. Perez-Reyes M, Timmons MC, Lipton MA, et al. Intravenous injection in man of Î9-tetrahydrocannabinol and 11-OH-Î9-tetrahydrocannabinol. *Science. 1972;177(4046):633-635. PMID: 4625893</w:t>
            </w:r>
          </w:p>
        </w:tc>
      </w:tr>
      <w:tr>
        <w:tc>
          <w:tcPr/>
          <w:p>
            <w:pPr>
              <w:pStyle w:val="Compact"/>
            </w:pPr>
            <w:r>
              <w:t xml:space="preserve">## European Union Regulatory References</w:t>
            </w:r>
          </w:p>
        </w:tc>
      </w:tr>
      <w:tr>
        <w:tc>
          <w:tcPr/>
          <w:p>
            <w:pPr>
              <w:pStyle w:val="Compact"/>
            </w:pPr>
            <w:r>
              <w:t xml:space="preserve">21. European Commission. Proposal for a Regulation of the European Parliament and of the Council laying down the conditions for the implementation of Union support for the common agricultural policy for the period 2028-2034. COM(2025) 560 final. Brussels; 2025.</w:t>
            </w:r>
          </w:p>
        </w:tc>
      </w:tr>
      <w:tr>
        <w:tc>
          <w:tcPr/>
          <w:p>
            <w:pPr>
              <w:pStyle w:val="Compact"/>
            </w:pPr>
            <w:r>
              <w:t xml:space="preserve">22. European Commission. Proposal for a Regulation of the European Parliament and of the Council amending Regulation (EU) No 1308/2013 as regards the school fruit, vegetables and milk distribution scheme, sectoral interventions, the creation of a protein crop sector, requirements for hemp, the possibility to establish marketing standards for cheese, protein crops and meat, the application of additional import duties, rules on the availability of supplies in times of major emergencies and crises and guarantees. COM(2025) 553 final. Brussels; 2025.</w:t>
            </w:r>
          </w:p>
        </w:tc>
      </w:tr>
      <w:tr>
        <w:tc>
          <w:tcPr/>
          <w:p>
            <w:pPr>
              <w:pStyle w:val="Compact"/>
            </w:pPr>
            <w:r>
              <w:t xml:space="preserve">23. European Parliament. European Parliament Resolution of 10 September 2025 on the future of agriculture and common agricultural policy after 2027. P10_TA(2025)0189. Strasbourg; 2025.</w:t>
            </w:r>
          </w:p>
        </w:tc>
      </w:tr>
      <w:tr>
        <w:tc>
          <w:tcPr/>
          <w:p>
            <w:pPr>
              <w:pStyle w:val="Compact"/>
            </w:pPr>
            <w:r>
              <w:t xml:space="preserve">24. Commission Delegated Regulation (EU) 2017/1155 of 15 June 2017 supplementing Regulation (EU) No 1308/2013 of the European Parliament and of the Council as regards the method for determining the delta-9-tetrahydrocannabinol content of hemp varieties. *Official Journal of the European Union. 2017;L 167:24-26.</w:t>
            </w:r>
          </w:p>
        </w:tc>
      </w:tr>
      <w:tr>
        <w:tc>
          <w:tcPr/>
          <w:p>
            <w:pPr>
              <w:pStyle w:val="Compact"/>
            </w:pPr>
            <w:r>
              <w:t xml:space="preserve">Regulation (EU) No. 1308/2013 of the European Parliament and of the Council of 17 December 2013 establishing a common organization of the markets in agricultural products. *Official Journal of the European Union. 2013;L 347:671-854.</w:t>
            </w:r>
          </w:p>
        </w:tc>
      </w:tr>
      <w:tr>
        <w:tc>
          <w:tcPr/>
          <w:p>
            <w:pPr>
              <w:pStyle w:val="Compact"/>
            </w:pPr>
            <w:r>
              <w:t xml:space="preserve">26. regulation (EU) 2021/2115 of the European Parliament and of the Council of 2 December 2021 laying down rules in relation to support for the strategic plans to be drawn up by the Member States under the common agricultural policy.</w:t>
            </w:r>
            <w:r>
              <w:t xml:space="preserve"> </w:t>
            </w:r>
            <w:r>
              <w:rPr>
                <w:i/>
                <w:iCs/>
              </w:rPr>
              <w:t xml:space="preserve">Official Journal of the European Union</w:t>
            </w:r>
            <w:r>
              <w:t xml:space="preserve">. 2021;L 435:1-186.</w:t>
            </w:r>
          </w:p>
        </w:tc>
      </w:tr>
      <w:tr>
        <w:tc>
          <w:tcPr/>
          <w:p>
            <w:pPr>
              <w:pStyle w:val="Compact"/>
            </w:pPr>
            <w:r>
              <w:t xml:space="preserve">## Institutional References</w:t>
            </w:r>
          </w:p>
        </w:tc>
      </w:tr>
      <w:tr>
        <w:tc>
          <w:tcPr/>
          <w:p>
            <w:pPr>
              <w:pStyle w:val="Compact"/>
            </w:pPr>
            <w:r>
              <w:t xml:space="preserve">27. Congress of Deputies of Spain. ProposiciÃ³n no de Ley en ComisiÃ³n relativa a promover una regulaciÃ³n del cÃ¡Ã±amo con fines industriales y el cannabis no psicoactivo que proteja las personas cultivadoras, transformadoras, comercializadoras y usuarias. 161/004332. Madrid; January 25, 2023.</w:t>
            </w:r>
            <w:r>
              <w:t xml:space="preserve"> </w:t>
            </w:r>
            <w:r>
              <w:t xml:space="preserve">28. European Industrial Hemp Association (EIHA). Position Paper PAC 2028-2032: For a competitive European hemp sector. Brussels; 2025.</w:t>
            </w:r>
          </w:p>
        </w:tc>
      </w:tr>
      <w:tr>
        <w:tc>
          <w:tcPr/>
          <w:p>
            <w:pPr>
              <w:pStyle w:val="Compact"/>
            </w:pPr>
            <w:r>
              <w:t xml:space="preserve">29. National Institute of Toxicology and Forensic Sciences (INTF). Table of minimum psychoactive doses of the main toxic substances subject to drug trafficking. Madrid; updated 1 August 2021.</w:t>
            </w:r>
          </w:p>
        </w:tc>
      </w:tr>
      <w:tr>
        <w:tc>
          <w:tcPr/>
          <w:p>
            <w:pPr>
              <w:pStyle w:val="Compact"/>
            </w:pPr>
            <w:r>
              <w:t xml:space="preserve">30. Single Convention on Narcotic Drugs, 1961, as amended by the 1972 Protocol amending the Single Convention on Narcotic Drugs, 1961. United Nations; 1961.</w:t>
            </w:r>
          </w:p>
        </w:tc>
      </w:tr>
      <w:tr>
        <w:tc>
          <w:tcPr/>
          <w:p>
            <w:pPr>
              <w:pStyle w:val="Compact"/>
            </w:pPr>
            <w:r>
              <w:t xml:space="preserve">Treaty on the Functioning of the European Union (TFEU). *Official Journal of the European Union. 2012;C 326:47-390. Consolidated version.</w:t>
            </w:r>
          </w:p>
        </w:tc>
      </w:tr>
      <w:tr>
        <w:tc>
          <w:tcPr/>
          <w:p>
            <w:pPr>
              <w:pStyle w:val="Compact"/>
            </w:pPr>
            <w:r>
              <w:t xml:space="preserve">## International Documentation</w:t>
            </w:r>
          </w:p>
        </w:tc>
      </w:tr>
      <w:tr>
        <w:tc>
          <w:tcPr/>
          <w:p>
            <w:pPr>
              <w:pStyle w:val="Compact"/>
            </w:pPr>
            <w:r>
              <w:t xml:space="preserve">32. Swiss Federal Law on Narcotic Drugs (BetÃ¤ubungsmittelgesetz, BetmG). RS 812.121. Bern; version of 1 January 2011.</w:t>
            </w:r>
          </w:p>
        </w:tc>
      </w:tr>
      <w:tr>
        <w:tc>
          <w:tcPr/>
          <w:p>
            <w:pPr>
              <w:pStyle w:val="Compact"/>
            </w:pPr>
            <w:r>
              <w:t xml:space="preserve">33. Luxembourg Tobacco Control Act. Loi du 11 aoÃ»t 2017 relative Ã  la lutte antitabac et Ã  la vente de produits du tabac. Journal officiel du Grand-DuchÃ© de Luxembourg; 2017.</w:t>
            </w:r>
          </w:p>
        </w:tc>
      </w:tr>
      <w:tr>
        <w:tc>
          <w:tcPr/>
          <w:p>
            <w:pPr>
              <w:pStyle w:val="Compact"/>
            </w:pPr>
            <w:r>
              <w:t xml:space="preserve">34. Ministry of Livestock, Agriculture and Fisheries of Uruguay (MGAP). Procedure for exporting hemp flowers or biomass to the USA. Montevideo; December 2022.</w:t>
            </w:r>
          </w:p>
        </w:tc>
      </w:tr>
      <w:tr>
        <w:tc>
          <w:tcPr/>
          <w:p>
            <w:pPr>
              <w:pStyle w:val="Compact"/>
            </w:pPr>
            <w:r>
              <w:t xml:space="preserve">35. Health Canada. Information for Health Care Professionals: Cannabis (marijuana, marijuana) and the cannabinoids. Ottawa; 2013.</w:t>
            </w:r>
          </w:p>
        </w:tc>
      </w:tr>
      <w:tr>
        <w:tc>
          <w:tcPr/>
          <w:p>
            <w:pPr>
              <w:pStyle w:val="Compact"/>
            </w:pPr>
            <w:r>
              <w:t xml:space="preserve">36. World Health Organization (WHO). Cannabidiol (CBD): Critical Review Report. Geneva; Expert Committee on Drug Dependence; 2018.</w:t>
            </w:r>
          </w:p>
        </w:tc>
      </w:tr>
      <w:tr>
        <w:tc>
          <w:tcPr/>
          <w:p>
            <w:pPr>
              <w:pStyle w:val="Compact"/>
            </w:pPr>
            <w:r>
              <w:t xml:space="preserve">## Pharmacopoeia references</w:t>
            </w:r>
          </w:p>
        </w:tc>
      </w:tr>
      <w:tr>
        <w:tc>
          <w:tcPr/>
          <w:p>
            <w:pPr>
              <w:pStyle w:val="Compact"/>
            </w:pPr>
            <w:r>
              <w:t xml:space="preserve">37. European Pharmacopoeia. Cannabis flos. Monograph 3028. 10th ed. Strasbourg: European Directorate for the Quality of Medicines &amp; HealthCare; 2020.</w:t>
            </w:r>
          </w:p>
        </w:tc>
      </w:tr>
      <w:tr>
        <w:tc>
          <w:tcPr/>
          <w:p>
            <w:pPr>
              <w:pStyle w:val="Compact"/>
            </w:pPr>
            <w:r>
              <w:t xml:space="preserve">38. Deutsches Arzneibuch (DAB). Cannabis extractum normatum. Official monograph. Stuttgart: Deutscher Apotheker Verlag; 2020.</w:t>
            </w:r>
          </w:p>
        </w:tc>
      </w:tr>
    </w:tbl>
    <w:p>
      <w:pPr>
        <w:pStyle w:val="BodyText"/>
      </w:pPr>
      <w:r>
        <w:t xml:space="preserve">*This document compiles verified evidence from the AECANI/Cannabis Hub repository.</w:t>
      </w:r>
    </w:p>
    <w:p>
      <w:pPr>
        <w:pStyle w:val="BodyText"/>
      </w:pPr>
      <w:r>
        <w:t xml:space="preserve">Cannabis Hub - January 2026**</w:t>
      </w:r>
      <w:r>
        <w:t xml:space="preserve"> </w:t>
      </w:r>
      <w:r>
        <w:rPr>
          <w:b/>
          <w:bCs/>
        </w:rPr>
        <w:t xml:space="preserve">Cannabis Hub - January 2026</w:t>
      </w:r>
    </w:p>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
    <w:p>
      <w:pPr>
        <w:pStyle w:val="FootnoteText"/>
      </w:pPr>
      <w:r>
        <w:rPr>
          <w:rStyle w:val="FootnoteReference"/>
        </w:rPr>
        <w:footnoteRef/>
      </w:r>
      <w:r>
        <w:t xml:space="preserve"> </w:t>
      </w:r>
      <w:r>
        <w:t xml:space="preserve">EIHA,</w:t>
      </w:r>
      <w:r>
        <w:t xml:space="preserve"> </w:t>
      </w:r>
      <w:r>
        <w:rPr>
          <w:i/>
          <w:iCs/>
        </w:rPr>
        <w:t xml:space="preserve">Position Paper PAC 2028-2032</w:t>
      </w:r>
      <w:r>
        <w:t xml:space="preserve"> </w:t>
      </w:r>
      <w:r>
        <w:t xml:space="preserve">(2025):</w:t>
      </w:r>
      <w:r>
        <w:t xml:space="preserve"> </w:t>
      </w:r>
      <w:r>
        <w:t xml:space="preserve">“Concerns about the potential abuse of industrial hemp must be assessed realistically, not theoretically. Abuse liability is not determined by the mere presence of THC, but by whether intoxication is practically, technically, and economically feasible.”</w:t>
      </w:r>
    </w:p>
  </w:footnote>
  <w:footnote w:id="47">
    <w:p>
      <w:pPr>
        <w:pStyle w:val="FootnoteText"/>
      </w:pPr>
      <w:r>
        <w:rPr>
          <w:rStyle w:val="FootnoteReference"/>
        </w:rPr>
        <w:footnoteRef/>
      </w:r>
      <w:r>
        <w:t xml:space="preserve"> </w:t>
      </w:r>
      <w:r>
        <w:t xml:space="preserve">Grotenhermen &amp; Karus (1998); EIHA Position Paper (2025).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ec.europa.eu/commission/presscorner/detail/es/ip_26_363" TargetMode="External" /><Relationship Type="http://schemas.openxmlformats.org/officeDocument/2006/relationships/hyperlink" Id="rId30" Target="https://www.gmp-compliance.org/gmp-news/german-pharmacopoeia-monograph-for-cannabis-extracts" TargetMode="External" /><Relationship Type="http://schemas.openxmlformats.org/officeDocument/2006/relationships/hyperlink" Id="rId32" Target="https://www.gub.uy/ministerio-ganaderia-agricultura-pesca/sites/ministerio-ganaderia-agricultura-pesca/files/2022-12/Procedimiento%20para%20exportar%20flores%20o%20biomasa%20de%20c%C3%A1%C3%B1amo%20a%20EEUU%20Diciembre%202022.pdf" TargetMode="External" /></Relationships>
</file>

<file path=word/_rels/footnotes.xml.rels><?xml version="1.0" encoding="UTF-8"?><Relationships xmlns="http://schemas.openxmlformats.org/package/2006/relationships"><Relationship Type="http://schemas.openxmlformats.org/officeDocument/2006/relationships/hyperlink" Id="rId33" Target="https://ec.europa.eu/commission/presscorner/detail/es/ip_26_363" TargetMode="External" /><Relationship Type="http://schemas.openxmlformats.org/officeDocument/2006/relationships/hyperlink" Id="rId30" Target="https://www.gmp-compliance.org/gmp-news/german-pharmacopoeia-monograph-for-cannabis-extracts" TargetMode="External" /><Relationship Type="http://schemas.openxmlformats.org/officeDocument/2006/relationships/hyperlink" Id="rId32" Target="https://www.gub.uy/ministerio-ganaderia-agricultura-pesca/sites/ministerio-ganaderia-agricultura-pesca/files/2022-12/Procedimiento%20para%20exportar%20flores%20o%20biomasa%20de%20c%C3%A1%C3%B1amo%20a%20EEUU%20Diciembre%20202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2026-01-24T18:52:27Z</dcterms:created>
  <dcterms:modified xsi:type="dcterms:W3CDTF">2026-01-24T18:52:27Z</dcterms:modified>
</cp:coreProperties>
</file>

<file path=docProps/custom.xml><?xml version="1.0" encoding="utf-8"?>
<Properties xmlns="http://schemas.openxmlformats.org/officeDocument/2006/custom-properties" xmlns:vt="http://schemas.openxmlformats.org/officeDocument/2006/docPropsVTypes"/>
</file>