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osition-paper"/>
    <w:p>
      <w:pPr>
        <w:pStyle w:val="Heading1"/>
      </w:pPr>
      <w:r>
        <w:t xml:space="preserve">POSITION PAPER</w:t>
      </w:r>
    </w:p>
    <w:bookmarkStart w:id="10" w:name="X66a494432ae5a7bba20dae3e2ec51d2a611517d"/>
    <w:p>
      <w:pPr>
        <w:pStyle w:val="Heading2"/>
      </w:pPr>
      <w:r>
        <w:t xml:space="preserve">Propuesta del sector del cáñamo para la PAC 2028–2034:</w:t>
      </w:r>
    </w:p>
    <w:bookmarkStart w:id="9" w:name="X4e21c70344a2a2158a17670617d1c767a95c163"/>
    <w:p>
      <w:pPr>
        <w:pStyle w:val="Heading3"/>
      </w:pPr>
      <w:r>
        <w:t xml:space="preserve">Alineación con estándares internacionales de THC</w:t>
      </w:r>
    </w:p>
    <w:p>
      <w:pPr>
        <w:pStyle w:val="FirstParagraph"/>
      </w:pPr>
      <w:r>
        <w:rPr>
          <w:b/>
          <w:bCs/>
        </w:rPr>
        <w:t xml:space="preserve">Cannabis Hub — Enero 2026</w:t>
      </w:r>
    </w:p>
    <w:p>
      <w:r>
        <w:pict>
          <v:rect style="width:0;height:1.5pt" o:hralign="center" o:hrstd="t" o:hr="t"/>
        </w:pict>
      </w:r>
    </w:p>
    <w:bookmarkEnd w:id="9"/>
    <w:bookmarkEnd w:id="10"/>
    <w:bookmarkStart w:id="11" w:name="executive-summary"/>
    <w:p>
      <w:pPr>
        <w:pStyle w:val="Heading2"/>
      </w:pPr>
      <w:r>
        <w:t xml:space="preserve">Executive Summary</w:t>
      </w:r>
    </w:p>
    <w:p>
      <w:pPr>
        <w:pStyle w:val="FirstParagraph"/>
      </w:pPr>
      <w:r>
        <w:t xml:space="preserve">La Comisión Europea ha propuesto la nueva PAC 2028–2034 (COM(2025) 560) y la revisión de la OCM (COM(2025) 553), donde aparecen</w:t>
      </w:r>
      <w:r>
        <w:t xml:space="preserve"> </w:t>
      </w:r>
      <w:r>
        <w:rPr>
          <w:b/>
          <w:bCs/>
        </w:rPr>
        <w:t xml:space="preserve">mejoras significativas</w:t>
      </w:r>
      <w:r>
        <w:t xml:space="preserve"> </w:t>
      </w:r>
      <w:r>
        <w:t xml:space="preserve">para el sector del cáñamo industrial. Más allá, el Parlamento Europeo se ha pronunciado también para fortalecer el marco regulatorio del cáñamo y ayudar a este cultivo dadas sus</w:t>
      </w:r>
      <w:r>
        <w:t xml:space="preserve"> </w:t>
      </w:r>
      <w:r>
        <w:rPr>
          <w:b/>
          <w:bCs/>
        </w:rPr>
        <w:t xml:space="preserve">ventajas medioambientales, económicas y sociales</w:t>
      </w:r>
      <w:r>
        <w:t xml:space="preserve">.</w:t>
      </w:r>
    </w:p>
    <w:p>
      <w:pPr>
        <w:pStyle w:val="BodyText"/>
      </w:pPr>
      <w:r>
        <w:t xml:space="preserve">El sector europeo y español del cáñamo</w:t>
      </w:r>
      <w:r>
        <w:t xml:space="preserve"> </w:t>
      </w:r>
      <w:r>
        <w:rPr>
          <w:b/>
          <w:bCs/>
        </w:rPr>
        <w:t xml:space="preserve">celebra</w:t>
      </w:r>
      <w:r>
        <w:t xml:space="preserve"> </w:t>
      </w:r>
      <w:r>
        <w:t xml:space="preserve">esta voluntad de mejora, así como el reconocimiento por parte del Parlamento Europeo de la necesidad de superar criterios regulatorios que han quedado obsoletos. Para alinearse efectivamente con los estándares internacionales —como el propio Parlamento ha expresado—, solicitamos el establecimiento de un</w:t>
      </w:r>
      <w:r>
        <w:t xml:space="preserve"> </w:t>
      </w:r>
      <w:r>
        <w:rPr>
          <w:b/>
          <w:bCs/>
        </w:rPr>
        <w:t xml:space="preserve">nuevo umbral armonizado de THC</w:t>
      </w:r>
      <w:r>
        <w:t xml:space="preserve"> </w:t>
      </w:r>
      <w:r>
        <w:t xml:space="preserve">a nivel de la Unión.</w:t>
      </w:r>
    </w:p>
    <w:p>
      <w:pPr>
        <w:pStyle w:val="BodyText"/>
      </w:pPr>
      <w:r>
        <w:t xml:space="preserve">Cannabis Hub propone este umbral para el cáñamo industrial en línea con la decisión de la Comisión de Agricultura del Congreso de los Diputados (PNL 161/004332, enero 2023), que estableció la necesidad de alinear España con los estándares internacionales, fijando el límite seguro en un</w:t>
      </w:r>
      <w:r>
        <w:t xml:space="preserve"> </w:t>
      </w:r>
      <w:r>
        <w:rPr>
          <w:b/>
          <w:bCs/>
        </w:rPr>
        <w:t xml:space="preserve">1% de THC</w:t>
      </w:r>
      <w:r>
        <w:t xml:space="preserve">.</w:t>
      </w:r>
    </w:p>
    <w:p>
      <w:pPr>
        <w:pStyle w:val="BodyText"/>
      </w:pPr>
      <w:r>
        <w:t xml:space="preserve">Estas medidas son</w:t>
      </w:r>
      <w:r>
        <w:t xml:space="preserve"> </w:t>
      </w:r>
      <w:r>
        <w:rPr>
          <w:b/>
          <w:bCs/>
        </w:rPr>
        <w:t xml:space="preserve">jurídicamente sólidas</w:t>
      </w:r>
      <w:r>
        <w:t xml:space="preserve">,</w:t>
      </w:r>
      <w:r>
        <w:t xml:space="preserve"> </w:t>
      </w:r>
      <w:r>
        <w:rPr>
          <w:b/>
          <w:bCs/>
        </w:rPr>
        <w:t xml:space="preserve">científicamente justificadas</w:t>
      </w:r>
      <w:r>
        <w:t xml:space="preserve">,</w:t>
      </w:r>
      <w:r>
        <w:t xml:space="preserve"> </w:t>
      </w:r>
      <w:r>
        <w:rPr>
          <w:b/>
          <w:bCs/>
        </w:rPr>
        <w:t xml:space="preserve">proporcionadas</w:t>
      </w:r>
      <w:r>
        <w:t xml:space="preserve"> </w:t>
      </w:r>
      <w:r>
        <w:t xml:space="preserve">y</w:t>
      </w:r>
      <w:r>
        <w:t xml:space="preserve"> </w:t>
      </w:r>
      <w:r>
        <w:rPr>
          <w:b/>
          <w:bCs/>
        </w:rPr>
        <w:t xml:space="preserve">complementarias</w:t>
      </w:r>
      <w:r>
        <w:t xml:space="preserve">.</w:t>
      </w:r>
    </w:p>
    <w:p>
      <w:pPr>
        <w:pStyle w:val="BodyText"/>
      </w:pPr>
      <w:r>
        <w:t xml:space="preserve">Un umbral armonizado alineado con estándares internacionales</w:t>
      </w:r>
      <w:r>
        <w:t xml:space="preserve"> </w:t>
      </w:r>
      <w:r>
        <w:rPr>
          <w:b/>
          <w:bCs/>
        </w:rPr>
        <w:t xml:space="preserve">fortalecería el mercado interior</w:t>
      </w:r>
      <w:r>
        <w:t xml:space="preserve">,</w:t>
      </w:r>
      <w:r>
        <w:t xml:space="preserve"> </w:t>
      </w:r>
      <w:r>
        <w:rPr>
          <w:b/>
          <w:bCs/>
        </w:rPr>
        <w:t xml:space="preserve">garantizaría seguridad jurídica</w:t>
      </w:r>
      <w:r>
        <w:t xml:space="preserve"> </w:t>
      </w:r>
      <w:r>
        <w:t xml:space="preserve">a agricultores y obtentores,</w:t>
      </w:r>
      <w:r>
        <w:t xml:space="preserve"> </w:t>
      </w:r>
      <w:r>
        <w:rPr>
          <w:b/>
          <w:bCs/>
        </w:rPr>
        <w:t xml:space="preserve">restauraría la competitividad</w:t>
      </w:r>
      <w:r>
        <w:t xml:space="preserve"> </w:t>
      </w:r>
      <w:r>
        <w:t xml:space="preserve">frente a productores globales y</w:t>
      </w:r>
      <w:r>
        <w:t xml:space="preserve"> </w:t>
      </w:r>
      <w:r>
        <w:rPr>
          <w:b/>
          <w:bCs/>
        </w:rPr>
        <w:t xml:space="preserve">reflejaría las realidades agronómicas y climáticas</w:t>
      </w:r>
      <w:r>
        <w:t xml:space="preserve">, sin riesgo de abuso ni daño a la salud pública.</w:t>
      </w:r>
    </w:p>
    <w:p>
      <w:r>
        <w:pict>
          <v:rect style="width:0;height:1.5pt" o:hralign="center" o:hrstd="t" o:hr="t"/>
        </w:pict>
      </w:r>
    </w:p>
    <w:bookmarkEnd w:id="11"/>
    <w:bookmarkStart w:id="12" w:name="índice-detallado"/>
    <w:p>
      <w:pPr>
        <w:pStyle w:val="Heading2"/>
      </w:pPr>
      <w:r>
        <w:t xml:space="preserve">Índice detallado</w:t>
      </w:r>
    </w:p>
    <w:p>
      <w:pPr>
        <w:pStyle w:val="Compact"/>
        <w:numPr>
          <w:ilvl w:val="0"/>
          <w:numId w:val="1001"/>
        </w:numPr>
      </w:pPr>
      <w:hyperlink w:anchor="Xb7cc035336e5a378c269783be014e50029d2f81">
        <w:r>
          <w:rPr>
            <w:rStyle w:val="Hyperlink"/>
          </w:rPr>
          <w:t xml:space="preserve">Momentum Institucional</w:t>
        </w:r>
      </w:hyperlink>
    </w:p>
    <w:p>
      <w:pPr>
        <w:pStyle w:val="Compact"/>
        <w:numPr>
          <w:ilvl w:val="1"/>
          <w:numId w:val="1002"/>
        </w:numPr>
      </w:pPr>
      <w:r>
        <w:t xml:space="preserve">1.1</w:t>
      </w:r>
      <w:r>
        <w:t xml:space="preserve"> </w:t>
      </w:r>
      <w:hyperlink w:anchor="X67d1a639b153d89b66ad408890fced18a7ec0d6">
        <w:r>
          <w:rPr>
            <w:rStyle w:val="Hyperlink"/>
          </w:rPr>
          <w:t xml:space="preserve">La reforma de la nueva PAC/OCM y el cáñamo industrial</w:t>
        </w:r>
      </w:hyperlink>
    </w:p>
    <w:p>
      <w:pPr>
        <w:pStyle w:val="Compact"/>
        <w:numPr>
          <w:ilvl w:val="1"/>
          <w:numId w:val="1002"/>
        </w:numPr>
      </w:pPr>
      <w:r>
        <w:t xml:space="preserve">1.2</w:t>
      </w:r>
      <w:r>
        <w:t xml:space="preserve"> </w:t>
      </w:r>
      <w:hyperlink w:anchor="X033a78088ebffa060630eb344bf5b0a0c28d19e">
        <w:r>
          <w:rPr>
            <w:rStyle w:val="Hyperlink"/>
          </w:rPr>
          <w:t xml:space="preserve">El cambio crítico: de elegibilidad a barrera comercial</w:t>
        </w:r>
      </w:hyperlink>
    </w:p>
    <w:p>
      <w:pPr>
        <w:pStyle w:val="Compact"/>
        <w:numPr>
          <w:ilvl w:val="1"/>
          <w:numId w:val="1002"/>
        </w:numPr>
      </w:pPr>
      <w:r>
        <w:t xml:space="preserve">1.3</w:t>
      </w:r>
      <w:r>
        <w:t xml:space="preserve"> </w:t>
      </w:r>
      <w:hyperlink w:anchor="Xa9b6972e7b3a57009485f605d8e53ddcbcf55ed">
        <w:r>
          <w:rPr>
            <w:rStyle w:val="Hyperlink"/>
          </w:rPr>
          <w:t xml:space="preserve">Mandato del Congreso de los Diputados: España ya pidió el 1%</w:t>
        </w:r>
      </w:hyperlink>
    </w:p>
    <w:p>
      <w:pPr>
        <w:pStyle w:val="Compact"/>
        <w:numPr>
          <w:ilvl w:val="1"/>
          <w:numId w:val="1002"/>
        </w:numPr>
      </w:pPr>
      <w:r>
        <w:t xml:space="preserve">1.4</w:t>
      </w:r>
      <w:r>
        <w:t xml:space="preserve"> </w:t>
      </w:r>
      <w:hyperlink w:anchor="Xed1383d27bb5d9c8068c9e1394484d6ca407e73">
        <w:r>
          <w:rPr>
            <w:rStyle w:val="Hyperlink"/>
          </w:rPr>
          <w:t xml:space="preserve">Posición del Parlamento Europeo (septiembre 2025)</w:t>
        </w:r>
      </w:hyperlink>
    </w:p>
    <w:p>
      <w:pPr>
        <w:pStyle w:val="Compact"/>
        <w:numPr>
          <w:ilvl w:val="0"/>
          <w:numId w:val="1001"/>
        </w:numPr>
      </w:pPr>
      <w:hyperlink w:anchor="X68e299f9b374e79a200c975e059823b59e9e750">
        <w:r>
          <w:rPr>
            <w:rStyle w:val="Hyperlink"/>
          </w:rPr>
          <w:t xml:space="preserve">Justificación del umbral propuesto</w:t>
        </w:r>
      </w:hyperlink>
    </w:p>
    <w:p>
      <w:pPr>
        <w:pStyle w:val="Compact"/>
        <w:numPr>
          <w:ilvl w:val="1"/>
          <w:numId w:val="1003"/>
        </w:numPr>
      </w:pPr>
      <w:r>
        <w:t xml:space="preserve">2.0</w:t>
      </w:r>
      <w:r>
        <w:t xml:space="preserve"> </w:t>
      </w:r>
      <w:hyperlink w:anchor="X266f41425f113775017bc9c223c0d8f27cbc25f">
        <w:r>
          <w:rPr>
            <w:rStyle w:val="Hyperlink"/>
          </w:rPr>
          <w:t xml:space="preserve">Marco: Una convergencia de argumentos</w:t>
        </w:r>
      </w:hyperlink>
    </w:p>
    <w:p>
      <w:pPr>
        <w:pStyle w:val="Compact"/>
        <w:numPr>
          <w:ilvl w:val="1"/>
          <w:numId w:val="1003"/>
        </w:numPr>
      </w:pPr>
      <w:r>
        <w:t xml:space="preserve">2.1</w:t>
      </w:r>
      <w:r>
        <w:t xml:space="preserve"> </w:t>
      </w:r>
      <w:hyperlink w:anchor="Xe3b656245373e0973f20198da0bd574abf244e8">
        <w:r>
          <w:rPr>
            <w:rStyle w:val="Hyperlink"/>
          </w:rPr>
          <w:t xml:space="preserve">Argumento histórico: Refutación del 0,3%</w:t>
        </w:r>
      </w:hyperlink>
    </w:p>
    <w:p>
      <w:pPr>
        <w:pStyle w:val="Compact"/>
        <w:numPr>
          <w:ilvl w:val="1"/>
          <w:numId w:val="1003"/>
        </w:numPr>
      </w:pPr>
      <w:r>
        <w:t xml:space="preserve">2.2</w:t>
      </w:r>
      <w:r>
        <w:t xml:space="preserve"> </w:t>
      </w:r>
      <w:hyperlink w:anchor="X77231444f48546ac438ab6f42ce4967d7b72a2d">
        <w:r>
          <w:rPr>
            <w:rStyle w:val="Hyperlink"/>
          </w:rPr>
          <w:t xml:space="preserve">Argumento científico-ambiental: Rendimiento y clima</w:t>
        </w:r>
      </w:hyperlink>
    </w:p>
    <w:p>
      <w:pPr>
        <w:pStyle w:val="Compact"/>
        <w:numPr>
          <w:ilvl w:val="1"/>
          <w:numId w:val="1003"/>
        </w:numPr>
      </w:pPr>
      <w:r>
        <w:t xml:space="preserve">2.3</w:t>
      </w:r>
      <w:r>
        <w:t xml:space="preserve"> </w:t>
      </w:r>
      <w:hyperlink w:anchor="X09ab6ef02c2730da5e8c3f094be2a2738014039">
        <w:r>
          <w:rPr>
            <w:rStyle w:val="Hyperlink"/>
          </w:rPr>
          <w:t xml:space="preserve">Argumento político-económico: Competitividad internacional</w:t>
        </w:r>
      </w:hyperlink>
    </w:p>
    <w:p>
      <w:pPr>
        <w:pStyle w:val="Compact"/>
        <w:numPr>
          <w:ilvl w:val="1"/>
          <w:numId w:val="1003"/>
        </w:numPr>
      </w:pPr>
      <w:r>
        <w:t xml:space="preserve">2.4</w:t>
      </w:r>
      <w:r>
        <w:t xml:space="preserve"> </w:t>
      </w:r>
      <w:hyperlink w:anchor="Xeafa7a2626b6ca8a6c50d6115c932314d2369c2">
        <w:r>
          <w:rPr>
            <w:rStyle w:val="Hyperlink"/>
          </w:rPr>
          <w:t xml:space="preserve">Argumento social: Seguridad y salud pública</w:t>
        </w:r>
      </w:hyperlink>
    </w:p>
    <w:p>
      <w:pPr>
        <w:pStyle w:val="Compact"/>
        <w:numPr>
          <w:ilvl w:val="2"/>
          <w:numId w:val="1004"/>
        </w:numPr>
      </w:pPr>
      <w:r>
        <w:t xml:space="preserve">2.4.0 Marco de evaluación: realismo frente a teoría</w:t>
      </w:r>
    </w:p>
    <w:p>
      <w:pPr>
        <w:pStyle w:val="Compact"/>
        <w:numPr>
          <w:ilvl w:val="2"/>
          <w:numId w:val="1004"/>
        </w:numPr>
      </w:pPr>
      <w:r>
        <w:t xml:space="preserve">2.4.1 Qué regula este umbral</w:t>
      </w:r>
    </w:p>
    <w:p>
      <w:pPr>
        <w:pStyle w:val="Compact"/>
        <w:numPr>
          <w:ilvl w:val="2"/>
          <w:numId w:val="1004"/>
        </w:numPr>
      </w:pPr>
      <w:r>
        <w:t xml:space="preserve">2.4.2 Escenarios teóricos de abuso: por qué no son realistas</w:t>
      </w:r>
    </w:p>
    <w:p>
      <w:pPr>
        <w:pStyle w:val="Compact"/>
        <w:numPr>
          <w:ilvl w:val="2"/>
          <w:numId w:val="1004"/>
        </w:numPr>
      </w:pPr>
      <w:r>
        <w:t xml:space="preserve">2.4.3 Efectos moduladores y factores adicionales</w:t>
      </w:r>
    </w:p>
    <w:p>
      <w:pPr>
        <w:pStyle w:val="Compact"/>
        <w:numPr>
          <w:ilvl w:val="2"/>
          <w:numId w:val="1004"/>
        </w:numPr>
      </w:pPr>
      <w:r>
        <w:t xml:space="preserve">2.4.4 Conclusión de seguridad</w:t>
      </w:r>
    </w:p>
    <w:p>
      <w:pPr>
        <w:pStyle w:val="Compact"/>
        <w:numPr>
          <w:ilvl w:val="2"/>
          <w:numId w:val="1004"/>
        </w:numPr>
      </w:pPr>
      <w:r>
        <w:t xml:space="preserve">2.4.5 Precedente europeo: más de una década de venta sin incidentes</w:t>
      </w:r>
    </w:p>
    <w:p>
      <w:pPr>
        <w:pStyle w:val="Compact"/>
        <w:numPr>
          <w:ilvl w:val="0"/>
          <w:numId w:val="1001"/>
        </w:numPr>
      </w:pPr>
      <w:hyperlink w:anchor="Xf55baa4aa56dcd130da92e0d6cbf273d432aaea">
        <w:r>
          <w:rPr>
            <w:rStyle w:val="Hyperlink"/>
          </w:rPr>
          <w:t xml:space="preserve">Conclusión y Propuesta de Enmienda</w:t>
        </w:r>
      </w:hyperlink>
    </w:p>
    <w:p>
      <w:pPr>
        <w:pStyle w:val="Compact"/>
        <w:numPr>
          <w:ilvl w:val="0"/>
          <w:numId w:val="1001"/>
        </w:numPr>
      </w:pPr>
      <w:hyperlink w:anchor="Xca71c2b31cb97abe3a19df58c567ff5ef920fe6">
        <w:r>
          <w:rPr>
            <w:rStyle w:val="Hyperlink"/>
          </w:rPr>
          <w:t xml:space="preserve">Anexo A: Metodología farmacocinética</w:t>
        </w:r>
      </w:hyperlink>
    </w:p>
    <w:p>
      <w:r>
        <w:pict>
          <v:rect style="width:0;height:1.5pt" o:hralign="center" o:hrstd="t" o:hr="t"/>
        </w:pict>
      </w:r>
    </w:p>
    <w:bookmarkEnd w:id="12"/>
    <w:bookmarkEnd w:id="13"/>
    <w:bookmarkStart w:id="19" w:name="momentum-institucional"/>
    <w:p>
      <w:pPr>
        <w:pStyle w:val="Heading1"/>
      </w:pPr>
      <w:r>
        <w:t xml:space="preserve">1. MOMENTUM INSTITUCIONAL</w:t>
      </w:r>
    </w:p>
    <w:bookmarkStart w:id="14" w:name="X3eaeec8976abc636bbd17c301f63b14dc084b17"/>
    <w:p>
      <w:pPr>
        <w:pStyle w:val="Heading2"/>
      </w:pPr>
      <w:r>
        <w:t xml:space="preserve">1.1 La reforma de la nueva PAC/OCM y el cáñamo industrial</w:t>
      </w:r>
    </w:p>
    <w:p>
      <w:pPr>
        <w:pStyle w:val="FirstParagraph"/>
      </w:pPr>
      <w:r>
        <w:t xml:space="preserve">El debate sobre el cultivo del cáñamo y el aprovechamiento de todas sus partes es</w:t>
      </w:r>
      <w:r>
        <w:t xml:space="preserve"> </w:t>
      </w:r>
      <w:r>
        <w:rPr>
          <w:b/>
          <w:bCs/>
        </w:rPr>
        <w:t xml:space="preserve">latente en Europa</w:t>
      </w:r>
      <w:r>
        <w:t xml:space="preserve">.</w:t>
      </w:r>
    </w:p>
    <w:p>
      <w:pPr>
        <w:pStyle w:val="BodyText"/>
      </w:pPr>
      <w:r>
        <w:t xml:space="preserve">El caso paradigmático fue</w:t>
      </w:r>
      <w:r>
        <w:t xml:space="preserve"> </w:t>
      </w:r>
      <w:r>
        <w:rPr>
          <w:b/>
          <w:bCs/>
        </w:rPr>
        <w:t xml:space="preserve">Francia contra Kanavape</w:t>
      </w:r>
      <w:r>
        <w:t xml:space="preserve">. Las autoridades francesas procesaron a los distribuidores de un producto de CBD argumentando que, al proceder de flores, constituía un estupefaciente. El Tribunal de Justicia de la UE resolvió la cuestión en el asunto</w:t>
      </w:r>
      <w:r>
        <w:t xml:space="preserve"> </w:t>
      </w:r>
      <w:r>
        <w:rPr>
          <w:b/>
          <w:bCs/>
        </w:rPr>
        <w:t xml:space="preserve">C-663/18</w:t>
      </w:r>
      <w:r>
        <w:t xml:space="preserve">: el CBD extraído de la planta entera de cáñamo, incluidas las flores,</w:t>
      </w:r>
      <w:r>
        <w:t xml:space="preserve"> </w:t>
      </w:r>
      <w:r>
        <w:rPr>
          <w:b/>
          <w:bCs/>
        </w:rPr>
        <w:t xml:space="preserve">no es un estupefaciente</w:t>
      </w:r>
      <w:r>
        <w:t xml:space="preserve"> </w:t>
      </w:r>
      <w:r>
        <w:t xml:space="preserve">según el Derecho de la Unión, siempre que no produzca efectos psicoactivos. La Convención de 1961, interpretada a la luz de su finalidad,</w:t>
      </w:r>
      <w:r>
        <w:t xml:space="preserve"> </w:t>
      </w:r>
      <w:r>
        <w:rPr>
          <w:b/>
          <w:bCs/>
        </w:rPr>
        <w:t xml:space="preserve">no fiscaliza</w:t>
      </w:r>
      <w:r>
        <w:t xml:space="preserve"> </w:t>
      </w:r>
      <w:r>
        <w:t xml:space="preserve">los productos de cannabis destinados a usos no narcóticos —principio que el TJUE confirmó como aplicable a todas las partes de la planta.</w:t>
      </w:r>
    </w:p>
    <w:p>
      <w:pPr>
        <w:pStyle w:val="BodyText"/>
      </w:pPr>
      <w:r>
        <w:t xml:space="preserve">A raíz de esta sentencia,</w:t>
      </w:r>
      <w:r>
        <w:t xml:space="preserve"> </w:t>
      </w:r>
      <w:r>
        <w:rPr>
          <w:b/>
          <w:bCs/>
        </w:rPr>
        <w:t xml:space="preserve">Francia modificó su legislación</w:t>
      </w:r>
      <w:r>
        <w:t xml:space="preserve"> </w:t>
      </w:r>
      <w:r>
        <w:t xml:space="preserve">para permitir el cultivo de cáñamo destinado a flores y la extracción de CBD, alineándose con el resto de la Unión.</w:t>
      </w:r>
    </w:p>
    <w:p>
      <w:pPr>
        <w:pStyle w:val="BodyText"/>
      </w:pPr>
      <w:r>
        <w:t xml:space="preserve">La nueva propuesta de OCM (COM(2025) 553)</w:t>
      </w:r>
      <w:r>
        <w:t xml:space="preserve"> </w:t>
      </w:r>
      <w:r>
        <w:rPr>
          <w:b/>
          <w:bCs/>
        </w:rPr>
        <w:t xml:space="preserve">codifica esta realidad</w:t>
      </w:r>
      <w:r>
        <w:t xml:space="preserve"> </w:t>
      </w:r>
      <w:r>
        <w:t xml:space="preserve">al incluir por primera vez el código NC 1211 90 86 (</w:t>
      </w:r>
      <w:r>
        <w:t xml:space="preserve">“las demás partes de la planta de cáñamo”</w:t>
      </w:r>
      <w:r>
        <w:t xml:space="preserve">), habilitando flores y biomasa para el mercado interior europeo. Este es un avance significativo que el sector celebra.</w:t>
      </w:r>
    </w:p>
    <w:p>
      <w:r>
        <w:pict>
          <v:rect style="width:0;height:1.5pt" o:hralign="center" o:hrstd="t" o:hr="t"/>
        </w:pict>
      </w:r>
    </w:p>
    <w:bookmarkEnd w:id="14"/>
    <w:bookmarkStart w:id="16" w:name="X02ccdd922d7b09d46f3f6a17e56addce1beab9a"/>
    <w:p>
      <w:pPr>
        <w:pStyle w:val="Heading2"/>
      </w:pPr>
      <w:r>
        <w:t xml:space="preserve">1.2 El cambio crítico: de elegibilidad a barrera comercial</w:t>
      </w:r>
    </w:p>
    <w:p>
      <w:pPr>
        <w:pStyle w:val="FirstParagraph"/>
      </w:pPr>
      <w:r>
        <w:rPr>
          <w:b/>
          <w:bCs/>
        </w:rPr>
        <w:t xml:space="preserve">Sin embargo, la propuesta introduce un elemento que requiere atención urgente.</w:t>
      </w:r>
    </w:p>
    <w:p>
      <w:pPr>
        <w:pStyle w:val="BodyText"/>
      </w:pPr>
      <w:r>
        <w:t xml:space="preserve">Mientras la PAC anterior establecía que las variedades con más de 0,3% THC simplemente no eran aptas para subvenciones,</w:t>
      </w:r>
      <w:r>
        <w:t xml:space="preserve"> </w:t>
      </w:r>
      <w:r>
        <w:rPr>
          <w:b/>
          <w:bCs/>
        </w:rPr>
        <w:t xml:space="preserve">la nueva OCM prohíbe expresamente su comercialización</w:t>
      </w:r>
      <w:r>
        <w:t xml:space="preserve"> </w:t>
      </w:r>
      <w:r>
        <w:t xml:space="preserve">en el mercado interior (Arts. 147 ter, 147 quater y 189).</w:t>
      </w:r>
    </w:p>
    <w:tbl>
      <w:tblPr>
        <w:tblStyle w:val="Table"/>
        <w:tblW w:type="pct" w:w="5000"/>
        <w:tblLayout w:type="fixed"/>
        <w:tblLook w:firstRow="1" w:lastRow="0" w:firstColumn="0" w:lastColumn="0" w:noHBand="0" w:noVBand="0" w:val="0020"/>
      </w:tblPr>
      <w:tblGrid>
        <w:gridCol w:w="2786"/>
        <w:gridCol w:w="5133"/>
      </w:tblGrid>
      <w:tr>
        <w:trPr>
          <w:tblHeader w:val="on"/>
        </w:trPr>
        <w:tc>
          <w:tcPr/>
          <w:p>
            <w:pPr>
              <w:pStyle w:val="Compact"/>
            </w:pPr>
            <w:r>
              <w:t xml:space="preserve">Marco regulatorio</w:t>
            </w:r>
          </w:p>
        </w:tc>
        <w:tc>
          <w:tcPr/>
          <w:p>
            <w:pPr>
              <w:pStyle w:val="Compact"/>
            </w:pPr>
            <w:r>
              <w:t xml:space="preserve">Efecto de superar el umbral de THC</w:t>
            </w:r>
          </w:p>
        </w:tc>
      </w:tr>
      <w:tr>
        <w:tc>
          <w:tcPr/>
          <w:p>
            <w:pPr>
              <w:pStyle w:val="Compact"/>
            </w:pPr>
            <w:r>
              <w:rPr>
                <w:b/>
                <w:bCs/>
              </w:rPr>
              <w:t xml:space="preserve">PAC anterior</w:t>
            </w:r>
          </w:p>
        </w:tc>
        <w:tc>
          <w:tcPr/>
          <w:p>
            <w:pPr>
              <w:pStyle w:val="Compact"/>
            </w:pPr>
            <w:r>
              <w:t xml:space="preserve">No elegible para ayudas PAC</w:t>
            </w:r>
          </w:p>
        </w:tc>
      </w:tr>
      <w:tr>
        <w:tc>
          <w:tcPr/>
          <w:p>
            <w:pPr>
              <w:pStyle w:val="Compact"/>
            </w:pPr>
            <w:r>
              <w:rPr>
                <w:b/>
                <w:bCs/>
              </w:rPr>
              <w:t xml:space="preserve">Nueva OCM propuesta</w:t>
            </w:r>
          </w:p>
        </w:tc>
        <w:tc>
          <w:tcPr/>
          <w:p>
            <w:pPr>
              <w:pStyle w:val="Compact"/>
            </w:pPr>
            <w:r>
              <w:rPr>
                <w:b/>
                <w:bCs/>
              </w:rPr>
              <w:t xml:space="preserve">Prohibida la producción, comercialización e importación</w:t>
            </w:r>
          </w:p>
        </w:tc>
      </w:tr>
    </w:tbl>
    <w:p>
      <w:pPr>
        <w:pStyle w:val="BodyText"/>
      </w:pPr>
      <w:r>
        <w:t xml:space="preserve">El umbral de THC pasa de ser un criterio de elegibilidad para ayudas a convertirse en una</w:t>
      </w:r>
      <w:r>
        <w:t xml:space="preserve"> </w:t>
      </w:r>
      <w:r>
        <w:rPr>
          <w:b/>
          <w:bCs/>
        </w:rPr>
        <w:t xml:space="preserve">barrera de acceso al mercado interior</w:t>
      </w:r>
      <w:r>
        <w:t xml:space="preserve">.</w:t>
      </w:r>
    </w:p>
    <w:bookmarkStart w:id="15" w:name="Xe78ee1d0dfa5c2f302c593667ebb104a7537a83"/>
    <w:p>
      <w:pPr>
        <w:pStyle w:val="Heading3"/>
      </w:pPr>
      <w:r>
        <w:t xml:space="preserve">Una realidad comercial que no puede ignorarse</w:t>
      </w:r>
    </w:p>
    <w:p>
      <w:pPr>
        <w:pStyle w:val="FirstParagraph"/>
      </w:pPr>
      <w:r>
        <w:t xml:space="preserve">El cáñamo industrial,</w:t>
      </w:r>
      <w:r>
        <w:t xml:space="preserve"> </w:t>
      </w:r>
      <w:r>
        <w:rPr>
          <w:b/>
          <w:bCs/>
        </w:rPr>
        <w:t xml:space="preserve">ya se comercializa en la UE</w:t>
      </w:r>
      <w:r>
        <w:t xml:space="preserve"> </w:t>
      </w:r>
      <w:r>
        <w:t xml:space="preserve">con umbrales de hasta el 1% THC. Operadores europeos llevan</w:t>
      </w:r>
      <w:r>
        <w:t xml:space="preserve"> </w:t>
      </w:r>
      <w:r>
        <w:rPr>
          <w:b/>
          <w:bCs/>
        </w:rPr>
        <w:t xml:space="preserve">más de 15 años</w:t>
      </w:r>
      <w:r>
        <w:t xml:space="preserve"> </w:t>
      </w:r>
      <w:r>
        <w:t xml:space="preserve">amparándose en los artículos 34-36 TFUE (libre circulación) y el principio de reconocimiento mutuo. Suiza comercializa flores &lt;1% THC desde 2011; Luxemburgo, Estado miembro, permite la venta de sus subrpoductos con ese mismo umbral; Italia, cultiva hasta un 0,5% de THC como umbral, y mercados activos existen en Austria, Bélgica, Polonia, Grecia, República Checa y otros.</w:t>
      </w:r>
    </w:p>
    <w:p>
      <w:pPr>
        <w:pStyle w:val="BodyText"/>
      </w:pPr>
      <w:r>
        <w:t xml:space="preserve">El principio de</w:t>
      </w:r>
      <w:r>
        <w:t xml:space="preserve"> </w:t>
      </w:r>
      <w:r>
        <w:rPr>
          <w:b/>
          <w:bCs/>
        </w:rPr>
        <w:t xml:space="preserve">confianza legítima</w:t>
      </w:r>
      <w:r>
        <w:t xml:space="preserve"> </w:t>
      </w:r>
      <w:r>
        <w:t xml:space="preserve">(TJUE: Mulder, CNTA, Sofrimport, Plantanol) protege a estos operadores:</w:t>
      </w:r>
    </w:p>
    <w:p>
      <w:pPr>
        <w:pStyle w:val="BlockText"/>
      </w:pPr>
      <w:r>
        <w:rPr>
          <w:i/>
          <w:iCs/>
        </w:rPr>
        <w:t xml:space="preserve">“Cuando la situación anterior ha sido tolerada o incluso fomentada por las autoridades, la protección de la confianza legítima prevalece.”</w:t>
      </w:r>
      <w:r>
        <w:t xml:space="preserve"> </w:t>
      </w:r>
      <w:r>
        <w:t xml:space="preserve">—</w:t>
      </w:r>
      <w:r>
        <w:t xml:space="preserve"> </w:t>
      </w:r>
      <w:r>
        <w:rPr>
          <w:b/>
          <w:bCs/>
        </w:rPr>
        <w:t xml:space="preserve">TJUE, CNTA (C-74/74)</w:t>
      </w:r>
    </w:p>
    <w:p>
      <w:pPr>
        <w:pStyle w:val="FirstParagraph"/>
      </w:pPr>
      <w:r>
        <w:t xml:space="preserve">Fijar ahora un umbral del 0,3% —más restrictivo que la práctica consolidada durante 15 años—</w:t>
      </w:r>
      <w:r>
        <w:t xml:space="preserve"> </w:t>
      </w:r>
      <w:r>
        <w:rPr>
          <w:b/>
          <w:bCs/>
        </w:rPr>
        <w:t xml:space="preserve">vulneraría la confianza legítima</w:t>
      </w:r>
      <w:r>
        <w:t xml:space="preserve"> </w:t>
      </w:r>
      <w:r>
        <w:t xml:space="preserve">de estos operadores, contradiría Kanavape y expondría a la Unión a reclamaciones de responsabilidad.</w:t>
      </w:r>
    </w:p>
    <w:p>
      <w:pPr>
        <w:pStyle w:val="BodyText"/>
      </w:pPr>
      <w:r>
        <w:rPr>
          <w:b/>
          <w:bCs/>
        </w:rPr>
        <w:t xml:space="preserve">La solución no es prohibir lo que ya funciona, sino armonizar al nivel que la práctica, la ciencia y la jurisprudencia han validado: el 1% THC.</w:t>
      </w:r>
    </w:p>
    <w:p>
      <w:r>
        <w:pict>
          <v:rect style="width:0;height:1.5pt" o:hralign="center" o:hrstd="t" o:hr="t"/>
        </w:pict>
      </w:r>
    </w:p>
    <w:bookmarkEnd w:id="15"/>
    <w:bookmarkEnd w:id="16"/>
    <w:bookmarkStart w:id="17" w:name="Xa17e1f98f9a8d7f2ee13473da451bbb4a4d2b4e"/>
    <w:p>
      <w:pPr>
        <w:pStyle w:val="Heading2"/>
      </w:pPr>
      <w:r>
        <w:t xml:space="preserve">1.3 Mandato del Congreso de los Diputados: España ya pidió el 1%</w:t>
      </w:r>
    </w:p>
    <w:p>
      <w:pPr>
        <w:pStyle w:val="FirstParagraph"/>
      </w:pPr>
      <w:r>
        <w:t xml:space="preserve">El 25 de enero de 2023, el Congreso de los Diputados tramitó la</w:t>
      </w:r>
      <w:r>
        <w:t xml:space="preserve"> </w:t>
      </w:r>
      <w:r>
        <w:rPr>
          <w:b/>
          <w:bCs/>
        </w:rPr>
        <w:t xml:space="preserve">Proposición No de Ley 161/004332</w:t>
      </w:r>
      <w:r>
        <w:t xml:space="preserve"> </w:t>
      </w:r>
      <w:r>
        <w:t xml:space="preserve">en la Comisión de Agricultura, Pesca y Alimentación. El punto 3 de la PNL establece:</w:t>
      </w:r>
    </w:p>
    <w:p>
      <w:pPr>
        <w:pStyle w:val="BlockText"/>
      </w:pPr>
      <w:r>
        <w:rPr>
          <w:i/>
          <w:iCs/>
        </w:rPr>
        <w:t xml:space="preserve">«Establecer en una futura regulación del cannabis no psicoactivo la limitación del porcentaje de THC al</w:t>
      </w:r>
      <w:r>
        <w:rPr>
          <w:i/>
          <w:iCs/>
        </w:rPr>
        <w:t xml:space="preserve"> </w:t>
      </w:r>
      <w:r>
        <w:rPr>
          <w:b/>
          <w:bCs/>
          <w:i/>
          <w:iCs/>
        </w:rPr>
        <w:t xml:space="preserve">1%</w:t>
      </w:r>
      <w:r>
        <w:rPr>
          <w:i/>
          <w:iCs/>
        </w:rPr>
        <w:t xml:space="preserve">, asegurando de esta forma la ausencia de efectos estupefacientes, así como un mayor rendimiento de los cultivos y su sostenibilidad conforme al</w:t>
      </w:r>
      <w:r>
        <w:rPr>
          <w:i/>
          <w:iCs/>
        </w:rPr>
        <w:t xml:space="preserve"> </w:t>
      </w:r>
      <w:r>
        <w:rPr>
          <w:b/>
          <w:bCs/>
          <w:i/>
          <w:iCs/>
        </w:rPr>
        <w:t xml:space="preserve">Pacto Verde Europeo</w:t>
      </w:r>
      <w:r>
        <w:rPr>
          <w:i/>
          <w:iCs/>
        </w:rPr>
        <w:t xml:space="preserve">; algo que, de no hacerse, obligaría a operar en este mercado con una</w:t>
      </w:r>
      <w:r>
        <w:rPr>
          <w:i/>
          <w:iCs/>
        </w:rPr>
        <w:t xml:space="preserve"> </w:t>
      </w:r>
      <w:r>
        <w:rPr>
          <w:b/>
          <w:bCs/>
          <w:i/>
          <w:iCs/>
        </w:rPr>
        <w:t xml:space="preserve">desventaja clara</w:t>
      </w:r>
      <w:r>
        <w:rPr>
          <w:i/>
          <w:iCs/>
        </w:rPr>
        <w:t xml:space="preserve"> </w:t>
      </w:r>
      <w:r>
        <w:rPr>
          <w:i/>
          <w:iCs/>
        </w:rPr>
        <w:t xml:space="preserve">respecto de otros países de nuestro entorno.»</w:t>
      </w:r>
    </w:p>
    <w:p>
      <w:pPr>
        <w:pStyle w:val="FirstParagraph"/>
      </w:pPr>
      <w:r>
        <w:t xml:space="preserve">La PNL fue presentada por los Grupos Parlamentarios Confederal Unidas Podemos-En Comú Podem-Galicia en Común, Euskal Herria Bildu y Republicano. Este mandato parlamentario español</w:t>
      </w:r>
      <w:r>
        <w:t xml:space="preserve"> </w:t>
      </w:r>
      <w:r>
        <w:rPr>
          <w:b/>
          <w:bCs/>
        </w:rPr>
        <w:t xml:space="preserve">anticipa en más de dos años</w:t>
      </w:r>
      <w:r>
        <w:t xml:space="preserve"> </w:t>
      </w:r>
      <w:r>
        <w:t xml:space="preserve">la posición del Parlamento Europeo y constituye la base legitimadora de la presente solicitud.</w:t>
      </w:r>
    </w:p>
    <w:p>
      <w:r>
        <w:pict>
          <v:rect style="width:0;height:1.5pt" o:hralign="center" o:hrstd="t" o:hr="t"/>
        </w:pict>
      </w:r>
    </w:p>
    <w:bookmarkEnd w:id="17"/>
    <w:bookmarkStart w:id="18" w:name="Xd54ccdc7c5fbc7b4a4fcf6236bc6a3ced65610d"/>
    <w:p>
      <w:pPr>
        <w:pStyle w:val="Heading2"/>
      </w:pPr>
      <w:r>
        <w:t xml:space="preserve">1.4 Posición del Parlamento Europeo (septiembre 2025)</w:t>
      </w:r>
    </w:p>
    <w:p>
      <w:pPr>
        <w:pStyle w:val="FirstParagraph"/>
      </w:pPr>
      <w:r>
        <w:t xml:space="preserve">La Resolución del PE sobre agricultura y PAC post-2027 (P10_TA(2025)0189, punto 129) marca un hito institucional europeo:</w:t>
      </w:r>
    </w:p>
    <w:p>
      <w:pPr>
        <w:pStyle w:val="BlockText"/>
      </w:pPr>
      <w:r>
        <w:rPr>
          <w:i/>
          <w:iCs/>
        </w:rPr>
        <w:t xml:space="preserve">“Destaca la importancia de confirmar explícitamente la legalidad del cultivo, la recolección, la transformación y la comercialización de</w:t>
      </w:r>
      <w:r>
        <w:rPr>
          <w:i/>
          <w:iCs/>
        </w:rPr>
        <w:t xml:space="preserve"> </w:t>
      </w:r>
      <w:r>
        <w:rPr>
          <w:b/>
          <w:bCs/>
          <w:i/>
          <w:iCs/>
        </w:rPr>
        <w:t xml:space="preserve">todas las partes de la planta de cáñamo</w:t>
      </w:r>
      <w:r>
        <w:rPr>
          <w:i/>
          <w:iCs/>
        </w:rPr>
        <w:t xml:space="preserve"> </w:t>
      </w:r>
      <w:r>
        <w:rPr>
          <w:i/>
          <w:iCs/>
        </w:rPr>
        <w:t xml:space="preserve">[…]; señala que el cultivo del cáñamo requiere relativamente pocos insumos, especialmente fertilizantes, productos fitosanitarios y agua; hace hincapié en que también contribuye a la salud del suelo y a la biodiversidad […]; pide a la Comisión que establezca un umbral común a escala de la Unión del</w:t>
      </w:r>
      <w:r>
        <w:rPr>
          <w:i/>
          <w:iCs/>
        </w:rPr>
        <w:t xml:space="preserve"> </w:t>
      </w:r>
      <w:r>
        <w:rPr>
          <w:b/>
          <w:bCs/>
          <w:i/>
          <w:iCs/>
        </w:rPr>
        <w:t xml:space="preserve">0,5% de tetrahidrocannabinol (THC)</w:t>
      </w:r>
      <w:r>
        <w:rPr>
          <w:i/>
          <w:iCs/>
        </w:rPr>
        <w:t xml:space="preserve">”</w:t>
      </w:r>
      <w:r>
        <w:rPr>
          <w:i/>
          <w:iCs/>
        </w:rPr>
        <w:t xml:space="preserve">.</w:t>
      </w:r>
    </w:p>
    <w:p>
      <w:pPr>
        <w:pStyle w:val="FirstParagraph"/>
      </w:pPr>
      <w:r>
        <w:t xml:space="preserve">El Parlamento Europeo reconoce la necesidad de elevar el umbral y de habilitar</w:t>
      </w:r>
      <w:r>
        <w:t xml:space="preserve"> </w:t>
      </w:r>
      <w:r>
        <w:rPr>
          <w:b/>
          <w:bCs/>
        </w:rPr>
        <w:t xml:space="preserve">todas las partes de la planta</w:t>
      </w:r>
      <w:r>
        <w:t xml:space="preserve">. Sin embargo, su propuesta del 0,5%</w:t>
      </w:r>
      <w:r>
        <w:t xml:space="preserve"> </w:t>
      </w:r>
      <w:r>
        <w:rPr>
          <w:b/>
          <w:bCs/>
        </w:rPr>
        <w:t xml:space="preserve">no alcanza el nivel de ambición</w:t>
      </w:r>
      <w:r>
        <w:t xml:space="preserve"> </w:t>
      </w:r>
      <w:r>
        <w:t xml:space="preserve">que la evidencia científica, la práctica internacional y el propio mandato español justifican.</w:t>
      </w:r>
    </w:p>
    <w:p>
      <w:pPr>
        <w:pStyle w:val="BodyText"/>
      </w:pPr>
      <w:r>
        <w:t xml:space="preserve">Los mismos argumentos que sustentan el 0,5% —proporcionalidad, realidades agronómicas, competitividad, mercado interior— conducen lógicamente al</w:t>
      </w:r>
      <w:r>
        <w:t xml:space="preserve"> </w:t>
      </w:r>
      <w:r>
        <w:rPr>
          <w:b/>
          <w:bCs/>
        </w:rPr>
        <w:t xml:space="preserve">1%</w:t>
      </w:r>
      <w:r>
        <w:t xml:space="preserve">, respaldado además por el bloque internacional de más de 18 jurisdicciones que ya operan con este estándar sin problemas de seguridad pública.</w:t>
      </w:r>
    </w:p>
    <w:p>
      <w:r>
        <w:pict>
          <v:rect style="width:0;height:1.5pt" o:hralign="center" o:hrstd="t" o:hr="t"/>
        </w:pict>
      </w:r>
    </w:p>
    <w:bookmarkEnd w:id="18"/>
    <w:bookmarkEnd w:id="19"/>
    <w:bookmarkStart w:id="45" w:name="justificación-del-umbral-propuesto"/>
    <w:p>
      <w:pPr>
        <w:pStyle w:val="Heading1"/>
      </w:pPr>
      <w:r>
        <w:t xml:space="preserve">2. JUSTIFICACIÓN DEL UMBRAL PROPUESTO</w:t>
      </w:r>
    </w:p>
    <w:bookmarkStart w:id="20" w:name="marco-una-convergencia-de-argumentos"/>
    <w:p>
      <w:pPr>
        <w:pStyle w:val="Heading2"/>
      </w:pPr>
      <w:r>
        <w:t xml:space="preserve">2.0 MARCO: UNA CONVERGENCIA DE ARGUMENTOS</w:t>
      </w:r>
    </w:p>
    <w:p>
      <w:pPr>
        <w:pStyle w:val="FirstParagraph"/>
      </w:pPr>
      <w:r>
        <w:t xml:space="preserve">La propuesta de elevar el umbral al 1% THC no responde a una única motivación sectorial. Es el resultado de una</w:t>
      </w:r>
      <w:r>
        <w:t xml:space="preserve"> </w:t>
      </w:r>
      <w:r>
        <w:rPr>
          <w:b/>
          <w:bCs/>
        </w:rPr>
        <w:t xml:space="preserve">convergencia de argumentos</w:t>
      </w:r>
      <w:r>
        <w:t xml:space="preserve"> </w:t>
      </w:r>
      <w:r>
        <w:t xml:space="preserve">que, analizados en conjunto, hacen del 1% la opción más coherente y fundamentada:</w:t>
      </w:r>
    </w:p>
    <w:p>
      <w:pPr>
        <w:numPr>
          <w:ilvl w:val="0"/>
          <w:numId w:val="1005"/>
        </w:numPr>
      </w:pPr>
      <w:r>
        <w:rPr>
          <w:b/>
          <w:bCs/>
        </w:rPr>
        <w:t xml:space="preserve">Histórico</w:t>
      </w:r>
      <w:r>
        <w:t xml:space="preserve">: El umbral del 0,3% carece de base científica sólida y su propio autor lo considera obsoleto.</w:t>
      </w:r>
    </w:p>
    <w:p>
      <w:pPr>
        <w:numPr>
          <w:ilvl w:val="0"/>
          <w:numId w:val="1005"/>
        </w:numPr>
      </w:pPr>
      <w:r>
        <w:rPr>
          <w:b/>
          <w:bCs/>
        </w:rPr>
        <w:t xml:space="preserve">Científico y medioambiental</w:t>
      </w:r>
      <w:r>
        <w:t xml:space="preserve">: las variedades de mayor rendimiento —actualmente excluidas por el umbral restrictivo— podrían incorporarse al catálogo europeo, mejorando la productividad del sector y la captura de CO₂.</w:t>
      </w:r>
    </w:p>
    <w:p>
      <w:pPr>
        <w:numPr>
          <w:ilvl w:val="0"/>
          <w:numId w:val="1005"/>
        </w:numPr>
      </w:pPr>
      <w:r>
        <w:rPr>
          <w:b/>
          <w:bCs/>
        </w:rPr>
        <w:t xml:space="preserve">Político y económico</w:t>
      </w:r>
      <w:r>
        <w:t xml:space="preserve">: más de 18 jurisdicciones han adoptado este umbral en los últimos</w:t>
      </w:r>
      <w:r>
        <w:t xml:space="preserve"> </w:t>
      </w:r>
      <w:r>
        <w:rPr>
          <w:b/>
          <w:bCs/>
        </w:rPr>
        <w:t xml:space="preserve">5 años</w:t>
      </w:r>
      <w:r>
        <w:t xml:space="preserve">, y ya operan con este estándar. Alinearse facilita la libre circulación de mercancías y elimina barreras competitivas para el sector europeo.</w:t>
      </w:r>
    </w:p>
    <w:p>
      <w:pPr>
        <w:numPr>
          <w:ilvl w:val="0"/>
          <w:numId w:val="1005"/>
        </w:numPr>
      </w:pPr>
      <w:r>
        <w:rPr>
          <w:b/>
          <w:bCs/>
        </w:rPr>
        <w:t xml:space="preserve">Social y salud pública</w:t>
      </w:r>
      <w:r>
        <w:t xml:space="preserve">: el 1% THC en cultivos, y en subproductos regulados ya por los Estado Miembros, no presenta riesgo realista de abuso ni daño a la salud pública.</w:t>
      </w:r>
    </w:p>
    <w:p>
      <w:pPr>
        <w:pStyle w:val="FirstParagraph"/>
      </w:pPr>
      <w:r>
        <w:t xml:space="preserve">A continuación se desarrolla la evidencia que sustenta cada uno de estos pilares argumentativos.</w:t>
      </w:r>
    </w:p>
    <w:p>
      <w:r>
        <w:pict>
          <v:rect style="width:0;height:1.5pt" o:hralign="center" o:hrstd="t" o:hr="t"/>
        </w:pict>
      </w:r>
    </w:p>
    <w:bookmarkEnd w:id="20"/>
    <w:bookmarkStart w:id="21" w:name="argumento-histórico-refutación-del-03"/>
    <w:p>
      <w:pPr>
        <w:pStyle w:val="Heading2"/>
      </w:pPr>
      <w:r>
        <w:t xml:space="preserve">2.1 ARGUMENTO HISTÓRICO: REFUTACIÓN DEL 0,3%</w:t>
      </w:r>
    </w:p>
    <w:p>
      <w:pPr>
        <w:pStyle w:val="FirstParagraph"/>
      </w:pPr>
      <w:r>
        <w:t xml:space="preserve">Actualmente, el umbral de THC para el cáñamo industrial en la Unión Europea se sitúa en el</w:t>
      </w:r>
      <w:r>
        <w:t xml:space="preserve"> </w:t>
      </w:r>
      <w:r>
        <w:rPr>
          <w:b/>
          <w:bCs/>
        </w:rPr>
        <w:t xml:space="preserve">0,3%</w:t>
      </w:r>
      <w:r>
        <w:t xml:space="preserve">. Cabe destacar que la PAC no establece este porcentaje como criterio definitorio entre cáñamo industrial y cannabis narcótico —esa distinción corresponde a otros marcos normativos—, sino que simplemente determina que los cultivos que excedan este límite no podrán acogerse a las ayudas del presente Reglamento.</w:t>
      </w:r>
    </w:p>
    <w:p>
      <w:pPr>
        <w:pStyle w:val="BodyText"/>
      </w:pPr>
      <w:r>
        <w:t xml:space="preserve">Este umbral se fijó por primera vez en la regulación europea en</w:t>
      </w:r>
      <w:r>
        <w:t xml:space="preserve"> </w:t>
      </w:r>
      <w:r>
        <w:rPr>
          <w:b/>
          <w:bCs/>
        </w:rPr>
        <w:t xml:space="preserve">1984</w:t>
      </w:r>
      <w:r>
        <w:t xml:space="preserve">, estableciendo un 0,3% con un período transitorio de dos años al 0,5%. Sin embargo,</w:t>
      </w:r>
      <w:r>
        <w:t xml:space="preserve"> </w:t>
      </w:r>
      <w:r>
        <w:rPr>
          <w:b/>
          <w:bCs/>
        </w:rPr>
        <w:t xml:space="preserve">no existe documentación que justifique la elección de esta cifra</w:t>
      </w:r>
      <w:r>
        <w:t xml:space="preserve"> </w:t>
      </w:r>
      <w:r>
        <w:t xml:space="preserve">ni los criterios técnicos o científicos que la sustentaron.</w:t>
      </w:r>
    </w:p>
    <w:p>
      <w:pPr>
        <w:pStyle w:val="BodyText"/>
      </w:pPr>
      <w:r>
        <w:t xml:space="preserve">La única referencia científica contemporánea que establece el 0,3% como punto de corte es la clasificación taxonómica del</w:t>
      </w:r>
      <w:r>
        <w:t xml:space="preserve"> </w:t>
      </w:r>
      <w:r>
        <w:rPr>
          <w:b/>
          <w:bCs/>
        </w:rPr>
        <w:t xml:space="preserve">Dr. Ernest Small</w:t>
      </w:r>
      <w:r>
        <w:t xml:space="preserve"> </w:t>
      </w:r>
      <w:r>
        <w:t xml:space="preserve">[1], que proponía este porcentaje para diferenciar variedades de cannabis. Esto nos lleva a considerar que fue probablemente la referencia adoptada por el legislador europeo. Sea así o no, analizar esta clasificación —la cual procede de un estudio científico y de rigor— resulta esencial para evaluar si el umbral actual sigue siendo adecuado.</w:t>
      </w:r>
    </w:p>
    <w:p>
      <w:pPr>
        <w:pStyle w:val="BodyText"/>
      </w:pPr>
      <w:r>
        <w:t xml:space="preserve">Small &amp; Cronquist [1], para su estudio taxonómico, utilizaron plantas cultivadas en su invernadero de Ottawa a partir de</w:t>
      </w:r>
      <w:r>
        <w:t xml:space="preserve"> </w:t>
      </w:r>
      <w:r>
        <w:rPr>
          <w:b/>
          <w:bCs/>
        </w:rPr>
        <w:t xml:space="preserve">semillas de cáñamo del Jardín Botánico de la Universidad de Kaunas, Lituania</w:t>
      </w:r>
      <w:r>
        <w:t xml:space="preserve">. Su propósito era establecer un criterio para diferenciar cáñamo de marihuana. En su trabajo escribieron:</w:t>
      </w:r>
    </w:p>
    <w:p>
      <w:pPr>
        <w:pStyle w:val="BlockText"/>
      </w:pPr>
      <w:r>
        <w:rPr>
          <w:i/>
          <w:iCs/>
        </w:rPr>
        <w:t xml:space="preserve">“It will be noted that we</w:t>
      </w:r>
      <w:r>
        <w:rPr>
          <w:i/>
          <w:iCs/>
        </w:rPr>
        <w:t xml:space="preserve"> </w:t>
      </w:r>
      <w:r>
        <w:rPr>
          <w:b/>
          <w:bCs/>
          <w:i/>
          <w:iCs/>
        </w:rPr>
        <w:t xml:space="preserve">arbitrarily adopt</w:t>
      </w:r>
      <w:r>
        <w:rPr>
          <w:i/>
          <w:iCs/>
        </w:rPr>
        <w:t xml:space="preserve"> </w:t>
      </w:r>
      <w:r>
        <w:rPr>
          <w:i/>
          <w:iCs/>
        </w:rPr>
        <w:t xml:space="preserve">a concentration of 0.3% Δ9-THC (dry weight basis) in</w:t>
      </w:r>
      <w:r>
        <w:rPr>
          <w:i/>
          <w:iCs/>
        </w:rPr>
        <w:t xml:space="preserve"> </w:t>
      </w:r>
      <w:r>
        <w:rPr>
          <w:b/>
          <w:bCs/>
          <w:i/>
          <w:iCs/>
        </w:rPr>
        <w:t xml:space="preserve">young, vigorous leaves</w:t>
      </w:r>
      <w:r>
        <w:rPr>
          <w:i/>
          <w:iCs/>
        </w:rPr>
        <w:t xml:space="preserve"> </w:t>
      </w:r>
      <w:r>
        <w:rPr>
          <w:i/>
          <w:iCs/>
        </w:rPr>
        <w:t xml:space="preserve">of relatively mature plants as a</w:t>
      </w:r>
      <w:r>
        <w:rPr>
          <w:i/>
          <w:iCs/>
        </w:rPr>
        <w:t xml:space="preserve"> </w:t>
      </w:r>
      <w:r>
        <w:rPr>
          <w:b/>
          <w:bCs/>
          <w:i/>
          <w:iCs/>
        </w:rPr>
        <w:t xml:space="preserve">guide to discriminating two classes of plants</w:t>
      </w:r>
      <w:r>
        <w:rPr>
          <w:i/>
          <w:iCs/>
        </w:rPr>
        <w:t xml:space="preserve">.”</w:t>
      </w:r>
      <w:r>
        <w:t xml:space="preserve"> </w:t>
      </w:r>
      <w:r>
        <w:t xml:space="preserve">— Taxon 25(4): 408</w:t>
      </w:r>
    </w:p>
    <w:p>
      <w:pPr>
        <w:pStyle w:val="FirstParagraph"/>
      </w:pPr>
      <w:r>
        <w:t xml:space="preserve">Dos elementos clave emergen de esta cita fundacional:</w:t>
      </w:r>
    </w:p>
    <w:p>
      <w:pPr>
        <w:pStyle w:val="BodyText"/>
      </w:pPr>
      <w:r>
        <w:rPr>
          <w:b/>
          <w:bCs/>
        </w:rPr>
        <w:t xml:space="preserve">Primero</w:t>
      </w:r>
      <w:r>
        <w:t xml:space="preserve">, los propios autores reconocen que el criterio fue adoptado</w:t>
      </w:r>
      <w:r>
        <w:t xml:space="preserve"> </w:t>
      </w:r>
      <w:r>
        <w:rPr>
          <w:i/>
          <w:iCs/>
        </w:rPr>
        <w:t xml:space="preserve">“arbitrarily”</w:t>
      </w:r>
      <w:r>
        <w:t xml:space="preserve"> </w:t>
      </w:r>
      <w:r>
        <w:t xml:space="preserve">(arbitrariamente), no derivado de estudios toxicológicos ni de seguridad.</w:t>
      </w:r>
    </w:p>
    <w:p>
      <w:pPr>
        <w:pStyle w:val="BodyText"/>
      </w:pPr>
      <w:r>
        <w:rPr>
          <w:b/>
          <w:bCs/>
        </w:rPr>
        <w:t xml:space="preserve">Segundo</w:t>
      </w:r>
      <w:r>
        <w:t xml:space="preserve">, el umbral se midió en</w:t>
      </w:r>
      <w:r>
        <w:t xml:space="preserve"> </w:t>
      </w:r>
      <w:r>
        <w:rPr>
          <w:i/>
          <w:iCs/>
        </w:rPr>
        <w:t xml:space="preserve">“young, vigorous leaves”</w:t>
      </w:r>
      <w:r>
        <w:t xml:space="preserve"> </w:t>
      </w:r>
      <w:r>
        <w:t xml:space="preserve">(hojas jóvenes) de plantas de cáñamo lituano cultivadas en invernadero canadiense,</w:t>
      </w:r>
      <w:r>
        <w:t xml:space="preserve"> </w:t>
      </w:r>
      <w:r>
        <w:rPr>
          <w:b/>
          <w:bCs/>
        </w:rPr>
        <w:t xml:space="preserve">no en flores</w:t>
      </w:r>
      <w:r>
        <w:t xml:space="preserve"> </w:t>
      </w:r>
      <w:r>
        <w:t xml:space="preserve">—donde las concentraciones son significativamente superiores— ni en condiciones de campo europeas. Los mismos autores advierten:</w:t>
      </w:r>
      <w:r>
        <w:t xml:space="preserve"> </w:t>
      </w:r>
      <w:r>
        <w:rPr>
          <w:i/>
          <w:iCs/>
        </w:rPr>
        <w:t xml:space="preserve">“different parts of the plant contain different concentrations”</w:t>
      </w:r>
      <w:r>
        <w:t xml:space="preserve">.</w:t>
      </w:r>
    </w:p>
    <w:p>
      <w:pPr>
        <w:pStyle w:val="BodyText"/>
      </w:pPr>
      <w:r>
        <w:t xml:space="preserve">El propio Dr. Small confirmó en 2021 [2] que el criterio 0,3% fue establecido</w:t>
      </w:r>
      <w:r>
        <w:t xml:space="preserve"> </w:t>
      </w:r>
      <w:r>
        <w:rPr>
          <w:i/>
          <w:iCs/>
        </w:rPr>
        <w:t xml:space="preserve">“on strictly taxonomic considerations”</w:t>
      </w:r>
      <w:r>
        <w:t xml:space="preserve"> </w:t>
      </w:r>
      <w:r>
        <w:t xml:space="preserve">y constituye actualmente</w:t>
      </w:r>
      <w:r>
        <w:t xml:space="preserve"> </w:t>
      </w:r>
      <w:r>
        <w:rPr>
          <w:i/>
          <w:iCs/>
        </w:rPr>
        <w:t xml:space="preserve">“a hindrance to the industry”</w:t>
      </w:r>
      <w:r>
        <w:t xml:space="preserve">. Small reconoce que</w:t>
      </w:r>
      <w:r>
        <w:t xml:space="preserve"> </w:t>
      </w:r>
      <w:r>
        <w:rPr>
          <w:i/>
          <w:iCs/>
        </w:rPr>
        <w:t xml:space="preserve">“the</w:t>
      </w:r>
      <w:r>
        <w:rPr>
          <w:i/>
          <w:iCs/>
        </w:rPr>
        <w:t xml:space="preserve"> </w:t>
      </w:r>
      <w:r>
        <w:rPr>
          <w:i/>
          <w:iCs/>
        </w:rPr>
        <w:t xml:space="preserve">‘abuse’</w:t>
      </w:r>
      <w:r>
        <w:rPr>
          <w:i/>
          <w:iCs/>
        </w:rPr>
        <w:t xml:space="preserve"> </w:t>
      </w:r>
      <w:r>
        <w:rPr>
          <w:i/>
          <w:iCs/>
        </w:rPr>
        <w:t xml:space="preserve">potential… in practical terms requires a concentration of approximately 1% THC”</w:t>
      </w:r>
      <w:r>
        <w:t xml:space="preserve">, concluyendo:</w:t>
      </w:r>
      <w:r>
        <w:t xml:space="preserve"> </w:t>
      </w:r>
      <w:r>
        <w:rPr>
          <w:i/>
          <w:iCs/>
        </w:rPr>
        <w:t xml:space="preserve">“1% THC would be a more suitable criterion”</w:t>
      </w:r>
      <w:r>
        <w:t xml:space="preserve">.</w:t>
      </w:r>
    </w:p>
    <w:p>
      <w:pPr>
        <w:pStyle w:val="BodyText"/>
      </w:pPr>
      <w:r>
        <w:t xml:space="preserve">Tras 50 años de avances genéticos y cambios climáticos, la ciencia moderna respalda esta revisión.</w:t>
      </w:r>
    </w:p>
    <w:p>
      <w:r>
        <w:pict>
          <v:rect style="width:0;height:1.5pt" o:hralign="center" o:hrstd="t" o:hr="t"/>
        </w:pict>
      </w:r>
    </w:p>
    <w:bookmarkEnd w:id="21"/>
    <w:bookmarkStart w:id="27" w:name="Xf2af15e94ae512b3b23ba4eb66fc32157e0b15c"/>
    <w:p>
      <w:pPr>
        <w:pStyle w:val="Heading2"/>
      </w:pPr>
      <w:r>
        <w:t xml:space="preserve">2.2 ARGUMENTO CIENTÍFICO-AMBIENTAL: RENDIMIENTO Y CLIMA</w:t>
      </w:r>
    </w:p>
    <w:bookmarkStart w:id="22" w:name="X267eff2d71dec64544e5a3f48ca144842f7a44e"/>
    <w:p>
      <w:pPr>
        <w:pStyle w:val="Heading3"/>
      </w:pPr>
      <w:r>
        <w:t xml:space="preserve">Base científica: por qué el umbral bajo castiga el rendimiento</w:t>
      </w:r>
    </w:p>
    <w:p>
      <w:pPr>
        <w:pStyle w:val="FirstParagraph"/>
      </w:pPr>
      <w:r>
        <w:t xml:space="preserve">La evidencia científica documenta una</w:t>
      </w:r>
      <w:r>
        <w:t xml:space="preserve"> </w:t>
      </w:r>
      <w:r>
        <w:rPr>
          <w:b/>
          <w:bCs/>
        </w:rPr>
        <w:t xml:space="preserve">correlación funcional</w:t>
      </w:r>
      <w:r>
        <w:t xml:space="preserve"> </w:t>
      </w:r>
      <w:r>
        <w:t xml:space="preserve">entre el contenido de cannabinoides y el rendimiento de biomasa en</w:t>
      </w:r>
      <w:r>
        <w:t xml:space="preserve"> </w:t>
      </w:r>
      <w:r>
        <w:rPr>
          <w:i/>
          <w:iCs/>
        </w:rPr>
        <w:t xml:space="preserve">Cannabis sativa</w:t>
      </w:r>
      <w:r>
        <w:t xml:space="preserve"> </w:t>
      </w:r>
      <w:r>
        <w:t xml:space="preserve">L. Esta asociación no es casual, sino que responde a mecanismos biológicos bien documentados:</w:t>
      </w:r>
    </w:p>
    <w:p>
      <w:pPr>
        <w:pStyle w:val="BodyText"/>
      </w:pPr>
      <w:r>
        <w:rPr>
          <w:b/>
          <w:bCs/>
        </w:rPr>
        <w:t xml:space="preserve">1. Selección para cumplimiento = pérdida de productividad.</w:t>
      </w:r>
      <w:r>
        <w:t xml:space="preserve"> </w:t>
      </w:r>
      <w:r>
        <w:t xml:space="preserve">Las variedades de cáñamo desarrolladas para cumplir umbrales ultra-bajos de THC han sacrificado rendimiento. El programa húngaro de mejoramiento (1994-2019) documentó que las variedades seleccionadas para estabilidad química rinden</w:t>
      </w:r>
      <w:r>
        <w:t xml:space="preserve"> </w:t>
      </w:r>
      <w:r>
        <w:rPr>
          <w:b/>
          <w:bCs/>
        </w:rPr>
        <w:t xml:space="preserve">10-20% menos</w:t>
      </w:r>
      <w:r>
        <w:t xml:space="preserve"> </w:t>
      </w:r>
      <w:r>
        <w:t xml:space="preserve">que las variedades tradicionales de mayor diversidad genética [7,8].</w:t>
      </w:r>
    </w:p>
    <w:p>
      <w:pPr>
        <w:pStyle w:val="BodyText"/>
      </w:pPr>
      <w:r>
        <w:rPr>
          <w:b/>
          <w:bCs/>
        </w:rPr>
        <w:t xml:space="preserve">2. Rutas metabólicas compartidas.</w:t>
      </w:r>
      <w:r>
        <w:t xml:space="preserve"> </w:t>
      </w:r>
      <w:r>
        <w:t xml:space="preserve">La biosíntesis de cannabinoides y terpenoides comparte precursores comunes. Las plantas con mayor capacidad fotosintética canalizan excedentes hacia metabolismo secundario, produciendo simultáneamente</w:t>
      </w:r>
      <w:r>
        <w:t xml:space="preserve"> </w:t>
      </w:r>
      <w:r>
        <w:rPr>
          <w:b/>
          <w:bCs/>
        </w:rPr>
        <w:t xml:space="preserve">más biomasa y más cannabinoides</w:t>
      </w:r>
      <w:r>
        <w:t xml:space="preserve"> </w:t>
      </w:r>
      <w:r>
        <w:t xml:space="preserve">[9].</w:t>
      </w:r>
    </w:p>
    <w:p>
      <w:pPr>
        <w:pStyle w:val="BodyText"/>
      </w:pPr>
      <w:r>
        <w:rPr>
          <w:b/>
          <w:bCs/>
        </w:rPr>
        <w:t xml:space="preserve">3. Ciclo fenológico extendido.</w:t>
      </w:r>
      <w:r>
        <w:t xml:space="preserve"> </w:t>
      </w:r>
      <w:r>
        <w:t xml:space="preserve">Las variedades de floración tardía maximizan el período vegetativo y la acumulación de biomasa, pero también expresan mayor síntesis de THC pre-cosecha [10]. Restringir el THC implica restringir estas variedades de alto rendimiento.</w:t>
      </w:r>
    </w:p>
    <w:p>
      <w:pPr>
        <w:pStyle w:val="BodyText"/>
      </w:pPr>
      <w:r>
        <w:rPr>
          <w:b/>
          <w:bCs/>
        </w:rPr>
        <w:t xml:space="preserve">Implicación política directa</w:t>
      </w:r>
      <w:r>
        <w:t xml:space="preserve">: El umbral regulatorio opera como</w:t>
      </w:r>
      <w:r>
        <w:t xml:space="preserve"> </w:t>
      </w:r>
      <w:r>
        <w:rPr>
          <w:b/>
          <w:bCs/>
        </w:rPr>
        <w:t xml:space="preserve">selección negativa</w:t>
      </w:r>
      <w:r>
        <w:t xml:space="preserve"> </w:t>
      </w:r>
      <w:r>
        <w:t xml:space="preserve">que excluye sistemáticamente el germoplasma más productivo del mercado europeo.</w:t>
      </w:r>
    </w:p>
    <w:bookmarkEnd w:id="22"/>
    <w:bookmarkStart w:id="23" w:name="Xbf93abc33835c2bb736255a9037f0a2d2f4eac4"/>
    <w:p>
      <w:pPr>
        <w:pStyle w:val="Heading3"/>
      </w:pPr>
      <w:r>
        <w:t xml:space="preserve">Cuantificación del coste de oportunidad: evidencia europea</w:t>
      </w:r>
    </w:p>
    <w:p>
      <w:pPr>
        <w:pStyle w:val="FirstParagraph"/>
      </w:pPr>
      <w:r>
        <w:t xml:space="preserve">Los ensayos de campo controlados en condiciones europeas revelan diferencias de rendimiento estadísticamente significativas según el perfil cannabinoide. Rahemi et al. [6] documentaron en ensayos multianuales los siguientes resultados:</w:t>
      </w:r>
    </w:p>
    <w:tbl>
      <w:tblPr>
        <w:tblStyle w:val="Table"/>
        <w:tblW w:type="pct" w:w="5000"/>
        <w:tblLayout w:type="fixed"/>
        <w:tblLook w:firstRow="1" w:lastRow="0" w:firstColumn="0" w:lastColumn="0" w:noHBand="0" w:noVBand="0" w:val="0020"/>
      </w:tblPr>
      <w:tblGrid>
        <w:gridCol w:w="920"/>
        <w:gridCol w:w="1933"/>
        <w:gridCol w:w="1381"/>
        <w:gridCol w:w="2486"/>
        <w:gridCol w:w="1197"/>
      </w:tblGrid>
      <w:tr>
        <w:trPr>
          <w:tblHeader w:val="on"/>
        </w:trPr>
        <w:tc>
          <w:tcPr/>
          <w:p>
            <w:pPr>
              <w:pStyle w:val="Compact"/>
            </w:pPr>
            <w:r>
              <w:t xml:space="preserve">Variedad</w:t>
            </w:r>
          </w:p>
        </w:tc>
        <w:tc>
          <w:tcPr/>
          <w:p>
            <w:pPr>
              <w:pStyle w:val="Compact"/>
            </w:pPr>
            <w:r>
              <w:t xml:space="preserve">Sistema reproductivo</w:t>
            </w:r>
          </w:p>
        </w:tc>
        <w:tc>
          <w:tcPr/>
          <w:p>
            <w:pPr>
              <w:pStyle w:val="Compact"/>
            </w:pPr>
            <w:r>
              <w:t xml:space="preserve">THC histórico</w:t>
            </w:r>
          </w:p>
        </w:tc>
        <w:tc>
          <w:tcPr/>
          <w:p>
            <w:pPr>
              <w:pStyle w:val="Compact"/>
            </w:pPr>
            <w:r>
              <w:t xml:space="preserve">Biomasa tallo seco (t/ha)</w:t>
            </w:r>
          </w:p>
        </w:tc>
        <w:tc>
          <w:tcPr/>
          <w:p>
            <w:pPr>
              <w:pStyle w:val="Compact"/>
            </w:pPr>
            <w:r>
              <w:t xml:space="preserve">Diferencial</w:t>
            </w:r>
          </w:p>
        </w:tc>
      </w:tr>
      <w:tr>
        <w:tc>
          <w:tcPr/>
          <w:p>
            <w:pPr>
              <w:pStyle w:val="Compact"/>
            </w:pPr>
            <w:r>
              <w:rPr>
                <w:b/>
                <w:bCs/>
              </w:rPr>
              <w:t xml:space="preserve">Carmagnola</w:t>
            </w:r>
          </w:p>
        </w:tc>
        <w:tc>
          <w:tcPr/>
          <w:p>
            <w:pPr>
              <w:pStyle w:val="Compact"/>
            </w:pPr>
            <w:r>
              <w:t xml:space="preserve">Dioica italiana</w:t>
            </w:r>
          </w:p>
        </w:tc>
        <w:tc>
          <w:tcPr/>
          <w:p>
            <w:pPr>
              <w:pStyle w:val="Compact"/>
            </w:pPr>
            <w:r>
              <w:t xml:space="preserve">0,4–0,6%</w:t>
            </w:r>
          </w:p>
        </w:tc>
        <w:tc>
          <w:tcPr/>
          <w:p>
            <w:pPr>
              <w:pStyle w:val="Compact"/>
            </w:pPr>
            <w:r>
              <w:rPr>
                <w:b/>
                <w:bCs/>
              </w:rPr>
              <w:t xml:space="preserve">8,62</w:t>
            </w:r>
          </w:p>
        </w:tc>
        <w:tc>
          <w:tcPr/>
          <w:p>
            <w:pPr>
              <w:pStyle w:val="Compact"/>
            </w:pPr>
            <w:r>
              <w:rPr>
                <w:b/>
                <w:bCs/>
              </w:rPr>
              <w:t xml:space="preserve">+87,4%</w:t>
            </w:r>
          </w:p>
        </w:tc>
      </w:tr>
      <w:tr>
        <w:tc>
          <w:tcPr/>
          <w:p>
            <w:pPr>
              <w:pStyle w:val="Compact"/>
            </w:pPr>
            <w:r>
              <w:t xml:space="preserve">Futura 75</w:t>
            </w:r>
          </w:p>
        </w:tc>
        <w:tc>
          <w:tcPr/>
          <w:p>
            <w:pPr>
              <w:pStyle w:val="Compact"/>
            </w:pPr>
            <w:r>
              <w:t xml:space="preserve">Monoica francesa</w:t>
            </w:r>
          </w:p>
        </w:tc>
        <w:tc>
          <w:tcPr/>
          <w:p>
            <w:pPr>
              <w:pStyle w:val="Compact"/>
            </w:pPr>
            <w:r>
              <w:t xml:space="preserve">&lt;0,2%</w:t>
            </w:r>
          </w:p>
        </w:tc>
        <w:tc>
          <w:tcPr/>
          <w:p>
            <w:pPr>
              <w:pStyle w:val="Compact"/>
            </w:pPr>
            <w:r>
              <w:t xml:space="preserve">4,60</w:t>
            </w:r>
          </w:p>
        </w:tc>
        <w:tc>
          <w:tcPr/>
          <w:p>
            <w:pPr>
              <w:pStyle w:val="Compact"/>
            </w:pPr>
            <w:r>
              <w:rPr>
                <w:i/>
                <w:iCs/>
              </w:rPr>
              <w:t xml:space="preserve">baseline</w:t>
            </w:r>
          </w:p>
        </w:tc>
      </w:tr>
      <w:tr>
        <w:tc>
          <w:tcPr/>
          <w:p>
            <w:pPr>
              <w:pStyle w:val="Compact"/>
            </w:pPr>
            <w:r>
              <w:t xml:space="preserve">Fedora 17</w:t>
            </w:r>
          </w:p>
        </w:tc>
        <w:tc>
          <w:tcPr/>
          <w:p>
            <w:pPr>
              <w:pStyle w:val="Compact"/>
            </w:pPr>
            <w:r>
              <w:t xml:space="preserve">Monoica francesa</w:t>
            </w:r>
          </w:p>
        </w:tc>
        <w:tc>
          <w:tcPr/>
          <w:p>
            <w:pPr>
              <w:pStyle w:val="Compact"/>
            </w:pPr>
            <w:r>
              <w:t xml:space="preserve">&lt;0,2%</w:t>
            </w:r>
          </w:p>
        </w:tc>
        <w:tc>
          <w:tcPr/>
          <w:p>
            <w:pPr>
              <w:pStyle w:val="Compact"/>
            </w:pPr>
            <w:r>
              <w:t xml:space="preserve">4,35</w:t>
            </w:r>
          </w:p>
        </w:tc>
        <w:tc>
          <w:tcPr/>
          <w:p>
            <w:pPr>
              <w:pStyle w:val="Compact"/>
            </w:pPr>
            <w:r>
              <w:t xml:space="preserve">-5,4%</w:t>
            </w:r>
          </w:p>
        </w:tc>
      </w:tr>
    </w:tbl>
    <w:p>
      <w:pPr>
        <w:pStyle w:val="BodyText"/>
      </w:pPr>
      <w:r>
        <w:rPr>
          <w:b/>
          <w:bCs/>
        </w:rPr>
        <w:t xml:space="preserve">Carmagnola</w:t>
      </w:r>
      <w:r>
        <w:t xml:space="preserve">, la variedad dioica tradicional del Piamonte con contenido histórico de THC 0,4-0,6%, produce</w:t>
      </w:r>
      <w:r>
        <w:t xml:space="preserve"> </w:t>
      </w:r>
      <w:r>
        <w:rPr>
          <w:b/>
          <w:bCs/>
        </w:rPr>
        <w:t xml:space="preserve">8,62 toneladas por hectárea</w:t>
      </w:r>
      <w:r>
        <w:t xml:space="preserve"> </w:t>
      </w:r>
      <w:r>
        <w:t xml:space="preserve">—prácticamente el doble que las monoicas francesas conformes. Sin embargo, esta variedad está</w:t>
      </w:r>
      <w:r>
        <w:t xml:space="preserve"> </w:t>
      </w:r>
      <w:r>
        <w:rPr>
          <w:b/>
          <w:bCs/>
        </w:rPr>
        <w:t xml:space="preserve">funcionalmente excluida del mercado europeo</w:t>
      </w:r>
      <w:r>
        <w:t xml:space="preserve"> </w:t>
      </w:r>
      <w:r>
        <w:t xml:space="preserve">por exceder el umbral del 0,3%.</w:t>
      </w:r>
    </w:p>
    <w:p>
      <w:pPr>
        <w:pStyle w:val="BodyText"/>
      </w:pPr>
      <w:r>
        <w:t xml:space="preserve">El programa húngaro de mejoramiento dirigido por Bócsa (1994-2019) cuantificó adicionalmente el coste sistemático del sistema monoico:</w:t>
      </w:r>
      <w:r>
        <w:t xml:space="preserve"> </w:t>
      </w:r>
      <w:r>
        <w:rPr>
          <w:b/>
          <w:bCs/>
        </w:rPr>
        <w:t xml:space="preserve">“All monoecious cultivars yielded 10 to 20% less than dioecious cultivars due to inbreeding depression from self-pollination.”</w:t>
      </w:r>
      <w:r>
        <w:t xml:space="preserve"> </w:t>
      </w:r>
      <w:r>
        <w:t xml:space="preserve">Este diferencial de 10-20% representa el</w:t>
      </w:r>
      <w:r>
        <w:t xml:space="preserve"> </w:t>
      </w:r>
      <w:r>
        <w:rPr>
          <w:b/>
          <w:bCs/>
        </w:rPr>
        <w:t xml:space="preserve">precio agronómico</w:t>
      </w:r>
      <w:r>
        <w:t xml:space="preserve"> </w:t>
      </w:r>
      <w:r>
        <w:t xml:space="preserve">de la estabilidad química exigida por umbrales restrictivos.</w:t>
      </w:r>
    </w:p>
    <w:p>
      <w:pPr>
        <w:pStyle w:val="BodyText"/>
      </w:pPr>
      <w:r>
        <w:t xml:space="preserve">La implicación es directa: Europa sacrifica sistemáticamente entre</w:t>
      </w:r>
      <w:r>
        <w:t xml:space="preserve"> </w:t>
      </w:r>
      <w:r>
        <w:rPr>
          <w:b/>
          <w:bCs/>
        </w:rPr>
        <w:t xml:space="preserve">2-4 toneladas de biomasa por hectárea</w:t>
      </w:r>
      <w:r>
        <w:t xml:space="preserve"> </w:t>
      </w:r>
      <w:r>
        <w:t xml:space="preserve">por motivos exclusivamente regulatorios.</w:t>
      </w:r>
    </w:p>
    <w:bookmarkEnd w:id="23"/>
    <w:bookmarkStart w:id="24" w:name="Xb767f345f042daed8c522bec1572dd6d008d509"/>
    <w:p>
      <w:pPr>
        <w:pStyle w:val="Heading3"/>
      </w:pPr>
      <w:r>
        <w:t xml:space="preserve">La brecha competitiva internacional: benchmarking con germoplasma chino</w:t>
      </w:r>
    </w:p>
    <w:p>
      <w:pPr>
        <w:pStyle w:val="FirstParagraph"/>
      </w:pPr>
      <w:r>
        <w:t xml:space="preserve">Los ensayos de la Universidad Estatal de Carolina del Norte con accesiones chinas revelan la magnitud del</w:t>
      </w:r>
      <w:r>
        <w:t xml:space="preserve"> </w:t>
      </w:r>
      <w:r>
        <w:rPr>
          <w:b/>
          <w:bCs/>
        </w:rPr>
        <w:t xml:space="preserve">coste competitivo</w:t>
      </w:r>
      <w:r>
        <w:t xml:space="preserve"> </w:t>
      </w:r>
      <w:r>
        <w:t xml:space="preserve">del umbral europeo. Halker et al. [5] evaluaron variedades de fibra en condiciones controladas:</w:t>
      </w:r>
    </w:p>
    <w:tbl>
      <w:tblPr>
        <w:tblStyle w:val="Table"/>
        <w:tblW w:type="pct" w:w="5000"/>
        <w:tblLayout w:type="fixed"/>
        <w:tblLook w:firstRow="1" w:lastRow="0" w:firstColumn="0" w:lastColumn="0" w:noHBand="0" w:noVBand="0" w:val="0020"/>
      </w:tblPr>
      <w:tblGrid>
        <w:gridCol w:w="990"/>
        <w:gridCol w:w="2079"/>
        <w:gridCol w:w="2970"/>
        <w:gridCol w:w="1881"/>
      </w:tblGrid>
      <w:tr>
        <w:trPr>
          <w:tblHeader w:val="on"/>
        </w:trPr>
        <w:tc>
          <w:tcPr/>
          <w:p>
            <w:pPr>
              <w:pStyle w:val="Compact"/>
            </w:pPr>
            <w:r>
              <w:t xml:space="preserve">Accesión</w:t>
            </w:r>
          </w:p>
        </w:tc>
        <w:tc>
          <w:tcPr/>
          <w:p>
            <w:pPr>
              <w:pStyle w:val="Compact"/>
            </w:pPr>
            <w:r>
              <w:t xml:space="preserve">THC documentado (%)</w:t>
            </w:r>
          </w:p>
        </w:tc>
        <w:tc>
          <w:tcPr/>
          <w:p>
            <w:pPr>
              <w:pStyle w:val="Compact"/>
            </w:pPr>
            <w:r>
              <w:t xml:space="preserve">Rendimiento tallo seco (t/ha)</w:t>
            </w:r>
          </w:p>
        </w:tc>
        <w:tc>
          <w:tcPr/>
          <w:p>
            <w:pPr>
              <w:pStyle w:val="Compact"/>
            </w:pPr>
            <w:r>
              <w:t xml:space="preserve">Ratio vs UE actual</w:t>
            </w:r>
          </w:p>
        </w:tc>
      </w:tr>
      <w:tr>
        <w:tc>
          <w:tcPr/>
          <w:p>
            <w:pPr>
              <w:pStyle w:val="Compact"/>
            </w:pPr>
            <w:r>
              <w:rPr>
                <w:b/>
                <w:bCs/>
              </w:rPr>
              <w:t xml:space="preserve">Yuma</w:t>
            </w:r>
          </w:p>
        </w:tc>
        <w:tc>
          <w:tcPr/>
          <w:p>
            <w:pPr>
              <w:pStyle w:val="Compact"/>
            </w:pPr>
            <w:r>
              <w:rPr>
                <w:b/>
                <w:bCs/>
              </w:rPr>
              <w:t xml:space="preserve">0,723</w:t>
            </w:r>
          </w:p>
        </w:tc>
        <w:tc>
          <w:tcPr/>
          <w:p>
            <w:pPr>
              <w:pStyle w:val="Compact"/>
            </w:pPr>
            <w:r>
              <w:rPr>
                <w:b/>
                <w:bCs/>
              </w:rPr>
              <w:t xml:space="preserve">35,1</w:t>
            </w:r>
          </w:p>
        </w:tc>
        <w:tc>
          <w:tcPr/>
          <w:p>
            <w:pPr>
              <w:pStyle w:val="Compact"/>
            </w:pPr>
            <w:r>
              <w:rPr>
                <w:b/>
                <w:bCs/>
              </w:rPr>
              <w:t xml:space="preserve">×7,6</w:t>
            </w:r>
          </w:p>
        </w:tc>
      </w:tr>
      <w:tr>
        <w:tc>
          <w:tcPr/>
          <w:p>
            <w:pPr>
              <w:pStyle w:val="Compact"/>
            </w:pPr>
            <w:r>
              <w:rPr>
                <w:b/>
                <w:bCs/>
              </w:rPr>
              <w:t xml:space="preserve">Bama</w:t>
            </w:r>
          </w:p>
        </w:tc>
        <w:tc>
          <w:tcPr/>
          <w:p>
            <w:pPr>
              <w:pStyle w:val="Compact"/>
            </w:pPr>
            <w:r>
              <w:rPr>
                <w:b/>
                <w:bCs/>
              </w:rPr>
              <w:t xml:space="preserve">0,506</w:t>
            </w:r>
          </w:p>
        </w:tc>
        <w:tc>
          <w:tcPr/>
          <w:p>
            <w:pPr>
              <w:pStyle w:val="Compact"/>
            </w:pPr>
            <w:r>
              <w:rPr>
                <w:b/>
                <w:bCs/>
              </w:rPr>
              <w:t xml:space="preserve">22,3</w:t>
            </w:r>
          </w:p>
        </w:tc>
        <w:tc>
          <w:tcPr/>
          <w:p>
            <w:pPr>
              <w:pStyle w:val="Compact"/>
            </w:pPr>
            <w:r>
              <w:rPr>
                <w:b/>
                <w:bCs/>
              </w:rPr>
              <w:t xml:space="preserve">×4,8</w:t>
            </w:r>
          </w:p>
        </w:tc>
      </w:tr>
      <w:tr>
        <w:tc>
          <w:tcPr/>
          <w:p>
            <w:pPr>
              <w:pStyle w:val="Compact"/>
            </w:pPr>
            <w:r>
              <w:rPr>
                <w:i/>
                <w:iCs/>
              </w:rPr>
              <w:t xml:space="preserve">Baseline UE</w:t>
            </w:r>
          </w:p>
        </w:tc>
        <w:tc>
          <w:tcPr/>
          <w:p>
            <w:pPr>
              <w:pStyle w:val="Compact"/>
            </w:pPr>
            <w:r>
              <w:t xml:space="preserve">&lt;0,3</w:t>
            </w:r>
          </w:p>
        </w:tc>
        <w:tc>
          <w:tcPr/>
          <w:p>
            <w:pPr>
              <w:pStyle w:val="Compact"/>
            </w:pPr>
            <w:r>
              <w:t xml:space="preserve">~4,6</w:t>
            </w:r>
          </w:p>
        </w:tc>
        <w:tc>
          <w:tcPr/>
          <w:p>
            <w:pPr>
              <w:pStyle w:val="Compact"/>
            </w:pPr>
            <w:r>
              <w:t xml:space="preserve">—</w:t>
            </w:r>
          </w:p>
        </w:tc>
      </w:tr>
    </w:tbl>
    <w:p>
      <w:pPr>
        <w:pStyle w:val="BodyText"/>
      </w:pPr>
      <w:r>
        <w:t xml:space="preserve">Los resultados son sistemáticos y reproducibles: las variedades</w:t>
      </w:r>
      <w:r>
        <w:t xml:space="preserve"> </w:t>
      </w:r>
      <w:r>
        <w:rPr>
          <w:b/>
          <w:bCs/>
        </w:rPr>
        <w:t xml:space="preserve">Yuma</w:t>
      </w:r>
      <w:r>
        <w:t xml:space="preserve"> </w:t>
      </w:r>
      <w:r>
        <w:t xml:space="preserve">(0,723% THC) y</w:t>
      </w:r>
      <w:r>
        <w:t xml:space="preserve"> </w:t>
      </w:r>
      <w:r>
        <w:rPr>
          <w:b/>
          <w:bCs/>
        </w:rPr>
        <w:t xml:space="preserve">Bama</w:t>
      </w:r>
      <w:r>
        <w:t xml:space="preserve"> </w:t>
      </w:r>
      <w:r>
        <w:t xml:space="preserve">(0,506% THC) alcanzan rendimientos de</w:t>
      </w:r>
      <w:r>
        <w:t xml:space="preserve"> </w:t>
      </w:r>
      <w:r>
        <w:rPr>
          <w:b/>
          <w:bCs/>
        </w:rPr>
        <w:t xml:space="preserve">35,1 y 22,3 t/ha</w:t>
      </w:r>
      <w:r>
        <w:t xml:space="preserve"> </w:t>
      </w:r>
      <w:r>
        <w:t xml:space="preserve">respectivamente —entre</w:t>
      </w:r>
      <w:r>
        <w:t xml:space="preserve"> </w:t>
      </w:r>
      <w:r>
        <w:rPr>
          <w:b/>
          <w:bCs/>
        </w:rPr>
        <w:t xml:space="preserve">4,8 y 7,6 veces superiores</w:t>
      </w:r>
      <w:r>
        <w:t xml:space="preserve"> </w:t>
      </w:r>
      <w:r>
        <w:t xml:space="preserve">a las variedades europeas actuales.</w:t>
      </w:r>
    </w:p>
    <w:p>
      <w:pPr>
        <w:pStyle w:val="BodyText"/>
      </w:pPr>
      <w:r>
        <w:rPr>
          <w:b/>
          <w:bCs/>
        </w:rPr>
        <w:t xml:space="preserve">El patrón es inequívoco</w:t>
      </w:r>
      <w:r>
        <w:t xml:space="preserve">: Halker et al. [5], en su estudio</w:t>
      </w:r>
      <w:r>
        <w:t xml:space="preserve"> </w:t>
      </w:r>
      <w:r>
        <w:rPr>
          <w:i/>
          <w:iCs/>
        </w:rPr>
        <w:t xml:space="preserve">“Evaluating Chinese fiber hemp varieties and planting dates in North Carolina”</w:t>
      </w:r>
      <w:r>
        <w:t xml:space="preserve">, concluyeron que las variedades chinas de alto rendimiento, con niveles de THC entre</w:t>
      </w:r>
      <w:r>
        <w:t xml:space="preserve"> </w:t>
      </w:r>
      <w:r>
        <w:rPr>
          <w:b/>
          <w:bCs/>
        </w:rPr>
        <w:t xml:space="preserve">0,4% y 0,9%</w:t>
      </w:r>
      <w:r>
        <w:t xml:space="preserve">, son</w:t>
      </w:r>
      <w:r>
        <w:t xml:space="preserve"> </w:t>
      </w:r>
      <w:r>
        <w:rPr>
          <w:b/>
          <w:bCs/>
        </w:rPr>
        <w:t xml:space="preserve">inviables para el mercado europeo</w:t>
      </w:r>
      <w:r>
        <w:t xml:space="preserve"> </w:t>
      </w:r>
      <w:r>
        <w:t xml:space="preserve">bajo el umbral actual del 0,3%. Esto significa que Europa renuncia deliberadamente al germoplasma más productivo del mundo por una restricción regulatoria sin base científica sólida.</w:t>
      </w:r>
    </w:p>
    <w:p>
      <w:pPr>
        <w:pStyle w:val="BodyText"/>
      </w:pPr>
      <w:r>
        <w:t xml:space="preserve">Mientras Europa optimiza para cumplimiento químico, China desarrolla variedades capaces de producir</w:t>
      </w:r>
      <w:r>
        <w:t xml:space="preserve"> </w:t>
      </w:r>
      <w:r>
        <w:rPr>
          <w:b/>
          <w:bCs/>
        </w:rPr>
        <w:t xml:space="preserve">más de 35 toneladas de biomasa por hectárea</w:t>
      </w:r>
      <w:r>
        <w:t xml:space="preserve">. La divergencia estratégica no puede ser más clara:</w:t>
      </w:r>
      <w:r>
        <w:t xml:space="preserve"> </w:t>
      </w:r>
      <w:r>
        <w:rPr>
          <w:b/>
          <w:bCs/>
        </w:rPr>
        <w:t xml:space="preserve">selección por productividad versus selección por cumplimiento regulatorio</w:t>
      </w:r>
      <w:r>
        <w:t xml:space="preserve">.</w:t>
      </w:r>
    </w:p>
    <w:bookmarkEnd w:id="24"/>
    <w:bookmarkStart w:id="25" w:name="Xbbad177e43f693141bed4ce2cdf92999ce4a338"/>
    <w:p>
      <w:pPr>
        <w:pStyle w:val="Heading3"/>
      </w:pPr>
      <w:r>
        <w:t xml:space="preserve">Implicaciones para los objetivos climáticos europeos</w:t>
      </w:r>
    </w:p>
    <w:p>
      <w:pPr>
        <w:pStyle w:val="FirstParagraph"/>
      </w:pPr>
      <w:r>
        <w:t xml:space="preserve">El Parlamento Europeo reconoce explícitamente que el cáñamo</w:t>
      </w:r>
      <w:r>
        <w:t xml:space="preserve"> </w:t>
      </w:r>
      <w:r>
        <w:rPr>
          <w:b/>
          <w:bCs/>
        </w:rPr>
        <w:t xml:space="preserve">“contribuye a la salud del suelo y a la biodiversidad”</w:t>
      </w:r>
      <w:r>
        <w:t xml:space="preserve"> </w:t>
      </w:r>
      <w:r>
        <w:t xml:space="preserve">y constituye un cultivo de bajo impacto ambiental. Sin embargo, las restricciones al THC limitan drásticamente el potencial de captura de carbono del sector.</w:t>
      </w:r>
    </w:p>
    <w:p>
      <w:pPr>
        <w:pStyle w:val="BodyText"/>
      </w:pPr>
      <w:r>
        <w:t xml:space="preserve">Utilizando la conversión estequiométrica estándar (1 kg biomasa seca = 1,62 kg CO₂ absorbido) y la superficie actual de cáñamo europeo (~40.000 ha), los cálculos revelan el coste climático del umbral restrictivo:</w:t>
      </w:r>
    </w:p>
    <w:tbl>
      <w:tblPr>
        <w:tblStyle w:val="Table"/>
        <w:tblW w:type="pct" w:w="5000"/>
        <w:tblLayout w:type="fixed"/>
        <w:tblLook w:firstRow="1" w:lastRow="0" w:firstColumn="0" w:lastColumn="0" w:noHBand="0" w:noVBand="0" w:val="0020"/>
      </w:tblPr>
      <w:tblGrid>
        <w:gridCol w:w="2002"/>
        <w:gridCol w:w="1092"/>
        <w:gridCol w:w="1820"/>
        <w:gridCol w:w="1820"/>
        <w:gridCol w:w="1183"/>
      </w:tblGrid>
      <w:tr>
        <w:trPr>
          <w:tblHeader w:val="on"/>
        </w:trPr>
        <w:tc>
          <w:tcPr/>
          <w:p>
            <w:pPr>
              <w:pStyle w:val="Compact"/>
            </w:pPr>
            <w:r>
              <w:t xml:space="preserve">Escenario regulatorio</w:t>
            </w:r>
          </w:p>
        </w:tc>
        <w:tc>
          <w:tcPr/>
          <w:p>
            <w:pPr>
              <w:pStyle w:val="Compact"/>
            </w:pPr>
            <w:r>
              <w:t xml:space="preserve">THC máximo</w:t>
            </w:r>
          </w:p>
        </w:tc>
        <w:tc>
          <w:tcPr/>
          <w:p>
            <w:pPr>
              <w:pStyle w:val="Compact"/>
            </w:pPr>
            <w:r>
              <w:t xml:space="preserve">Biomasa total anual</w:t>
            </w:r>
          </w:p>
        </w:tc>
        <w:tc>
          <w:tcPr/>
          <w:p>
            <w:pPr>
              <w:pStyle w:val="Compact"/>
            </w:pPr>
            <w:r>
              <w:t xml:space="preserve">CO₂ secuestrado anual</w:t>
            </w:r>
          </w:p>
        </w:tc>
        <w:tc>
          <w:tcPr/>
          <w:p>
            <w:pPr>
              <w:pStyle w:val="Compact"/>
            </w:pPr>
            <w:r>
              <w:t xml:space="preserve">Diferencial</w:t>
            </w:r>
          </w:p>
        </w:tc>
      </w:tr>
      <w:tr>
        <w:tc>
          <w:tcPr/>
          <w:p>
            <w:pPr>
              <w:pStyle w:val="Compact"/>
            </w:pPr>
            <w:r>
              <w:rPr>
                <w:b/>
                <w:bCs/>
              </w:rPr>
              <w:t xml:space="preserve">Status quo UE</w:t>
            </w:r>
          </w:p>
        </w:tc>
        <w:tc>
          <w:tcPr/>
          <w:p>
            <w:pPr>
              <w:pStyle w:val="Compact"/>
            </w:pPr>
            <w:r>
              <w:t xml:space="preserve">0,2-0,3%</w:t>
            </w:r>
          </w:p>
        </w:tc>
        <w:tc>
          <w:tcPr/>
          <w:p>
            <w:pPr>
              <w:pStyle w:val="Compact"/>
            </w:pPr>
            <w:r>
              <w:t xml:space="preserve">200.000 t</w:t>
            </w:r>
          </w:p>
        </w:tc>
        <w:tc>
          <w:tcPr/>
          <w:p>
            <w:pPr>
              <w:pStyle w:val="Compact"/>
            </w:pPr>
            <w:r>
              <w:t xml:space="preserve">324.000 t</w:t>
            </w:r>
          </w:p>
        </w:tc>
        <w:tc>
          <w:tcPr/>
          <w:p>
            <w:pPr>
              <w:pStyle w:val="Compact"/>
            </w:pPr>
            <w:r>
              <w:rPr>
                <w:i/>
                <w:iCs/>
              </w:rPr>
              <w:t xml:space="preserve">baseline</w:t>
            </w:r>
          </w:p>
        </w:tc>
      </w:tr>
      <w:tr>
        <w:tc>
          <w:tcPr/>
          <w:p>
            <w:pPr>
              <w:pStyle w:val="Compact"/>
            </w:pPr>
            <w:r>
              <w:rPr>
                <w:b/>
                <w:bCs/>
              </w:rPr>
              <w:t xml:space="preserve">Carmagnola (histórico)</w:t>
            </w:r>
          </w:p>
        </w:tc>
        <w:tc>
          <w:tcPr/>
          <w:p>
            <w:pPr>
              <w:pStyle w:val="Compact"/>
            </w:pPr>
            <w:r>
              <w:t xml:space="preserve">0,5%</w:t>
            </w:r>
          </w:p>
        </w:tc>
        <w:tc>
          <w:tcPr/>
          <w:p>
            <w:pPr>
              <w:pStyle w:val="Compact"/>
            </w:pPr>
            <w:r>
              <w:t xml:space="preserve">344.800 t</w:t>
            </w:r>
          </w:p>
        </w:tc>
        <w:tc>
          <w:tcPr/>
          <w:p>
            <w:pPr>
              <w:pStyle w:val="Compact"/>
            </w:pPr>
            <w:r>
              <w:t xml:space="preserve">558.576 t</w:t>
            </w:r>
          </w:p>
        </w:tc>
        <w:tc>
          <w:tcPr/>
          <w:p>
            <w:pPr>
              <w:pStyle w:val="Compact"/>
            </w:pPr>
            <w:r>
              <w:rPr>
                <w:b/>
                <w:bCs/>
              </w:rPr>
              <w:t xml:space="preserve">+72%</w:t>
            </w:r>
          </w:p>
        </w:tc>
      </w:tr>
      <w:tr>
        <w:tc>
          <w:tcPr/>
          <w:p>
            <w:pPr>
              <w:pStyle w:val="Compact"/>
            </w:pPr>
            <w:r>
              <w:rPr>
                <w:b/>
                <w:bCs/>
              </w:rPr>
              <w:t xml:space="preserve">Germoplasma asiático</w:t>
            </w:r>
          </w:p>
        </w:tc>
        <w:tc>
          <w:tcPr/>
          <w:p>
            <w:pPr>
              <w:pStyle w:val="Compact"/>
            </w:pPr>
            <w:r>
              <w:t xml:space="preserve">0,7-1,0%</w:t>
            </w:r>
          </w:p>
        </w:tc>
        <w:tc>
          <w:tcPr/>
          <w:p>
            <w:pPr>
              <w:pStyle w:val="Compact"/>
            </w:pPr>
            <w:r>
              <w:t xml:space="preserve">1.000.000 t</w:t>
            </w:r>
          </w:p>
        </w:tc>
        <w:tc>
          <w:tcPr/>
          <w:p>
            <w:pPr>
              <w:pStyle w:val="Compact"/>
            </w:pPr>
            <w:r>
              <w:rPr>
                <w:b/>
                <w:bCs/>
              </w:rPr>
              <w:t xml:space="preserve">1.620.000 t</w:t>
            </w:r>
          </w:p>
        </w:tc>
        <w:tc>
          <w:tcPr/>
          <w:p>
            <w:pPr>
              <w:pStyle w:val="Compact"/>
            </w:pPr>
            <w:r>
              <w:rPr>
                <w:b/>
                <w:bCs/>
              </w:rPr>
              <w:t xml:space="preserve">+400%</w:t>
            </w:r>
          </w:p>
        </w:tc>
      </w:tr>
    </w:tbl>
    <w:p>
      <w:pPr>
        <w:pStyle w:val="BodyText"/>
      </w:pPr>
      <w:r>
        <w:rPr>
          <w:b/>
          <w:bCs/>
        </w:rPr>
        <w:t xml:space="preserve">Coste de oportunidad climático: 1.296.000 toneladas de CO₂ anuales no capturadas.</w:t>
      </w:r>
    </w:p>
    <w:p>
      <w:pPr>
        <w:pStyle w:val="BodyText"/>
      </w:pPr>
      <w:r>
        <w:t xml:space="preserve">Para contextualizar esta magnitud en términos de políticas climáticas europeas:</w:t>
      </w:r>
    </w:p>
    <w:p>
      <w:pPr>
        <w:pStyle w:val="Compact"/>
        <w:numPr>
          <w:ilvl w:val="0"/>
          <w:numId w:val="1006"/>
        </w:numPr>
      </w:pPr>
      <w:r>
        <w:rPr>
          <w:b/>
          <w:bCs/>
        </w:rPr>
        <w:t xml:space="preserve">Equivale a las emisiones anuales</w:t>
      </w:r>
      <w:r>
        <w:t xml:space="preserve"> </w:t>
      </w:r>
      <w:r>
        <w:t xml:space="preserve">de 324.000 automóviles europeos promedio</w:t>
      </w:r>
    </w:p>
    <w:p>
      <w:pPr>
        <w:pStyle w:val="Compact"/>
        <w:numPr>
          <w:ilvl w:val="0"/>
          <w:numId w:val="1006"/>
        </w:numPr>
      </w:pPr>
      <w:r>
        <w:rPr>
          <w:b/>
          <w:bCs/>
        </w:rPr>
        <w:t xml:space="preserve">Representa la capacidad de absorción de 400.000 hectáreas de selva amazónica</w:t>
      </w:r>
      <w:r>
        <w:t xml:space="preserve"> </w:t>
      </w:r>
      <w:r>
        <w:t xml:space="preserve">—una superficie mayor que Luxemburgo</w:t>
      </w:r>
    </w:p>
    <w:p>
      <w:pPr>
        <w:pStyle w:val="FirstParagraph"/>
      </w:pPr>
      <w:r>
        <w:rPr>
          <w:b/>
          <w:bCs/>
        </w:rPr>
        <w:t xml:space="preserve">La paradoja regulatoria es evidente</w:t>
      </w:r>
      <w:r>
        <w:t xml:space="preserve">: mientras la UE invierte miles de millones en tecnologías de captura de carbono, simultáneamente restringe el acceso a germoplasma vegetal que podría quintuplicar la eficiencia de secuestro del sector cáñamo</w:t>
      </w:r>
      <w:r>
        <w:t xml:space="preserve"> </w:t>
      </w:r>
      <w:r>
        <w:rPr>
          <w:b/>
          <w:bCs/>
        </w:rPr>
        <w:t xml:space="preserve">sin coste adicional de superficie agrícola</w:t>
      </w:r>
      <w:r>
        <w:t xml:space="preserve">.</w:t>
      </w:r>
    </w:p>
    <w:bookmarkEnd w:id="25"/>
    <w:bookmarkStart w:id="26" w:name="X1e0955e62fcb2ec9d85bfd0c410f873580af704"/>
    <w:p>
      <w:pPr>
        <w:pStyle w:val="Heading3"/>
      </w:pPr>
      <w:r>
        <w:t xml:space="preserve">Conclusión: coherencia política y evidencia científica</w:t>
      </w:r>
    </w:p>
    <w:p>
      <w:pPr>
        <w:pStyle w:val="FirstParagraph"/>
      </w:pPr>
      <w:r>
        <w:t xml:space="preserve">La evidencia empírica presentada revela una</w:t>
      </w:r>
      <w:r>
        <w:t xml:space="preserve"> </w:t>
      </w:r>
      <w:r>
        <w:rPr>
          <w:b/>
          <w:bCs/>
        </w:rPr>
        <w:t xml:space="preserve">incongruencia fundamental</w:t>
      </w:r>
      <w:r>
        <w:t xml:space="preserve"> </w:t>
      </w:r>
      <w:r>
        <w:t xml:space="preserve">en el marco regulatorio europeo. El Parlamento Europeo reconoce oficialmente que el cáñamo industrial contribuye a los objetivos climáticos, de biodiversidad y de sostenibilidad agrícola. Simultáneamente, las restricciones al contenido de THC excluyen sistemáticamente el germoplasma que maximizaría estas contribuciones.</w:t>
      </w:r>
    </w:p>
    <w:p>
      <w:pPr>
        <w:pStyle w:val="BodyText"/>
      </w:pPr>
      <w:r>
        <w:t xml:space="preserve">Los datos son inequívocos:</w:t>
      </w:r>
    </w:p>
    <w:p>
      <w:pPr>
        <w:pStyle w:val="Compact"/>
        <w:numPr>
          <w:ilvl w:val="0"/>
          <w:numId w:val="1007"/>
        </w:numPr>
      </w:pPr>
      <w:r>
        <w:rPr>
          <w:b/>
          <w:bCs/>
        </w:rPr>
        <w:t xml:space="preserve">Carmagnola</w:t>
      </w:r>
      <w:r>
        <w:t xml:space="preserve"> </w:t>
      </w:r>
      <w:r>
        <w:t xml:space="preserve">(+87% rendimiento) permanece excluida por 0,1-0,3 puntos porcentuales de THC</w:t>
      </w:r>
    </w:p>
    <w:p>
      <w:pPr>
        <w:pStyle w:val="Compact"/>
        <w:numPr>
          <w:ilvl w:val="0"/>
          <w:numId w:val="1007"/>
        </w:numPr>
      </w:pPr>
      <w:r>
        <w:rPr>
          <w:b/>
          <w:bCs/>
        </w:rPr>
        <w:t xml:space="preserve">Variedades asiáticas de élite</w:t>
      </w:r>
      <w:r>
        <w:t xml:space="preserve"> </w:t>
      </w:r>
      <w:r>
        <w:t xml:space="preserve">(×4-7 rendimiento superior) son inaccesibles bajo el umbral actual</w:t>
      </w:r>
    </w:p>
    <w:p>
      <w:pPr>
        <w:pStyle w:val="Compact"/>
        <w:numPr>
          <w:ilvl w:val="0"/>
          <w:numId w:val="1007"/>
        </w:numPr>
      </w:pPr>
      <w:r>
        <w:rPr>
          <w:b/>
          <w:bCs/>
        </w:rPr>
        <w:t xml:space="preserve">1.296.000 toneladas anuales de CO₂</w:t>
      </w:r>
      <w:r>
        <w:t xml:space="preserve"> </w:t>
      </w:r>
      <w:r>
        <w:t xml:space="preserve">no se capturan por restricciones regulatorias, no agronómicas</w:t>
      </w:r>
    </w:p>
    <w:p>
      <w:pPr>
        <w:pStyle w:val="FirstParagraph"/>
      </w:pPr>
      <w:r>
        <w:t xml:space="preserve">La evidencia científica presentada conduce a una conclusión inequívoca:</w:t>
      </w:r>
      <w:r>
        <w:t xml:space="preserve"> </w:t>
      </w:r>
      <w:r>
        <w:rPr>
          <w:b/>
          <w:bCs/>
        </w:rPr>
        <w:t xml:space="preserve">las variedades de cáñamo con mayor potencial agronómico y medioambiental se sitúan sistemáticamente por encima del 0,5% de THC</w:t>
      </w:r>
      <w:r>
        <w:t xml:space="preserve">. Las genéticas de élite —tanto europeas tradicionales como asiáticas— expresan perfiles de THC en el rango 0,4-0,9%, incompatibles con cualquier umbral inferior al 1,0%.</w:t>
      </w:r>
    </w:p>
    <w:p>
      <w:pPr>
        <w:pStyle w:val="BodyText"/>
      </w:pPr>
      <w:r>
        <w:t xml:space="preserve">Esta observación científica coincide con la valoración del Dr. Ernest Small, autor original del criterio del 0,3%, quien en 2021 concluyó que</w:t>
      </w:r>
      <w:r>
        <w:t xml:space="preserve"> </w:t>
      </w:r>
      <w:r>
        <w:rPr>
          <w:i/>
          <w:iCs/>
        </w:rPr>
        <w:t xml:space="preserve">“1% THC would be a more suitable criterion”</w:t>
      </w:r>
      <w:r>
        <w:t xml:space="preserve"> </w:t>
      </w:r>
      <w:r>
        <w:t xml:space="preserve">para el cáñamo industrial, reconociendo que el potencial de abuso práctico requiere concentraciones significativamente superiores.</w:t>
      </w:r>
    </w:p>
    <w:p>
      <w:pPr>
        <w:pStyle w:val="BodyText"/>
      </w:pPr>
      <w:r>
        <w:t xml:space="preserve">La cuestión central trasciende la química analítica:</w:t>
      </w:r>
      <w:r>
        <w:t xml:space="preserve"> </w:t>
      </w:r>
      <w:r>
        <w:rPr>
          <w:b/>
          <w:bCs/>
        </w:rPr>
        <w:t xml:space="preserve">¿debe la política agrícola europea optimizar para el cumplimiento de umbrales arbitrarios o para la maximización de beneficios agronómicos, ambientales y climáticos?</w:t>
      </w:r>
    </w:p>
    <w:p>
      <w:pPr>
        <w:pStyle w:val="BodyText"/>
      </w:pPr>
      <w:r>
        <w:t xml:space="preserve">Los datos sugieren que el coste de oportunidad del status quo —medido en competitividad perdida, captura de carbono no realizada y potencial agronómico desaprovechado— excede ampliamente cualquier beneficio regulatorio de mantener restricciones ultra-conservadoras sobre una materia prima industrial segura y legal.</w:t>
      </w:r>
    </w:p>
    <w:p>
      <w:pPr>
        <w:pStyle w:val="BodyText"/>
      </w:pPr>
      <w:r>
        <w:rPr>
          <w:b/>
          <w:bCs/>
        </w:rPr>
        <w:t xml:space="preserve">Esta evidencia científica ya está influyendo en la política internacional</w:t>
      </w:r>
      <w:r>
        <w:t xml:space="preserve">: un número creciente de jurisdicciones ha adoptado el umbral del 1% THC, reconociendo las realidades agronómicas que la presente sección ha documentado.</w:t>
      </w:r>
    </w:p>
    <w:p>
      <w:r>
        <w:pict>
          <v:rect style="width:0;height:1.5pt" o:hralign="center" o:hrstd="t" o:hr="t"/>
        </w:pict>
      </w:r>
    </w:p>
    <w:bookmarkEnd w:id="26"/>
    <w:bookmarkEnd w:id="27"/>
    <w:bookmarkStart w:id="35" w:name="X6bc7e6deea55a7b7e66a65f852672ec26f81f5c"/>
    <w:p>
      <w:pPr>
        <w:pStyle w:val="Heading2"/>
      </w:pPr>
      <w:r>
        <w:t xml:space="preserve">2.3 ARGUMENTO POLÍTICO-ECONÓMICO: EUROPA DEBE ALINEARSE CON LA TENDENCIA INTERNACIONAL</w:t>
      </w:r>
    </w:p>
    <w:p>
      <w:pPr>
        <w:pStyle w:val="FirstParagraph"/>
      </w:pPr>
      <w:r>
        <w:t xml:space="preserve">El</w:t>
      </w:r>
      <w:r>
        <w:t xml:space="preserve"> </w:t>
      </w:r>
      <w:r>
        <w:rPr>
          <w:b/>
          <w:bCs/>
        </w:rPr>
        <w:t xml:space="preserve">1% THC</w:t>
      </w:r>
      <w:r>
        <w:t xml:space="preserve"> </w:t>
      </w:r>
      <w:r>
        <w:t xml:space="preserve">no es una propuesta radical: es una</w:t>
      </w:r>
      <w:r>
        <w:t xml:space="preserve"> </w:t>
      </w:r>
      <w:r>
        <w:rPr>
          <w:b/>
          <w:bCs/>
        </w:rPr>
        <w:t xml:space="preserve">tendencia internacional acelerada</w:t>
      </w:r>
      <w:r>
        <w:t xml:space="preserve">. Mientras que entre 2011 y 2017 solo 5 jurisdicciones pioneras adoptaron este umbral,</w:t>
      </w:r>
      <w:r>
        <w:t xml:space="preserve"> </w:t>
      </w:r>
      <w:r>
        <w:rPr>
          <w:b/>
          <w:bCs/>
        </w:rPr>
        <w:t xml:space="preserve">en los últimos 6 años se han sumado casi 20 más</w:t>
      </w:r>
      <w:r>
        <w:t xml:space="preserve">. Solo entre 2023 y 2025, 9 países han adoptado o anunciado el 1% THC. La pregunta ya no es si el mundo convergerá hacia este estándar, sino cuánto tardará Europa en alinearse.</w:t>
      </w:r>
    </w:p>
    <w:p>
      <w:pPr>
        <w:pStyle w:val="BodyText"/>
      </w:pPr>
      <w:r>
        <w:t xml:space="preserve">El caso más avanzado es</w:t>
      </w:r>
      <w:r>
        <w:t xml:space="preserve"> </w:t>
      </w:r>
      <w:r>
        <w:rPr>
          <w:b/>
          <w:bCs/>
        </w:rPr>
        <w:t xml:space="preserve">Sudáfrica</w:t>
      </w:r>
      <w:r>
        <w:t xml:space="preserve">, que en diciembre 2025 elevó su umbral al</w:t>
      </w:r>
      <w:r>
        <w:t xml:space="preserve"> </w:t>
      </w:r>
      <w:r>
        <w:rPr>
          <w:b/>
          <w:bCs/>
        </w:rPr>
        <w:t xml:space="preserve">2,0% THC</w:t>
      </w:r>
      <w:r>
        <w:t xml:space="preserve">, justificándolo por condiciones climáticas que aumentan naturalmente el contenido de THC y la necesidad de evitar pérdidas de cultivos (</w:t>
      </w:r>
      <w:r>
        <w:t xml:space="preserve">“hot crops”</w:t>
      </w:r>
      <w:r>
        <w:t xml:space="preserve">). Este precedente demuestra que incluso umbrales superiores al 1% son viables sin comprometer la seguridad pública.</w:t>
      </w:r>
    </w:p>
    <w:p>
      <w:pPr>
        <w:pStyle w:val="BodyText"/>
      </w:pPr>
      <w:r>
        <w:t xml:space="preserve">Sin embargo, el</w:t>
      </w:r>
      <w:r>
        <w:t xml:space="preserve"> </w:t>
      </w:r>
      <w:r>
        <w:rPr>
          <w:b/>
          <w:bCs/>
        </w:rPr>
        <w:t xml:space="preserve">estándar internacional predominante es el 1% THC</w:t>
      </w:r>
      <w:r>
        <w:t xml:space="preserve">, adoptado por más de 20 jurisdicciones en todos los continentes:</w:t>
      </w:r>
    </w:p>
    <w:bookmarkStart w:id="29" w:name="zona-europea-y-espacio-económico"/>
    <w:p>
      <w:pPr>
        <w:pStyle w:val="Heading3"/>
      </w:pPr>
      <w:r>
        <w:t xml:space="preserve">Zona Europea y Espacio Económico</w:t>
      </w:r>
    </w:p>
    <w:tbl>
      <w:tblPr>
        <w:tblStyle w:val="Table"/>
        <w:tblW w:type="pct" w:w="5000"/>
        <w:tblLayout w:type="fixed"/>
        <w:tblLook w:firstRow="1" w:lastRow="0" w:firstColumn="0" w:lastColumn="0" w:noHBand="0" w:noVBand="0" w:val="0020"/>
      </w:tblPr>
      <w:tblGrid>
        <w:gridCol w:w="864"/>
        <w:gridCol w:w="1584"/>
        <w:gridCol w:w="1872"/>
        <w:gridCol w:w="1440"/>
        <w:gridCol w:w="2160"/>
      </w:tblGrid>
      <w:tr>
        <w:trPr>
          <w:tblHeader w:val="on"/>
        </w:trPr>
        <w:tc>
          <w:tcPr/>
          <w:p>
            <w:pPr>
              <w:pStyle w:val="Compact"/>
            </w:pPr>
            <w:r>
              <w:t xml:space="preserve">País</w:t>
            </w:r>
          </w:p>
        </w:tc>
        <w:tc>
          <w:tcPr/>
          <w:p>
            <w:pPr>
              <w:pStyle w:val="Compact"/>
            </w:pPr>
            <w:r>
              <w:t xml:space="preserve">Límite THC</w:t>
            </w:r>
          </w:p>
        </w:tc>
        <w:tc>
          <w:tcPr/>
          <w:p>
            <w:pPr>
              <w:pStyle w:val="Compact"/>
            </w:pPr>
            <w:r>
              <w:t xml:space="preserve">Marco legal</w:t>
            </w:r>
          </w:p>
        </w:tc>
        <w:tc>
          <w:tcPr/>
          <w:p>
            <w:pPr>
              <w:pStyle w:val="Compact"/>
            </w:pPr>
            <w:r>
              <w:t xml:space="preserve">Vigencia</w:t>
            </w:r>
          </w:p>
        </w:tc>
        <w:tc>
          <w:tcPr/>
          <w:p>
            <w:pPr>
              <w:pStyle w:val="Compact"/>
            </w:pPr>
            <w:r>
              <w:t xml:space="preserve">Observaciones</w:t>
            </w:r>
          </w:p>
        </w:tc>
      </w:tr>
      <w:tr>
        <w:tc>
          <w:tcPr/>
          <w:p>
            <w:pPr>
              <w:pStyle w:val="Compact"/>
            </w:pPr>
            <w:r>
              <w:rPr>
                <w:b/>
                <w:bCs/>
              </w:rPr>
              <w:t xml:space="preserve">Suiza</w:t>
            </w:r>
          </w:p>
        </w:tc>
        <w:tc>
          <w:tcPr/>
          <w:p>
            <w:pPr>
              <w:pStyle w:val="Compact"/>
            </w:pPr>
            <w:r>
              <w:t xml:space="preserve">1,0%</w:t>
            </w:r>
          </w:p>
        </w:tc>
        <w:tc>
          <w:tcPr/>
          <w:p>
            <w:pPr>
              <w:pStyle w:val="Compact"/>
            </w:pPr>
            <w:r>
              <w:t xml:space="preserve">Ley de Estupefacientes (LStup)</w:t>
            </w:r>
          </w:p>
        </w:tc>
        <w:tc>
          <w:tcPr/>
          <w:p>
            <w:pPr>
              <w:pStyle w:val="Compact"/>
            </w:pPr>
            <w:r>
              <w:t xml:space="preserve">2011</w:t>
            </w:r>
          </w:p>
        </w:tc>
        <w:tc>
          <w:tcPr/>
          <w:p>
            <w:pPr>
              <w:pStyle w:val="Compact"/>
            </w:pPr>
            <w:r>
              <w:t xml:space="preserve">Pionera europea. Comercializa en mercado UE &gt;10 años sin incidentes.</w:t>
            </w:r>
          </w:p>
        </w:tc>
      </w:tr>
      <w:tr>
        <w:tc>
          <w:tcPr/>
          <w:p>
            <w:pPr>
              <w:pStyle w:val="Compact"/>
            </w:pPr>
            <w:r>
              <w:rPr>
                <w:b/>
                <w:bCs/>
              </w:rPr>
              <w:t xml:space="preserve">Luxemburgo</w:t>
            </w:r>
          </w:p>
        </w:tc>
        <w:tc>
          <w:tcPr/>
          <w:p>
            <w:pPr>
              <w:pStyle w:val="Compact"/>
            </w:pPr>
            <w:r>
              <w:t xml:space="preserve">≤1,0%</w:t>
            </w:r>
          </w:p>
        </w:tc>
        <w:tc>
          <w:tcPr/>
          <w:p>
            <w:pPr>
              <w:pStyle w:val="Compact"/>
            </w:pPr>
            <w:r>
              <w:t xml:space="preserve">Tobacco Control Act</w:t>
            </w:r>
          </w:p>
        </w:tc>
        <w:tc>
          <w:tcPr/>
          <w:p>
            <w:pPr>
              <w:pStyle w:val="Compact"/>
            </w:pPr>
            <w:r>
              <w:t xml:space="preserve">2023</w:t>
            </w:r>
          </w:p>
        </w:tc>
        <w:tc>
          <w:tcPr/>
          <w:p>
            <w:pPr>
              <w:pStyle w:val="Compact"/>
            </w:pPr>
            <w:r>
              <w:t xml:space="preserve">Estado miembro UE. Productos sustitutos de tabaco.</w:t>
            </w:r>
          </w:p>
        </w:tc>
      </w:tr>
      <w:tr>
        <w:tc>
          <w:tcPr/>
          <w:p>
            <w:pPr>
              <w:pStyle w:val="Compact"/>
            </w:pPr>
            <w:r>
              <w:rPr>
                <w:b/>
                <w:bCs/>
              </w:rPr>
              <w:t xml:space="preserve">República Checa</w:t>
            </w:r>
          </w:p>
        </w:tc>
        <w:tc>
          <w:tcPr/>
          <w:p>
            <w:pPr>
              <w:pStyle w:val="Compact"/>
            </w:pPr>
            <w:r>
              <w:t xml:space="preserve">1,0%</w:t>
            </w:r>
          </w:p>
        </w:tc>
        <w:tc>
          <w:tcPr/>
          <w:p>
            <w:pPr>
              <w:pStyle w:val="Compact"/>
            </w:pPr>
            <w:r>
              <w:t xml:space="preserve">Ley Sustancias Psicomodulatorias</w:t>
            </w:r>
          </w:p>
        </w:tc>
        <w:tc>
          <w:tcPr/>
          <w:p>
            <w:pPr>
              <w:pStyle w:val="Compact"/>
            </w:pPr>
            <w:r>
              <w:t xml:space="preserve">Ene 2025</w:t>
            </w:r>
          </w:p>
        </w:tc>
        <w:tc>
          <w:tcPr/>
          <w:p>
            <w:pPr>
              <w:pStyle w:val="Compact"/>
            </w:pPr>
            <w:r>
              <w:t xml:space="preserve">Acuerdos bilaterales con Uruguay para importación.</w:t>
            </w:r>
          </w:p>
        </w:tc>
      </w:tr>
      <w:tr>
        <w:tc>
          <w:tcPr/>
          <w:p>
            <w:pPr>
              <w:pStyle w:val="Compact"/>
            </w:pPr>
            <w:r>
              <w:rPr>
                <w:b/>
                <w:bCs/>
              </w:rPr>
              <w:t xml:space="preserve">Albania</w:t>
            </w:r>
          </w:p>
        </w:tc>
        <w:tc>
          <w:tcPr/>
          <w:p>
            <w:pPr>
              <w:pStyle w:val="Compact"/>
            </w:pPr>
            <w:r>
              <w:t xml:space="preserve">≤1,0%</w:t>
            </w:r>
          </w:p>
        </w:tc>
        <w:tc>
          <w:tcPr/>
          <w:p>
            <w:pPr>
              <w:pStyle w:val="Compact"/>
            </w:pPr>
            <w:r>
              <w:t xml:space="preserve">Cannabis Law 61/2023</w:t>
            </w:r>
          </w:p>
        </w:tc>
        <w:tc>
          <w:tcPr/>
          <w:p>
            <w:pPr>
              <w:pStyle w:val="Compact"/>
            </w:pPr>
            <w:r>
              <w:t xml:space="preserve">2023</w:t>
            </w:r>
          </w:p>
        </w:tc>
        <w:tc>
          <w:tcPr/>
          <w:p>
            <w:pPr>
              <w:pStyle w:val="Compact"/>
            </w:pPr>
            <w:r>
              <w:t xml:space="preserve">Cáñamo industrial.</w:t>
            </w:r>
          </w:p>
        </w:tc>
      </w:tr>
      <w:tr>
        <w:tc>
          <w:tcPr/>
          <w:p>
            <w:pPr>
              <w:pStyle w:val="Compact"/>
            </w:pPr>
            <w:r>
              <w:rPr>
                <w:b/>
                <w:bCs/>
              </w:rPr>
              <w:t xml:space="preserve">España</w:t>
            </w:r>
          </w:p>
        </w:tc>
        <w:tc>
          <w:tcPr/>
          <w:p>
            <w:pPr>
              <w:pStyle w:val="Compact"/>
            </w:pPr>
            <w:r>
              <w:t xml:space="preserve">1,0%</w:t>
            </w:r>
          </w:p>
        </w:tc>
        <w:tc>
          <w:tcPr/>
          <w:p>
            <w:pPr>
              <w:pStyle w:val="Compact"/>
            </w:pPr>
            <w:r>
              <w:t xml:space="preserve">PNL 161/004332</w:t>
            </w:r>
          </w:p>
        </w:tc>
        <w:tc>
          <w:tcPr/>
          <w:p>
            <w:pPr>
              <w:pStyle w:val="Compact"/>
            </w:pPr>
            <w:r>
              <w:t xml:space="preserve">Ene 2023</w:t>
            </w:r>
          </w:p>
        </w:tc>
        <w:tc>
          <w:tcPr/>
          <w:p>
            <w:pPr>
              <w:pStyle w:val="Compact"/>
            </w:pPr>
            <w:r>
              <w:t xml:space="preserve">Mandato parlamentario pendiente de implementación.</w:t>
            </w:r>
          </w:p>
        </w:tc>
      </w:tr>
      <w:tr>
        <w:tc>
          <w:tcPr/>
          <w:p>
            <w:pPr>
              <w:pStyle w:val="Compact"/>
            </w:pPr>
            <w:r>
              <w:rPr>
                <w:b/>
                <w:bCs/>
              </w:rPr>
              <w:t xml:space="preserve">Alemania</w:t>
            </w:r>
          </w:p>
        </w:tc>
        <w:tc>
          <w:tcPr/>
          <w:p>
            <w:pPr>
              <w:pStyle w:val="Compact"/>
            </w:pPr>
            <w:r>
              <w:t xml:space="preserve">1,0%</w:t>
            </w:r>
          </w:p>
        </w:tc>
        <w:tc>
          <w:tcPr/>
          <w:p>
            <w:pPr>
              <w:pStyle w:val="Compact"/>
            </w:pPr>
            <w:r>
              <w:t xml:space="preserve">DAB 2020 - Cannabis extractum normatum</w:t>
            </w:r>
          </w:p>
        </w:tc>
        <w:tc>
          <w:tcPr/>
          <w:p>
            <w:pPr>
              <w:pStyle w:val="Compact"/>
            </w:pPr>
            <w:r>
              <w:t xml:space="preserve">Jun 2020</w:t>
            </w:r>
          </w:p>
        </w:tc>
        <w:tc>
          <w:tcPr/>
          <w:p>
            <w:pPr>
              <w:pStyle w:val="Compact"/>
            </w:pPr>
            <w:hyperlink r:id="rId28">
              <w:r>
                <w:rPr>
                  <w:rStyle w:val="Hyperlink"/>
                </w:rPr>
                <w:t xml:space="preserve">Monografía oficial extractos</w:t>
              </w:r>
            </w:hyperlink>
            <w:r>
              <w:t xml:space="preserve">: mínimo 1% THC (BfArM). Si bien no es límite para cáñamo, la monografía oficial define que</w:t>
            </w:r>
            <w:r>
              <w:t xml:space="preserve"> </w:t>
            </w:r>
            <w:r>
              <w:rPr>
                <w:b/>
                <w:bCs/>
              </w:rPr>
              <w:t xml:space="preserve">por debajo del 1% no se considera medicinal</w:t>
            </w:r>
            <w:r>
              <w:t xml:space="preserve">.</w:t>
            </w:r>
          </w:p>
        </w:tc>
      </w:tr>
    </w:tbl>
    <w:bookmarkEnd w:id="29"/>
    <w:bookmarkStart w:id="32" w:name="zona-mercosur-y-latinoamérica"/>
    <w:p>
      <w:pPr>
        <w:pStyle w:val="Heading3"/>
      </w:pPr>
      <w:r>
        <w:t xml:space="preserve">Zona Mercosur y Latinoamérica</w:t>
      </w:r>
    </w:p>
    <w:p>
      <w:pPr>
        <w:pStyle w:val="FirstParagraph"/>
      </w:pPr>
      <w:r>
        <w:t xml:space="preserve">El bloque latinoamericano ha adoptado mayoritariamente el</w:t>
      </w:r>
      <w:r>
        <w:t xml:space="preserve"> </w:t>
      </w:r>
      <w:r>
        <w:rPr>
          <w:b/>
          <w:bCs/>
        </w:rPr>
        <w:t xml:space="preserve">1% THC</w:t>
      </w:r>
      <w:r>
        <w:t xml:space="preserve">, con implicaciones directas para la política comercial europea:</w:t>
      </w:r>
    </w:p>
    <w:tbl>
      <w:tblPr>
        <w:tblStyle w:val="Table"/>
        <w:tblW w:type="pct" w:w="5000"/>
        <w:tblLayout w:type="fixed"/>
        <w:tblLook w:firstRow="1" w:lastRow="0" w:firstColumn="0" w:lastColumn="0" w:noHBand="0" w:noVBand="0" w:val="0020"/>
      </w:tblPr>
      <w:tblGrid>
        <w:gridCol w:w="864"/>
        <w:gridCol w:w="1584"/>
        <w:gridCol w:w="1872"/>
        <w:gridCol w:w="1440"/>
        <w:gridCol w:w="2160"/>
      </w:tblGrid>
      <w:tr>
        <w:trPr>
          <w:tblHeader w:val="on"/>
        </w:trPr>
        <w:tc>
          <w:tcPr/>
          <w:p>
            <w:pPr>
              <w:pStyle w:val="Compact"/>
            </w:pPr>
            <w:r>
              <w:t xml:space="preserve">País</w:t>
            </w:r>
          </w:p>
        </w:tc>
        <w:tc>
          <w:tcPr/>
          <w:p>
            <w:pPr>
              <w:pStyle w:val="Compact"/>
            </w:pPr>
            <w:r>
              <w:t xml:space="preserve">Límite THC</w:t>
            </w:r>
          </w:p>
        </w:tc>
        <w:tc>
          <w:tcPr/>
          <w:p>
            <w:pPr>
              <w:pStyle w:val="Compact"/>
            </w:pPr>
            <w:r>
              <w:t xml:space="preserve">Marco legal</w:t>
            </w:r>
          </w:p>
        </w:tc>
        <w:tc>
          <w:tcPr/>
          <w:p>
            <w:pPr>
              <w:pStyle w:val="Compact"/>
            </w:pPr>
            <w:r>
              <w:t xml:space="preserve">Vigencia</w:t>
            </w:r>
          </w:p>
        </w:tc>
        <w:tc>
          <w:tcPr/>
          <w:p>
            <w:pPr>
              <w:pStyle w:val="Compact"/>
            </w:pPr>
            <w:r>
              <w:t xml:space="preserve">Observaciones</w:t>
            </w:r>
          </w:p>
        </w:tc>
      </w:tr>
      <w:tr>
        <w:tc>
          <w:tcPr/>
          <w:p>
            <w:pPr>
              <w:pStyle w:val="Compact"/>
            </w:pPr>
            <w:r>
              <w:rPr>
                <w:b/>
                <w:bCs/>
              </w:rPr>
              <w:t xml:space="preserve">Uruguay</w:t>
            </w:r>
          </w:p>
        </w:tc>
        <w:tc>
          <w:tcPr/>
          <w:p>
            <w:pPr>
              <w:pStyle w:val="Compact"/>
            </w:pPr>
            <w:r>
              <w:t xml:space="preserve">1,0%</w:t>
            </w:r>
          </w:p>
        </w:tc>
        <w:tc>
          <w:tcPr/>
          <w:p>
            <w:pPr>
              <w:pStyle w:val="Compact"/>
            </w:pPr>
            <w:r>
              <w:t xml:space="preserve">Ley 19.172 + Decreto 372/2014</w:t>
            </w:r>
          </w:p>
        </w:tc>
        <w:tc>
          <w:tcPr/>
          <w:p>
            <w:pPr>
              <w:pStyle w:val="Compact"/>
            </w:pPr>
            <w:r>
              <w:t xml:space="preserve">Dic 2013</w:t>
            </w:r>
          </w:p>
        </w:tc>
        <w:tc>
          <w:tcPr/>
          <w:p>
            <w:pPr>
              <w:pStyle w:val="Compact"/>
            </w:pPr>
            <w:r>
              <w:t xml:space="preserve">Pionero regional.</w:t>
            </w:r>
            <w:r>
              <w:t xml:space="preserve"> </w:t>
            </w:r>
            <w:hyperlink r:id="rId30">
              <w:r>
                <w:rPr>
                  <w:rStyle w:val="Hyperlink"/>
                </w:rPr>
                <w:t xml:space="preserve">Protocolos de exportación activos</w:t>
              </w:r>
            </w:hyperlink>
            <w:r>
              <w:t xml:space="preserve"> </w:t>
            </w:r>
            <w:r>
              <w:t xml:space="preserve">(MGAP, 2022).</w:t>
            </w:r>
          </w:p>
        </w:tc>
      </w:tr>
      <w:tr>
        <w:tc>
          <w:tcPr/>
          <w:p>
            <w:pPr>
              <w:pStyle w:val="Compact"/>
            </w:pPr>
            <w:r>
              <w:rPr>
                <w:b/>
                <w:bCs/>
              </w:rPr>
              <w:t xml:space="preserve">Argentina</w:t>
            </w:r>
          </w:p>
        </w:tc>
        <w:tc>
          <w:tcPr/>
          <w:p>
            <w:pPr>
              <w:pStyle w:val="Compact"/>
            </w:pPr>
            <w:r>
              <w:t xml:space="preserve">1,0%</w:t>
            </w:r>
          </w:p>
        </w:tc>
        <w:tc>
          <w:tcPr/>
          <w:p>
            <w:pPr>
              <w:pStyle w:val="Compact"/>
            </w:pPr>
            <w:r>
              <w:t xml:space="preserve">Ley 27.669 + Decreto 405/2023</w:t>
            </w:r>
          </w:p>
        </w:tc>
        <w:tc>
          <w:tcPr/>
          <w:p>
            <w:pPr>
              <w:pStyle w:val="Compact"/>
            </w:pPr>
            <w:r>
              <w:t xml:space="preserve">2022-2023</w:t>
            </w:r>
          </w:p>
        </w:tc>
        <w:tc>
          <w:tcPr/>
          <w:p>
            <w:pPr>
              <w:pStyle w:val="Compact"/>
            </w:pPr>
            <w:r>
              <w:t xml:space="preserve">Marco integral cáñamo industrial.</w:t>
            </w:r>
          </w:p>
        </w:tc>
      </w:tr>
      <w:tr>
        <w:tc>
          <w:tcPr/>
          <w:p>
            <w:pPr>
              <w:pStyle w:val="Compact"/>
            </w:pPr>
            <w:r>
              <w:rPr>
                <w:b/>
                <w:bCs/>
              </w:rPr>
              <w:t xml:space="preserve">Chile</w:t>
            </w:r>
          </w:p>
        </w:tc>
        <w:tc>
          <w:tcPr/>
          <w:p>
            <w:pPr>
              <w:pStyle w:val="Compact"/>
            </w:pPr>
            <w:r>
              <w:t xml:space="preserve">≤1,0%</w:t>
            </w:r>
          </w:p>
        </w:tc>
        <w:tc>
          <w:tcPr/>
          <w:p>
            <w:pPr>
              <w:pStyle w:val="Compact"/>
            </w:pPr>
            <w:r>
              <w:t xml:space="preserve">Ley 20.000 + criterio SAG/ISP</w:t>
            </w:r>
          </w:p>
        </w:tc>
        <w:tc>
          <w:tcPr/>
          <w:p>
            <w:pPr>
              <w:pStyle w:val="Compact"/>
            </w:pPr>
            <w:r>
              <w:t xml:space="preserve">2021</w:t>
            </w:r>
          </w:p>
        </w:tc>
        <w:tc>
          <w:tcPr/>
          <w:p>
            <w:pPr>
              <w:pStyle w:val="Compact"/>
            </w:pPr>
            <w:r>
              <w:t xml:space="preserve">Exclusión control estupefacientes.</w:t>
            </w:r>
          </w:p>
        </w:tc>
      </w:tr>
      <w:tr>
        <w:tc>
          <w:tcPr/>
          <w:p>
            <w:pPr>
              <w:pStyle w:val="Compact"/>
            </w:pPr>
            <w:r>
              <w:rPr>
                <w:b/>
                <w:bCs/>
              </w:rPr>
              <w:t xml:space="preserve">Paraguay</w:t>
            </w:r>
          </w:p>
        </w:tc>
        <w:tc>
          <w:tcPr/>
          <w:p>
            <w:pPr>
              <w:pStyle w:val="Compact"/>
            </w:pPr>
            <w:r>
              <w:t xml:space="preserve">≤1,0%</w:t>
            </w:r>
          </w:p>
        </w:tc>
        <w:tc>
          <w:tcPr/>
          <w:p>
            <w:pPr>
              <w:pStyle w:val="Compact"/>
            </w:pPr>
            <w:r>
              <w:t xml:space="preserve">Decreto 2725/2019</w:t>
            </w:r>
          </w:p>
        </w:tc>
        <w:tc>
          <w:tcPr/>
          <w:p>
            <w:pPr>
              <w:pStyle w:val="Compact"/>
            </w:pPr>
            <w:r>
              <w:t xml:space="preserve">2019</w:t>
            </w:r>
          </w:p>
        </w:tc>
        <w:tc>
          <w:tcPr/>
          <w:p>
            <w:pPr>
              <w:pStyle w:val="Compact"/>
            </w:pPr>
            <w:r>
              <w:t xml:space="preserve">Cáñamo industrial.</w:t>
            </w:r>
          </w:p>
        </w:tc>
      </w:tr>
      <w:tr>
        <w:tc>
          <w:tcPr/>
          <w:p>
            <w:pPr>
              <w:pStyle w:val="Compact"/>
            </w:pPr>
            <w:r>
              <w:rPr>
                <w:b/>
                <w:bCs/>
              </w:rPr>
              <w:t xml:space="preserve">Colombia</w:t>
            </w:r>
          </w:p>
        </w:tc>
        <w:tc>
          <w:tcPr/>
          <w:p>
            <w:pPr>
              <w:pStyle w:val="Compact"/>
            </w:pPr>
            <w:r>
              <w:t xml:space="preserve">1,0%</w:t>
            </w:r>
          </w:p>
        </w:tc>
        <w:tc>
          <w:tcPr/>
          <w:p>
            <w:pPr>
              <w:pStyle w:val="Compact"/>
            </w:pPr>
            <w:r>
              <w:t xml:space="preserve">Ley 1787/2016 + Decreto 613/2017</w:t>
            </w:r>
          </w:p>
        </w:tc>
        <w:tc>
          <w:tcPr/>
          <w:p>
            <w:pPr>
              <w:pStyle w:val="Compact"/>
            </w:pPr>
            <w:r>
              <w:t xml:space="preserve">2016-2017</w:t>
            </w:r>
          </w:p>
        </w:tc>
        <w:tc>
          <w:tcPr/>
          <w:p>
            <w:pPr>
              <w:pStyle w:val="Compact"/>
            </w:pPr>
            <w:r>
              <w:t xml:space="preserve">Potencia exportadora de derivados CBD.</w:t>
            </w:r>
          </w:p>
        </w:tc>
      </w:tr>
      <w:tr>
        <w:tc>
          <w:tcPr/>
          <w:p>
            <w:pPr>
              <w:pStyle w:val="Compact"/>
            </w:pPr>
            <w:r>
              <w:rPr>
                <w:b/>
                <w:bCs/>
              </w:rPr>
              <w:t xml:space="preserve">Ecuador</w:t>
            </w:r>
          </w:p>
        </w:tc>
        <w:tc>
          <w:tcPr/>
          <w:p>
            <w:pPr>
              <w:pStyle w:val="Compact"/>
            </w:pPr>
            <w:r>
              <w:t xml:space="preserve">1,0%</w:t>
            </w:r>
          </w:p>
        </w:tc>
        <w:tc>
          <w:tcPr/>
          <w:p>
            <w:pPr>
              <w:pStyle w:val="Compact"/>
            </w:pPr>
            <w:r>
              <w:t xml:space="preserve">Acuerdo Ministerial 109-2020</w:t>
            </w:r>
          </w:p>
        </w:tc>
        <w:tc>
          <w:tcPr/>
          <w:p>
            <w:pPr>
              <w:pStyle w:val="Compact"/>
            </w:pPr>
            <w:r>
              <w:t xml:space="preserve">2020</w:t>
            </w:r>
          </w:p>
        </w:tc>
        <w:tc>
          <w:tcPr/>
          <w:p>
            <w:pPr>
              <w:pStyle w:val="Compact"/>
            </w:pPr>
            <w:r>
              <w:t xml:space="preserve">Cannabis no psicoactivo.</w:t>
            </w:r>
          </w:p>
        </w:tc>
      </w:tr>
      <w:tr>
        <w:tc>
          <w:tcPr/>
          <w:p>
            <w:pPr>
              <w:pStyle w:val="Compact"/>
            </w:pPr>
            <w:r>
              <w:rPr>
                <w:b/>
                <w:bCs/>
              </w:rPr>
              <w:t xml:space="preserve">Perú</w:t>
            </w:r>
          </w:p>
        </w:tc>
        <w:tc>
          <w:tcPr/>
          <w:p>
            <w:pPr>
              <w:pStyle w:val="Compact"/>
            </w:pPr>
            <w:r>
              <w:t xml:space="preserve">1,0%</w:t>
            </w:r>
          </w:p>
        </w:tc>
        <w:tc>
          <w:tcPr/>
          <w:p>
            <w:pPr>
              <w:pStyle w:val="Compact"/>
            </w:pPr>
            <w:r>
              <w:t xml:space="preserve">Ley 32195</w:t>
            </w:r>
          </w:p>
        </w:tc>
        <w:tc>
          <w:tcPr/>
          <w:p>
            <w:pPr>
              <w:pStyle w:val="Compact"/>
            </w:pPr>
            <w:r>
              <w:t xml:space="preserve">Dic 2024</w:t>
            </w:r>
          </w:p>
        </w:tc>
        <w:tc>
          <w:tcPr/>
          <w:p>
            <w:pPr>
              <w:pStyle w:val="Compact"/>
            </w:pPr>
            <w:r>
              <w:t xml:space="preserve">Cáñamo industrial.</w:t>
            </w:r>
          </w:p>
        </w:tc>
      </w:tr>
      <w:tr>
        <w:tc>
          <w:tcPr/>
          <w:p>
            <w:pPr>
              <w:pStyle w:val="Compact"/>
            </w:pPr>
            <w:r>
              <w:rPr>
                <w:b/>
                <w:bCs/>
              </w:rPr>
              <w:t xml:space="preserve">México</w:t>
            </w:r>
          </w:p>
        </w:tc>
        <w:tc>
          <w:tcPr/>
          <w:p>
            <w:pPr>
              <w:pStyle w:val="Compact"/>
            </w:pPr>
            <w:r>
              <w:t xml:space="preserve">1,0%</w:t>
            </w:r>
          </w:p>
        </w:tc>
        <w:tc>
          <w:tcPr/>
          <w:p>
            <w:pPr>
              <w:pStyle w:val="Compact"/>
            </w:pPr>
            <w:r>
              <w:t xml:space="preserve">Ley General de Salud Art. 245</w:t>
            </w:r>
          </w:p>
        </w:tc>
        <w:tc>
          <w:tcPr/>
          <w:p>
            <w:pPr>
              <w:pStyle w:val="Compact"/>
            </w:pPr>
            <w:r>
              <w:t xml:space="preserve">2017</w:t>
            </w:r>
          </w:p>
        </w:tc>
        <w:tc>
          <w:tcPr/>
          <w:p>
            <w:pPr>
              <w:pStyle w:val="Compact"/>
            </w:pPr>
            <w:r>
              <w:t xml:space="preserve">Productos industriales.</w:t>
            </w:r>
          </w:p>
        </w:tc>
      </w:tr>
      <w:tr>
        <w:tc>
          <w:tcPr/>
          <w:p>
            <w:pPr>
              <w:pStyle w:val="Compact"/>
            </w:pPr>
            <w:r>
              <w:rPr>
                <w:b/>
                <w:bCs/>
              </w:rPr>
              <w:t xml:space="preserve">Costa Rica</w:t>
            </w:r>
          </w:p>
        </w:tc>
        <w:tc>
          <w:tcPr/>
          <w:p>
            <w:pPr>
              <w:pStyle w:val="Compact"/>
            </w:pPr>
            <w:r>
              <w:t xml:space="preserve">1,0%</w:t>
            </w:r>
          </w:p>
        </w:tc>
        <w:tc>
          <w:tcPr/>
          <w:p>
            <w:pPr>
              <w:pStyle w:val="Compact"/>
            </w:pPr>
            <w:r>
              <w:t xml:space="preserve">Ley 10113 + RTCR 515:2024</w:t>
            </w:r>
          </w:p>
        </w:tc>
        <w:tc>
          <w:tcPr/>
          <w:p>
            <w:pPr>
              <w:pStyle w:val="Compact"/>
            </w:pPr>
            <w:r>
              <w:t xml:space="preserve">2022</w:t>
            </w:r>
          </w:p>
        </w:tc>
        <w:tc>
          <w:tcPr/>
          <w:p>
            <w:pPr>
              <w:pStyle w:val="Compact"/>
            </w:pPr>
            <w:r>
              <w:t xml:space="preserve">Marco técnico completo.</w:t>
            </w:r>
          </w:p>
        </w:tc>
      </w:tr>
      <w:tr>
        <w:tc>
          <w:tcPr/>
          <w:p>
            <w:pPr>
              <w:pStyle w:val="Compact"/>
            </w:pPr>
            <w:r>
              <w:rPr>
                <w:b/>
                <w:bCs/>
              </w:rPr>
              <w:t xml:space="preserve">Panamá</w:t>
            </w:r>
          </w:p>
        </w:tc>
        <w:tc>
          <w:tcPr/>
          <w:p>
            <w:pPr>
              <w:pStyle w:val="Compact"/>
            </w:pPr>
            <w:r>
              <w:t xml:space="preserve">1,0%</w:t>
            </w:r>
          </w:p>
        </w:tc>
        <w:tc>
          <w:tcPr/>
          <w:p>
            <w:pPr>
              <w:pStyle w:val="Compact"/>
            </w:pPr>
            <w:r>
              <w:t xml:space="preserve">Ley 464</w:t>
            </w:r>
          </w:p>
        </w:tc>
        <w:tc>
          <w:tcPr/>
          <w:p>
            <w:pPr>
              <w:pStyle w:val="Compact"/>
            </w:pPr>
            <w:r>
              <w:t xml:space="preserve">Mar 2025</w:t>
            </w:r>
          </w:p>
        </w:tc>
        <w:tc>
          <w:tcPr/>
          <w:p>
            <w:pPr>
              <w:pStyle w:val="Compact"/>
            </w:pPr>
            <w:r>
              <w:t xml:space="preserve">Cáñamo industrial.</w:t>
            </w:r>
          </w:p>
        </w:tc>
      </w:tr>
      <w:tr>
        <w:tc>
          <w:tcPr/>
          <w:p>
            <w:pPr>
              <w:pStyle w:val="Compact"/>
            </w:pPr>
            <w:r>
              <w:rPr>
                <w:b/>
                <w:bCs/>
              </w:rPr>
              <w:t xml:space="preserve">Jamaica</w:t>
            </w:r>
          </w:p>
        </w:tc>
        <w:tc>
          <w:tcPr/>
          <w:p>
            <w:pPr>
              <w:pStyle w:val="Compact"/>
            </w:pPr>
            <w:r>
              <w:t xml:space="preserve">≤1,0%</w:t>
            </w:r>
          </w:p>
        </w:tc>
        <w:tc>
          <w:tcPr/>
          <w:p>
            <w:pPr>
              <w:pStyle w:val="Compact"/>
            </w:pPr>
            <w:r>
              <w:t xml:space="preserve">Dangerous Drugs Amendment Act</w:t>
            </w:r>
          </w:p>
        </w:tc>
        <w:tc>
          <w:tcPr/>
          <w:p>
            <w:pPr>
              <w:pStyle w:val="Compact"/>
            </w:pPr>
            <w:r>
              <w:t xml:space="preserve">Abr 2015</w:t>
            </w:r>
          </w:p>
        </w:tc>
        <w:tc>
          <w:tcPr/>
          <w:p>
            <w:pPr>
              <w:pStyle w:val="Compact"/>
            </w:pPr>
            <w:r>
              <w:t xml:space="preserve">Definición legal hemp.</w:t>
            </w:r>
          </w:p>
        </w:tc>
      </w:tr>
    </w:tbl>
    <w:p>
      <w:pPr>
        <w:pStyle w:val="BodyText"/>
      </w:pPr>
      <w:r>
        <w:rPr>
          <w:b/>
          <w:bCs/>
        </w:rPr>
        <w:t xml:space="preserve">Implicación jurídica para la UE</w:t>
      </w:r>
      <w:r>
        <w:t xml:space="preserve">: El</w:t>
      </w:r>
      <w:r>
        <w:t xml:space="preserve"> </w:t>
      </w:r>
      <w:hyperlink r:id="rId31">
        <w:r>
          <w:rPr>
            <w:rStyle w:val="Hyperlink"/>
          </w:rPr>
          <w:t xml:space="preserve">Acuerdo UE-Mercosur firmado el 17 enero 2026</w:t>
        </w:r>
      </w:hyperlink>
      <w:r>
        <w:t xml:space="preserve"> </w:t>
      </w:r>
      <w:r>
        <w:t xml:space="preserve">incorpora los principios OMC de Barreras Técnicas al Comercio (Capítulo 5 TBT). El</w:t>
      </w:r>
      <w:r>
        <w:t xml:space="preserve"> </w:t>
      </w:r>
      <w:r>
        <w:rPr>
          <w:b/>
          <w:bCs/>
        </w:rPr>
        <w:t xml:space="preserve">test de</w:t>
      </w:r>
      <w:r>
        <w:rPr>
          <w:b/>
          <w:bCs/>
        </w:rPr>
        <w:t xml:space="preserve"> </w:t>
      </w:r>
      <w:r>
        <w:rPr>
          <w:b/>
          <w:bCs/>
        </w:rPr>
        <w:t xml:space="preserve">“necesidad”</w:t>
      </w:r>
      <w:r>
        <w:rPr>
          <w:b/>
          <w:bCs/>
        </w:rPr>
        <w:t xml:space="preserve"> </w:t>
      </w:r>
      <w:r>
        <w:rPr>
          <w:b/>
          <w:bCs/>
        </w:rPr>
        <w:t xml:space="preserve">del Artículo 2.2 TBT</w:t>
      </w:r>
      <w:r>
        <w:t xml:space="preserve"> </w:t>
      </w:r>
      <w:r>
        <w:t xml:space="preserve">obliga a evaluar si el umbral europeo del 0,3% es</w:t>
      </w:r>
      <w:r>
        <w:t xml:space="preserve"> </w:t>
      </w:r>
      <w:r>
        <w:rPr>
          <w:b/>
          <w:bCs/>
        </w:rPr>
        <w:t xml:space="preserve">“más restrictivo de lo necesario”</w:t>
      </w:r>
      <w:r>
        <w:t xml:space="preserve"> </w:t>
      </w:r>
      <w:r>
        <w:t xml:space="preserve">para el objetivo legítimo de distinguir cáñamo industrial de cannabis psicoactivo.</w:t>
      </w:r>
    </w:p>
    <w:bookmarkEnd w:id="32"/>
    <w:bookmarkStart w:id="33" w:name="asia-pacífico-y-áfrica"/>
    <w:p>
      <w:pPr>
        <w:pStyle w:val="Heading3"/>
      </w:pPr>
      <w:r>
        <w:t xml:space="preserve">Asia-Pacífico y África</w:t>
      </w:r>
    </w:p>
    <w:tbl>
      <w:tblPr>
        <w:tblStyle w:val="Table"/>
        <w:tblW w:type="pct" w:w="5000"/>
        <w:tblLayout w:type="fixed"/>
        <w:tblLook w:firstRow="1" w:lastRow="0" w:firstColumn="0" w:lastColumn="0" w:noHBand="0" w:noVBand="0" w:val="0020"/>
      </w:tblPr>
      <w:tblGrid>
        <w:gridCol w:w="864"/>
        <w:gridCol w:w="1584"/>
        <w:gridCol w:w="1872"/>
        <w:gridCol w:w="1440"/>
        <w:gridCol w:w="2160"/>
      </w:tblGrid>
      <w:tr>
        <w:trPr>
          <w:tblHeader w:val="on"/>
        </w:trPr>
        <w:tc>
          <w:tcPr/>
          <w:p>
            <w:pPr>
              <w:pStyle w:val="Compact"/>
            </w:pPr>
            <w:r>
              <w:t xml:space="preserve">País</w:t>
            </w:r>
          </w:p>
        </w:tc>
        <w:tc>
          <w:tcPr/>
          <w:p>
            <w:pPr>
              <w:pStyle w:val="Compact"/>
            </w:pPr>
            <w:r>
              <w:t xml:space="preserve">Límite THC</w:t>
            </w:r>
          </w:p>
        </w:tc>
        <w:tc>
          <w:tcPr/>
          <w:p>
            <w:pPr>
              <w:pStyle w:val="Compact"/>
            </w:pPr>
            <w:r>
              <w:t xml:space="preserve">Marco legal</w:t>
            </w:r>
          </w:p>
        </w:tc>
        <w:tc>
          <w:tcPr/>
          <w:p>
            <w:pPr>
              <w:pStyle w:val="Compact"/>
            </w:pPr>
            <w:r>
              <w:t xml:space="preserve">Vigencia</w:t>
            </w:r>
          </w:p>
        </w:tc>
        <w:tc>
          <w:tcPr/>
          <w:p>
            <w:pPr>
              <w:pStyle w:val="Compact"/>
            </w:pPr>
            <w:r>
              <w:t xml:space="preserve">Observaciones</w:t>
            </w:r>
          </w:p>
        </w:tc>
      </w:tr>
      <w:tr>
        <w:tc>
          <w:tcPr/>
          <w:p>
            <w:pPr>
              <w:pStyle w:val="Compact"/>
            </w:pPr>
            <w:r>
              <w:rPr>
                <w:b/>
                <w:bCs/>
              </w:rPr>
              <w:t xml:space="preserve">Nueva Zelanda</w:t>
            </w:r>
          </w:p>
        </w:tc>
        <w:tc>
          <w:tcPr/>
          <w:p>
            <w:pPr>
              <w:pStyle w:val="Compact"/>
            </w:pPr>
            <w:r>
              <w:t xml:space="preserve">≤1,0%</w:t>
            </w:r>
          </w:p>
        </w:tc>
        <w:tc>
          <w:tcPr/>
          <w:p>
            <w:pPr>
              <w:pStyle w:val="Compact"/>
            </w:pPr>
            <w:r>
              <w:t xml:space="preserve">Reforma regulatoria</w:t>
            </w:r>
          </w:p>
        </w:tc>
        <w:tc>
          <w:tcPr/>
          <w:p>
            <w:pPr>
              <w:pStyle w:val="Compact"/>
            </w:pPr>
            <w:r>
              <w:t xml:space="preserve">Dic 2025</w:t>
            </w:r>
          </w:p>
        </w:tc>
        <w:tc>
          <w:tcPr/>
          <w:p>
            <w:pPr>
              <w:pStyle w:val="Compact"/>
            </w:pPr>
            <w:r>
              <w:t xml:space="preserve">Cultivo y productos.</w:t>
            </w:r>
          </w:p>
        </w:tc>
      </w:tr>
      <w:tr>
        <w:tc>
          <w:tcPr/>
          <w:p>
            <w:pPr>
              <w:pStyle w:val="Compact"/>
            </w:pPr>
            <w:r>
              <w:rPr>
                <w:b/>
                <w:bCs/>
              </w:rPr>
              <w:t xml:space="preserve">Fiyi</w:t>
            </w:r>
          </w:p>
        </w:tc>
        <w:tc>
          <w:tcPr/>
          <w:p>
            <w:pPr>
              <w:pStyle w:val="Compact"/>
            </w:pPr>
            <w:r>
              <w:t xml:space="preserve">1,0%</w:t>
            </w:r>
          </w:p>
        </w:tc>
        <w:tc>
          <w:tcPr/>
          <w:p>
            <w:pPr>
              <w:pStyle w:val="Compact"/>
            </w:pPr>
            <w:r>
              <w:t xml:space="preserve">Illicit Drugs Control Act 2022</w:t>
            </w:r>
          </w:p>
        </w:tc>
        <w:tc>
          <w:tcPr/>
          <w:p>
            <w:pPr>
              <w:pStyle w:val="Compact"/>
            </w:pPr>
            <w:r>
              <w:t xml:space="preserve">Jul 2022</w:t>
            </w:r>
          </w:p>
        </w:tc>
        <w:tc>
          <w:tcPr/>
          <w:p>
            <w:pPr>
              <w:pStyle w:val="Compact"/>
            </w:pPr>
            <w:r>
              <w:t xml:space="preserve">Cultivo y productos.</w:t>
            </w:r>
          </w:p>
        </w:tc>
      </w:tr>
      <w:tr>
        <w:tc>
          <w:tcPr/>
          <w:p>
            <w:pPr>
              <w:pStyle w:val="Compact"/>
            </w:pPr>
            <w:r>
              <w:rPr>
                <w:b/>
                <w:bCs/>
              </w:rPr>
              <w:t xml:space="preserve">Australia</w:t>
            </w:r>
          </w:p>
        </w:tc>
        <w:tc>
          <w:tcPr/>
          <w:p>
            <w:pPr>
              <w:pStyle w:val="Compact"/>
            </w:pPr>
            <w:r>
              <w:t xml:space="preserve">1,0%</w:t>
            </w:r>
          </w:p>
        </w:tc>
        <w:tc>
          <w:tcPr/>
          <w:p>
            <w:pPr>
              <w:pStyle w:val="Compact"/>
            </w:pPr>
            <w:r>
              <w:t xml:space="preserve">Legislación estatal</w:t>
            </w:r>
          </w:p>
        </w:tc>
        <w:tc>
          <w:tcPr/>
          <w:p>
            <w:pPr>
              <w:pStyle w:val="Compact"/>
            </w:pPr>
            <w:r>
              <w:t xml:space="preserve">Variable</w:t>
            </w:r>
          </w:p>
        </w:tc>
        <w:tc>
          <w:tcPr/>
          <w:p>
            <w:pPr>
              <w:pStyle w:val="Compact"/>
            </w:pPr>
            <w:r>
              <w:t xml:space="preserve">Umbral de cosecha reconoce fluctuación natural del cultivo.</w:t>
            </w:r>
          </w:p>
        </w:tc>
      </w:tr>
      <w:tr>
        <w:tc>
          <w:tcPr/>
          <w:p>
            <w:pPr>
              <w:pStyle w:val="Compact"/>
            </w:pPr>
            <w:r>
              <w:rPr>
                <w:b/>
                <w:bCs/>
              </w:rPr>
              <w:t xml:space="preserve">Marruecos</w:t>
            </w:r>
          </w:p>
        </w:tc>
        <w:tc>
          <w:tcPr/>
          <w:p>
            <w:pPr>
              <w:pStyle w:val="Compact"/>
            </w:pPr>
            <w:r>
              <w:t xml:space="preserve">1,0%</w:t>
            </w:r>
          </w:p>
        </w:tc>
        <w:tc>
          <w:tcPr/>
          <w:p>
            <w:pPr>
              <w:pStyle w:val="Compact"/>
            </w:pPr>
            <w:r>
              <w:t xml:space="preserve">Ley 13-21 + ANRAC</w:t>
            </w:r>
          </w:p>
        </w:tc>
        <w:tc>
          <w:tcPr/>
          <w:p>
            <w:pPr>
              <w:pStyle w:val="Compact"/>
            </w:pPr>
            <w:r>
              <w:t xml:space="preserve">2021</w:t>
            </w:r>
          </w:p>
        </w:tc>
        <w:tc>
          <w:tcPr/>
          <w:p>
            <w:pPr>
              <w:pStyle w:val="Compact"/>
            </w:pPr>
            <w:r>
              <w:t xml:space="preserve">País vecino y socio comercial UE.</w:t>
            </w:r>
          </w:p>
        </w:tc>
      </w:tr>
      <w:tr>
        <w:tc>
          <w:tcPr/>
          <w:p>
            <w:pPr>
              <w:pStyle w:val="Compact"/>
            </w:pPr>
            <w:r>
              <w:rPr>
                <w:b/>
                <w:bCs/>
              </w:rPr>
              <w:t xml:space="preserve">Líbano</w:t>
            </w:r>
          </w:p>
        </w:tc>
        <w:tc>
          <w:tcPr/>
          <w:p>
            <w:pPr>
              <w:pStyle w:val="Compact"/>
            </w:pPr>
            <w:r>
              <w:t xml:space="preserve">≤1,0%</w:t>
            </w:r>
          </w:p>
        </w:tc>
        <w:tc>
          <w:tcPr/>
          <w:p>
            <w:pPr>
              <w:pStyle w:val="Compact"/>
            </w:pPr>
            <w:r>
              <w:t xml:space="preserve">Ley 178/2020</w:t>
            </w:r>
          </w:p>
        </w:tc>
        <w:tc>
          <w:tcPr/>
          <w:p>
            <w:pPr>
              <w:pStyle w:val="Compact"/>
            </w:pPr>
            <w:r>
              <w:t xml:space="preserve">Abr 2020</w:t>
            </w:r>
          </w:p>
        </w:tc>
        <w:tc>
          <w:tcPr/>
          <w:p>
            <w:pPr>
              <w:pStyle w:val="Compact"/>
            </w:pPr>
            <w:r>
              <w:t xml:space="preserve">Cannabis industrial.</w:t>
            </w:r>
          </w:p>
        </w:tc>
      </w:tr>
      <w:tr>
        <w:tc>
          <w:tcPr/>
          <w:p>
            <w:pPr>
              <w:pStyle w:val="Compact"/>
            </w:pPr>
            <w:r>
              <w:rPr>
                <w:b/>
                <w:bCs/>
              </w:rPr>
              <w:t xml:space="preserve">Malawi</w:t>
            </w:r>
          </w:p>
        </w:tc>
        <w:tc>
          <w:tcPr/>
          <w:p>
            <w:pPr>
              <w:pStyle w:val="Compact"/>
            </w:pPr>
            <w:r>
              <w:t xml:space="preserve">1,0%</w:t>
            </w:r>
          </w:p>
        </w:tc>
        <w:tc>
          <w:tcPr/>
          <w:p>
            <w:pPr>
              <w:pStyle w:val="Compact"/>
            </w:pPr>
            <w:r>
              <w:t xml:space="preserve">Cannabis Regulation Act 2020</w:t>
            </w:r>
          </w:p>
        </w:tc>
        <w:tc>
          <w:tcPr/>
          <w:p>
            <w:pPr>
              <w:pStyle w:val="Compact"/>
            </w:pPr>
            <w:r>
              <w:t xml:space="preserve">May 2020</w:t>
            </w:r>
          </w:p>
        </w:tc>
        <w:tc>
          <w:tcPr/>
          <w:p>
            <w:pPr>
              <w:pStyle w:val="Compact"/>
            </w:pPr>
            <w:r>
              <w:t xml:space="preserve">Cáñamo industrial.</w:t>
            </w:r>
          </w:p>
        </w:tc>
      </w:tr>
      <w:tr>
        <w:tc>
          <w:tcPr/>
          <w:p>
            <w:pPr>
              <w:pStyle w:val="Compact"/>
            </w:pPr>
            <w:r>
              <w:rPr>
                <w:b/>
                <w:bCs/>
              </w:rPr>
              <w:t xml:space="preserve">Zimbabue</w:t>
            </w:r>
          </w:p>
        </w:tc>
        <w:tc>
          <w:tcPr/>
          <w:p>
            <w:pPr>
              <w:pStyle w:val="Compact"/>
            </w:pPr>
            <w:r>
              <w:t xml:space="preserve">1,0%</w:t>
            </w:r>
          </w:p>
        </w:tc>
        <w:tc>
          <w:tcPr/>
          <w:p>
            <w:pPr>
              <w:pStyle w:val="Compact"/>
            </w:pPr>
            <w:r>
              <w:t xml:space="preserve">Criminal Law Amendment Bill</w:t>
            </w:r>
          </w:p>
        </w:tc>
        <w:tc>
          <w:tcPr/>
          <w:p>
            <w:pPr>
              <w:pStyle w:val="Compact"/>
            </w:pPr>
            <w:r>
              <w:t xml:space="preserve">Feb 2023</w:t>
            </w:r>
          </w:p>
        </w:tc>
        <w:tc>
          <w:tcPr/>
          <w:p>
            <w:pPr>
              <w:pStyle w:val="Compact"/>
            </w:pPr>
            <w:r>
              <w:t xml:space="preserve">Cáñamo industrial.</w:t>
            </w:r>
          </w:p>
        </w:tc>
      </w:tr>
    </w:tbl>
    <w:p>
      <w:pPr>
        <w:pStyle w:val="BodyText"/>
      </w:pPr>
      <w:r>
        <w:rPr>
          <w:b/>
          <w:bCs/>
        </w:rPr>
        <w:t xml:space="preserve">Nota sobre China</w:t>
      </w:r>
      <w:r>
        <w:t xml:space="preserve">: Aunque no establece límite específico de THC para cáñamo, sus programas de mejoramiento genético nunca restringieron artificialmente este cannabinoide. Los ensayos de Halker et al. (2024) documentaron que las variedades de fibra de élite (Bama 0,506%, Yuma 0,723%) alcanzan rendimientos de 22-35 t/ha —entre 4-7 veces superiores a las europeas— precisamente porque la</w:t>
      </w:r>
      <w:r>
        <w:t xml:space="preserve"> </w:t>
      </w:r>
      <w:r>
        <w:rPr>
          <w:b/>
          <w:bCs/>
        </w:rPr>
        <w:t xml:space="preserve">selección puramente agronómica</w:t>
      </w:r>
      <w:r>
        <w:t xml:space="preserve"> </w:t>
      </w:r>
      <w:r>
        <w:t xml:space="preserve">conduce naturalmente al rango 0,4-0,9% THC. Los ensayos de Brym et al. [18] confirmaron este patrón:</w:t>
      </w:r>
      <w:r>
        <w:t xml:space="preserve"> </w:t>
      </w:r>
      <w:r>
        <w:rPr>
          <w:b/>
          <w:bCs/>
        </w:rPr>
        <w:t xml:space="preserve">todas las variedades chinas de alto rendimiento superaron el 0,3%</w:t>
      </w:r>
      <w:r>
        <w:t xml:space="preserve"> </w:t>
      </w:r>
      <w:r>
        <w:t xml:space="preserve">al cultivarse hasta cosecha. Esto confirma que el umbral europeo del 0,3% va contra la naturaleza de la planta cuando se optimiza para rendimiento máximo.</w:t>
      </w:r>
    </w:p>
    <w:bookmarkEnd w:id="33"/>
    <w:bookmarkStart w:id="34" w:name="conclusión-alineamiento-estratégico"/>
    <w:p>
      <w:pPr>
        <w:pStyle w:val="Heading3"/>
      </w:pPr>
      <w:r>
        <w:t xml:space="preserve">Conclusión: alineamiento estratégico</w:t>
      </w:r>
    </w:p>
    <w:p>
      <w:pPr>
        <w:pStyle w:val="FirstParagraph"/>
      </w:pPr>
      <w:r>
        <w:t xml:space="preserve">Este panorama evidencia que el</w:t>
      </w:r>
      <w:r>
        <w:t xml:space="preserve"> </w:t>
      </w:r>
      <w:r>
        <w:rPr>
          <w:b/>
          <w:bCs/>
        </w:rPr>
        <w:t xml:space="preserve">1% THC</w:t>
      </w:r>
      <w:r>
        <w:t xml:space="preserve"> </w:t>
      </w:r>
      <w:r>
        <w:t xml:space="preserve">representa un equilibrio maduro entre control regulatorio y viabilidad comercial, adoptado por jurisdicciones de todos los continentes que han priorizado la</w:t>
      </w:r>
      <w:r>
        <w:t xml:space="preserve"> </w:t>
      </w:r>
      <w:r>
        <w:rPr>
          <w:b/>
          <w:bCs/>
        </w:rPr>
        <w:t xml:space="preserve">competitividad sectorial sin comprometer la seguridad pública</w:t>
      </w:r>
      <w:r>
        <w:t xml:space="preserve">.</w:t>
      </w:r>
    </w:p>
    <w:p>
      <w:pPr>
        <w:pStyle w:val="BodyText"/>
      </w:pPr>
      <w:r>
        <w:t xml:space="preserve">La Unión Europea, manteniendo el umbral del 0,3%, se sitúa en una posición de</w:t>
      </w:r>
      <w:r>
        <w:t xml:space="preserve"> </w:t>
      </w:r>
      <w:r>
        <w:rPr>
          <w:b/>
          <w:bCs/>
        </w:rPr>
        <w:t xml:space="preserve">desventaja competitiva estructural</w:t>
      </w:r>
      <w:r>
        <w:t xml:space="preserve"> </w:t>
      </w:r>
      <w:r>
        <w:t xml:space="preserve">frente a productores globales que operan con márgenes regulatorios más realistas.</w:t>
      </w:r>
    </w:p>
    <w:p>
      <w:r>
        <w:pict>
          <v:rect style="width:0;height:1.5pt" o:hralign="center" o:hrstd="t" o:hr="t"/>
        </w:pict>
      </w:r>
    </w:p>
    <w:bookmarkEnd w:id="34"/>
    <w:bookmarkEnd w:id="35"/>
    <w:bookmarkStart w:id="44" w:name="Xf1b70bd6746508f60034eafb1708fc6f35b54eb"/>
    <w:p>
      <w:pPr>
        <w:pStyle w:val="Heading2"/>
      </w:pPr>
      <w:r>
        <w:t xml:space="preserve">2.4 ARGUMENTO SOCIAL: SEGURIDAD Y SALUD PÚBLICA</w:t>
      </w:r>
    </w:p>
    <w:bookmarkStart w:id="36" w:name="X2fa126c29433b7a4bacc0c2d1de0b5ec4ecaf5a"/>
    <w:p>
      <w:pPr>
        <w:pStyle w:val="Heading3"/>
      </w:pPr>
      <w:r>
        <w:t xml:space="preserve">2.4.0 Marco de evaluación: realismo frente a teoría</w:t>
      </w:r>
    </w:p>
    <w:p>
      <w:pPr>
        <w:pStyle w:val="FirstParagraph"/>
      </w:pPr>
      <w:r>
        <w:t xml:space="preserve">Las preocupaciones sobre el potencial de abuso del cáñamo industrial son</w:t>
      </w:r>
      <w:r>
        <w:t xml:space="preserve"> </w:t>
      </w:r>
      <w:r>
        <w:rPr>
          <w:b/>
          <w:bCs/>
        </w:rPr>
        <w:t xml:space="preserve">legítimas y deben ser evaluadas rigurosamente</w:t>
      </w:r>
      <w:r>
        <w:t xml:space="preserve">. Sin embargo, esta evaluación debe realizarse de forma</w:t>
      </w:r>
      <w:r>
        <w:t xml:space="preserve"> </w:t>
      </w:r>
      <w:r>
        <w:rPr>
          <w:b/>
          <w:bCs/>
        </w:rPr>
        <w:t xml:space="preserve">realista, no teórica</w:t>
      </w:r>
      <w:r>
        <w:t xml:space="preserve">.</w:t>
      </w:r>
    </w:p>
    <w:p>
      <w:pPr>
        <w:pStyle w:val="BodyText"/>
      </w:pPr>
      <w:r>
        <w:t xml:space="preserve">El riesgo de abuso no viene determinado por la mera presencia de THC en la planta, sino por si la intoxicación es</w:t>
      </w:r>
      <w:r>
        <w:t xml:space="preserve"> </w:t>
      </w:r>
      <w:r>
        <w:rPr>
          <w:b/>
          <w:bCs/>
        </w:rPr>
        <w:t xml:space="preserve">práctica, técnica y económicamente factible</w:t>
      </w:r>
      <w:r>
        <w:t xml:space="preserve">. La evidencia científica y económica demuestra que esto</w:t>
      </w:r>
      <w:r>
        <w:t xml:space="preserve"> </w:t>
      </w:r>
      <w:r>
        <w:rPr>
          <w:b/>
          <w:bCs/>
        </w:rPr>
        <w:t xml:space="preserve">no es el caso</w:t>
      </w:r>
      <w:r>
        <w:t xml:space="preserve"> </w:t>
      </w:r>
      <w:r>
        <w:t xml:space="preserve">para el cáñamo industrial, incluso al 1% THC.</w:t>
      </w:r>
    </w:p>
    <w:bookmarkEnd w:id="36"/>
    <w:bookmarkStart w:id="37" w:name="qué-regula-este-umbral"/>
    <w:p>
      <w:pPr>
        <w:pStyle w:val="Heading3"/>
      </w:pPr>
      <w:r>
        <w:t xml:space="preserve">2.4.1 Qué regula este umbral</w:t>
      </w:r>
    </w:p>
    <w:p>
      <w:pPr>
        <w:pStyle w:val="FirstParagraph"/>
      </w:pPr>
      <w:r>
        <w:t xml:space="preserve">El umbral de</w:t>
      </w:r>
      <w:r>
        <w:t xml:space="preserve"> </w:t>
      </w:r>
      <w:r>
        <w:rPr>
          <w:b/>
          <w:bCs/>
        </w:rPr>
        <w:t xml:space="preserve">1,0% THC</w:t>
      </w:r>
      <w:r>
        <w:t xml:space="preserve"> </w:t>
      </w:r>
      <w:r>
        <w:t xml:space="preserve">propuesto opera como criterio de</w:t>
      </w:r>
      <w:r>
        <w:t xml:space="preserve"> </w:t>
      </w:r>
      <w:r>
        <w:rPr>
          <w:b/>
          <w:bCs/>
        </w:rPr>
        <w:t xml:space="preserve">clasificación de materias primas de cáñamo industrial</w:t>
      </w:r>
      <w:r>
        <w:t xml:space="preserve"> </w:t>
      </w:r>
      <w:r>
        <w:t xml:space="preserve">en el marco PAC/OCM, habilitando su cultivo, comercialización e importación dentro del mercado interior. Estas materias primas se destinan a:</w:t>
      </w:r>
    </w:p>
    <w:p>
      <w:pPr>
        <w:pStyle w:val="Compact"/>
        <w:numPr>
          <w:ilvl w:val="0"/>
          <w:numId w:val="1008"/>
        </w:numPr>
      </w:pPr>
      <w:r>
        <w:rPr>
          <w:b/>
          <w:bCs/>
        </w:rPr>
        <w:t xml:space="preserve">Usos industriales</w:t>
      </w:r>
      <w:r>
        <w:t xml:space="preserve"> </w:t>
      </w:r>
      <w:r>
        <w:t xml:space="preserve">(fibra, semilla, biomasa para transformación).</w:t>
      </w:r>
    </w:p>
    <w:p>
      <w:pPr>
        <w:pStyle w:val="Compact"/>
        <w:numPr>
          <w:ilvl w:val="0"/>
          <w:numId w:val="1008"/>
        </w:numPr>
      </w:pPr>
      <w:r>
        <w:rPr>
          <w:b/>
          <w:bCs/>
        </w:rPr>
        <w:t xml:space="preserve">Producción de productos legales</w:t>
      </w:r>
      <w:r>
        <w:t xml:space="preserve"> </w:t>
      </w:r>
      <w:r>
        <w:t xml:space="preserve">que, una vez transformados, quedan</w:t>
      </w:r>
      <w:r>
        <w:t xml:space="preserve"> </w:t>
      </w:r>
      <w:r>
        <w:rPr>
          <w:b/>
          <w:bCs/>
        </w:rPr>
        <w:t xml:space="preserve">regulados por cada Estado miembro</w:t>
      </w:r>
      <w:r>
        <w:t xml:space="preserve"> </w:t>
      </w:r>
      <w:r>
        <w:t xml:space="preserve">según el encaje que corresponda: industrial, alimentario, cosmético, medicinal u otros marcos sectoriales.</w:t>
      </w:r>
    </w:p>
    <w:p>
      <w:pPr>
        <w:pStyle w:val="FirstParagraph"/>
      </w:pPr>
      <w:r>
        <w:t xml:space="preserve">El riesgo de</w:t>
      </w:r>
      <w:r>
        <w:t xml:space="preserve"> </w:t>
      </w:r>
      <w:r>
        <w:rPr>
          <w:b/>
          <w:bCs/>
        </w:rPr>
        <w:t xml:space="preserve">desvío o mal uso</w:t>
      </w:r>
      <w:r>
        <w:t xml:space="preserve"> </w:t>
      </w:r>
      <w:r>
        <w:t xml:space="preserve">no debe gestionarse mediante un umbral artificialmente bajo que castiga al agricultor por variación agronómica o climática. El enfoque correcto es:</w:t>
      </w:r>
    </w:p>
    <w:p>
      <w:pPr>
        <w:pStyle w:val="Compact"/>
        <w:numPr>
          <w:ilvl w:val="0"/>
          <w:numId w:val="1009"/>
        </w:numPr>
      </w:pPr>
      <w:r>
        <w:rPr>
          <w:b/>
          <w:bCs/>
        </w:rPr>
        <w:t xml:space="preserve">Regulación clara</w:t>
      </w:r>
      <w:r>
        <w:t xml:space="preserve">: seguridad jurídica, trazabilidad documental y control oficial con el método armonizado UE.</w:t>
      </w:r>
    </w:p>
    <w:p>
      <w:pPr>
        <w:pStyle w:val="Compact"/>
        <w:numPr>
          <w:ilvl w:val="0"/>
          <w:numId w:val="1009"/>
        </w:numPr>
      </w:pPr>
      <w:r>
        <w:rPr>
          <w:b/>
          <w:bCs/>
        </w:rPr>
        <w:t xml:space="preserve">Proporcionalidad</w:t>
      </w:r>
      <w:r>
        <w:t xml:space="preserve">: separar el porcentaje en planta (clasificación) de la gestión específica de riesgos en producto final o conductas.</w:t>
      </w:r>
    </w:p>
    <w:p>
      <w:pPr>
        <w:pStyle w:val="FirstParagraph"/>
      </w:pPr>
      <w:r>
        <w:t xml:space="preserve">Un criterio PAC/OCM robusto (1%) combinado con una arquitectura de control efectiva protege mejor el mercado interior que un umbral frágil (0,3%) que genera litigios y pérdidas sin reducir el riesgo real de abuso.</w:t>
      </w:r>
    </w:p>
    <w:bookmarkEnd w:id="37"/>
    <w:bookmarkStart w:id="43" w:name="Xcadfd9a4e89e105d35cea4bdcd5223fb637d565"/>
    <w:p>
      <w:pPr>
        <w:pStyle w:val="Heading3"/>
      </w:pPr>
      <w:r>
        <w:t xml:space="preserve">2.4.2 Escenarios teóricos de abuso: por qué no son realistas</w:t>
      </w:r>
    </w:p>
    <w:p>
      <w:pPr>
        <w:pStyle w:val="FirstParagraph"/>
      </w:pPr>
      <w:r>
        <w:t xml:space="preserve">Para permitir el mal uso del cáñamo industrial con fines intoxicantes, el THC contenido en el material vegetal tendría que consumirse en cantidades suficientes para inducir un efecto psicoactivo. Esto podría teóricamente ocurrir de dos formas:</w:t>
      </w:r>
      <w:r>
        <w:t xml:space="preserve"> </w:t>
      </w:r>
      <w:r>
        <w:rPr>
          <w:b/>
          <w:bCs/>
        </w:rPr>
        <w:t xml:space="preserve">(a)</w:t>
      </w:r>
      <w:r>
        <w:t xml:space="preserve"> </w:t>
      </w:r>
      <w:r>
        <w:t xml:space="preserve">mediante la ingestión de productos procesados (horneados, extracción) o</w:t>
      </w:r>
      <w:r>
        <w:t xml:space="preserve"> </w:t>
      </w:r>
      <w:r>
        <w:rPr>
          <w:b/>
          <w:bCs/>
        </w:rPr>
        <w:t xml:space="preserve">(b)</w:t>
      </w:r>
      <w:r>
        <w:t xml:space="preserve"> </w:t>
      </w:r>
      <w:r>
        <w:t xml:space="preserve">mediante combustión directa (fumar o vaporizar).</w:t>
      </w:r>
    </w:p>
    <w:bookmarkStart w:id="38" w:name="X28b46d7561a36669d4a90c1718c00ffc7fe8bdc"/>
    <w:p>
      <w:pPr>
        <w:pStyle w:val="Heading4"/>
      </w:pPr>
      <w:r>
        <w:t xml:space="preserve">A. Escenario de procesado (horneado o extracción): irrelevante para este umbral</w:t>
      </w:r>
    </w:p>
    <w:p>
      <w:pPr>
        <w:pStyle w:val="FirstParagraph"/>
      </w:pPr>
      <w:r>
        <w:t xml:space="preserve">El escenario de horneado (</w:t>
      </w:r>
      <w:r>
        <w:t xml:space="preserve">“baking”</w:t>
      </w:r>
      <w:r>
        <w:t xml:space="preserve">) ha sido examinado como forma teórica de mal uso. En este caso, las flores de cáñamo industrial primero necesitarían procesarse —típicamente extrayendo cannabinoides en una grasa como mantequilla— que luego se incorporaría a productos horneados.</w:t>
      </w:r>
    </w:p>
    <w:p>
      <w:pPr>
        <w:pStyle w:val="BodyText"/>
      </w:pPr>
      <w:r>
        <w:t xml:space="preserve">Sin embargo, este método está sujeto a varios factores limitantes:</w:t>
      </w:r>
    </w:p>
    <w:p>
      <w:pPr>
        <w:pStyle w:val="Compact"/>
        <w:numPr>
          <w:ilvl w:val="0"/>
          <w:numId w:val="1010"/>
        </w:numPr>
      </w:pPr>
      <w:r>
        <w:rPr>
          <w:b/>
          <w:bCs/>
        </w:rPr>
        <w:t xml:space="preserve">Cantidad de material sustancial</w:t>
      </w:r>
      <w:r>
        <w:t xml:space="preserve"> </w:t>
      </w:r>
      <w:r>
        <w:t xml:space="preserve">para alcanzar una dosis mínima intoxicante, planteando problemas de palatabilidad, digestibilidad y aceptación.</w:t>
      </w:r>
    </w:p>
    <w:p>
      <w:pPr>
        <w:pStyle w:val="Compact"/>
        <w:numPr>
          <w:ilvl w:val="0"/>
          <w:numId w:val="1010"/>
        </w:numPr>
      </w:pPr>
      <w:r>
        <w:rPr>
          <w:b/>
          <w:bCs/>
        </w:rPr>
        <w:t xml:space="preserve">Conversión incompleta</w:t>
      </w:r>
      <w:r>
        <w:t xml:space="preserve">: la transformación del precursor no psicoactivo THCA en THC (descarboxilación) requiere condiciones específicas. Durante el horneado, más de la mitad del THC potencial puede permanecer sin convertir.</w:t>
      </w:r>
    </w:p>
    <w:p>
      <w:pPr>
        <w:pStyle w:val="Compact"/>
        <w:numPr>
          <w:ilvl w:val="0"/>
          <w:numId w:val="1010"/>
        </w:numPr>
      </w:pPr>
      <w:r>
        <w:rPr>
          <w:b/>
          <w:bCs/>
        </w:rPr>
        <w:t xml:space="preserve">Degradación térmica</w:t>
      </w:r>
      <w:r>
        <w:t xml:space="preserve">: el THC es termolábil y se degrada con calor excesivo, convirtiéndose en cannabinol (CBN), un compuesto sin efecto psicoactivo.</w:t>
      </w:r>
    </w:p>
    <w:p>
      <w:pPr>
        <w:pStyle w:val="FirstParagraph"/>
      </w:pPr>
      <w:r>
        <w:rPr>
          <w:b/>
          <w:bCs/>
        </w:rPr>
        <w:t xml:space="preserve">Observación crítica</w:t>
      </w:r>
      <w:r>
        <w:t xml:space="preserve">: Este escenario de procesado es</w:t>
      </w:r>
      <w:r>
        <w:t xml:space="preserve"> </w:t>
      </w:r>
      <w:r>
        <w:rPr>
          <w:b/>
          <w:bCs/>
        </w:rPr>
        <w:t xml:space="preserve">igualmente factible con material al 0,3% THC</w:t>
      </w:r>
      <w:r>
        <w:t xml:space="preserve"> </w:t>
      </w:r>
      <w:r>
        <w:t xml:space="preserve">que con material al 1%. Si alguien quisiera extraer cannabinoides para procesado doméstico, simplemente necesitaría más cantidad de material al 0,3% para lograr el mismo resultado. El umbral de clasificación PAC/OCM</w:t>
      </w:r>
      <w:r>
        <w:t xml:space="preserve"> </w:t>
      </w:r>
      <w:r>
        <w:rPr>
          <w:b/>
          <w:bCs/>
        </w:rPr>
        <w:t xml:space="preserve">no altera esta ecuación</w:t>
      </w:r>
      <w:r>
        <w:t xml:space="preserve">: quien tenga la intención, el equipo y el tiempo para realizar una extracción puede hacerlo con cualquier material que contenga THC.</w:t>
      </w:r>
    </w:p>
    <w:p>
      <w:pPr>
        <w:pStyle w:val="BodyText"/>
      </w:pPr>
      <w:r>
        <w:rPr>
          <w:b/>
          <w:bCs/>
        </w:rPr>
        <w:t xml:space="preserve">Argumento económico decisivo</w:t>
      </w:r>
      <w:r>
        <w:t xml:space="preserve">: Incluso asumiendo que este escenario fuera técnicamente viable,</w:t>
      </w:r>
      <w:r>
        <w:t xml:space="preserve"> </w:t>
      </w:r>
      <w:r>
        <w:rPr>
          <w:b/>
          <w:bCs/>
        </w:rPr>
        <w:t xml:space="preserve">en ningún caso constituiría una práctica atractiva para el narcotráfico</w:t>
      </w:r>
      <w:r>
        <w:t xml:space="preserve">. La extracción de THC a partir de cáñamo industrial —sea al 0,3% o al 1%— es</w:t>
      </w:r>
      <w:r>
        <w:t xml:space="preserve"> </w:t>
      </w:r>
      <w:r>
        <w:rPr>
          <w:b/>
          <w:bCs/>
        </w:rPr>
        <w:t xml:space="preserve">económicamente inviable</w:t>
      </w:r>
      <w:r>
        <w:t xml:space="preserve"> </w:t>
      </w:r>
      <w:r>
        <w:t xml:space="preserve">para el mercado negro. Un operador ilícito necesitaría procesar entre</w:t>
      </w:r>
      <w:r>
        <w:t xml:space="preserve"> </w:t>
      </w:r>
      <w:r>
        <w:rPr>
          <w:b/>
          <w:bCs/>
        </w:rPr>
        <w:t xml:space="preserve">13 y 43 veces más biomasa</w:t>
      </w:r>
      <w:r>
        <w:t xml:space="preserve"> </w:t>
      </w:r>
      <w:r>
        <w:t xml:space="preserve">para obtener la misma cantidad de THC que extraería del cannabis ilícito de alto contenido (&gt;13%), que además está ampliamente disponible. El coste en materia prima, tiempo, equipo y riesgo de detección hace que esta vía sea completamente irracional desde cualquier perspectiva criminal.</w:t>
      </w:r>
    </w:p>
    <w:p>
      <w:pPr>
        <w:pStyle w:val="BodyText"/>
      </w:pPr>
      <w:r>
        <w:t xml:space="preserve">Por tanto,</w:t>
      </w:r>
      <w:r>
        <w:t xml:space="preserve"> </w:t>
      </w:r>
      <w:r>
        <w:rPr>
          <w:b/>
          <w:bCs/>
        </w:rPr>
        <w:t xml:space="preserve">el escenario de procesado no constituye un argumento válido</w:t>
      </w:r>
      <w:r>
        <w:t xml:space="preserve"> </w:t>
      </w:r>
      <w:r>
        <w:t xml:space="preserve">para mantener un umbral artificialmente bajo: es igualmente ineficiente independientemente del umbral, y quien busque THC para fines ilícitos dispone de alternativas mucho más rentables.</w:t>
      </w:r>
    </w:p>
    <w:bookmarkEnd w:id="38"/>
    <w:bookmarkStart w:id="42" w:name="Xc51bc1a080a9dc0085f2663091235db2a125ed5"/>
    <w:p>
      <w:pPr>
        <w:pStyle w:val="Heading4"/>
      </w:pPr>
      <w:r>
        <w:t xml:space="preserve">B. Escenario de combustión directa: de riesgo hipotético a realidad comercial validada</w:t>
      </w:r>
    </w:p>
    <w:p>
      <w:pPr>
        <w:pStyle w:val="FirstParagraph"/>
      </w:pPr>
      <w:r>
        <w:t xml:space="preserve">Otro escenario en el que podría existir riesgo de intoxicación —quizás de forma más ágil— sería la combustión directa del producto en forma de cigarro, dada su apariencia similar al cannabis psicoactivo tradicional.</w:t>
      </w:r>
    </w:p>
    <w:p>
      <w:pPr>
        <w:pStyle w:val="BodyText"/>
      </w:pPr>
      <w:r>
        <w:t xml:space="preserve">La pregunta clave es:</w:t>
      </w:r>
      <w:r>
        <w:t xml:space="preserve"> </w:t>
      </w:r>
      <w:r>
        <w:rPr>
          <w:b/>
          <w:bCs/>
        </w:rPr>
        <w:t xml:space="preserve">¿sería psicoactivo un producto de cáñamo industrial al 1% THC fumado?</w:t>
      </w:r>
    </w:p>
    <w:bookmarkStart w:id="39" w:name="Xb35ae96c448ac852ec035ee55dd8612de2697a2"/>
    <w:p>
      <w:pPr>
        <w:pStyle w:val="Heading5"/>
      </w:pPr>
      <w:r>
        <w:t xml:space="preserve">B.1 El precedente europeo: validación política, regulatoria y sanitaria</w:t>
      </w:r>
    </w:p>
    <w:p>
      <w:pPr>
        <w:pStyle w:val="FirstParagraph"/>
      </w:pPr>
      <w:r>
        <w:t xml:space="preserve">Si bien es un tema que debe verificarse cautelosamente con ciencia, primero debemos observar la realidad de mercado y los precedentes existentes.</w:t>
      </w:r>
    </w:p>
    <w:p>
      <w:pPr>
        <w:pStyle w:val="BodyText"/>
      </w:pPr>
      <w:r>
        <w:rPr>
          <w:b/>
          <w:bCs/>
        </w:rPr>
        <w:t xml:space="preserve">Swissmedic</w:t>
      </w:r>
      <w:r>
        <w:t xml:space="preserve">, la Agencia Suiza de Productos Terapéuticos, avala los productos de cáñamo &lt;1% THC inhalables como</w:t>
      </w:r>
      <w:r>
        <w:t xml:space="preserve"> </w:t>
      </w:r>
      <w:r>
        <w:rPr>
          <w:b/>
          <w:bCs/>
        </w:rPr>
        <w:t xml:space="preserve">seguros y no psicoactivos</w:t>
      </w:r>
      <w:r>
        <w:t xml:space="preserve">. Suiza permite desde 2011 la venta libre de flores de cáñamo (&lt;1% THC) como sustituto del tabaco herbal, comercializadas en tiendas especializadas.</w:t>
      </w:r>
    </w:p>
    <w:p>
      <w:pPr>
        <w:pStyle w:val="BodyText"/>
      </w:pPr>
      <w:r>
        <w:rPr>
          <w:b/>
          <w:bCs/>
        </w:rPr>
        <w:t xml:space="preserve">República Checa</w:t>
      </w:r>
      <w:r>
        <w:t xml:space="preserve"> </w:t>
      </w:r>
      <w:r>
        <w:t xml:space="preserve">se alineó con el umbral suizo (</w:t>
      </w:r>
      <w:r>
        <w:rPr>
          <w:b/>
          <w:bCs/>
        </w:rPr>
        <w:t xml:space="preserve">1% THC</w:t>
      </w:r>
      <w:r>
        <w:t xml:space="preserve">) en enero de 2025.</w:t>
      </w:r>
      <w:r>
        <w:t xml:space="preserve"> </w:t>
      </w:r>
      <w:r>
        <w:rPr>
          <w:b/>
          <w:bCs/>
        </w:rPr>
        <w:t xml:space="preserve">Luxemburgo</w:t>
      </w:r>
      <w:r>
        <w:t xml:space="preserve">, Estado miembro, también se alineó con Suiza en 2023, permitiendo la</w:t>
      </w:r>
      <w:r>
        <w:t xml:space="preserve"> </w:t>
      </w:r>
      <w:r>
        <w:rPr>
          <w:b/>
          <w:bCs/>
        </w:rPr>
        <w:t xml:space="preserve">importación y comercialización</w:t>
      </w:r>
      <w:r>
        <w:t xml:space="preserve"> </w:t>
      </w:r>
      <w:r>
        <w:t xml:space="preserve">de productos de cáñamo industrial con hasta</w:t>
      </w:r>
      <w:r>
        <w:t xml:space="preserve"> </w:t>
      </w:r>
      <w:r>
        <w:rPr>
          <w:b/>
          <w:bCs/>
        </w:rPr>
        <w:t xml:space="preserve">1% THC</w:t>
      </w:r>
      <w:r>
        <w:t xml:space="preserve"> </w:t>
      </w:r>
      <w:r>
        <w:t xml:space="preserve">como sustitutos del tabaco. Estos productos están</w:t>
      </w:r>
      <w:r>
        <w:t xml:space="preserve"> </w:t>
      </w:r>
      <w:r>
        <w:rPr>
          <w:b/>
          <w:bCs/>
        </w:rPr>
        <w:t xml:space="preserve">registrados en el portal EU-CEG</w:t>
      </w:r>
      <w:r>
        <w:t xml:space="preserve"> </w:t>
      </w:r>
      <w:r>
        <w:t xml:space="preserve">(Common Entry Gate) y se enmarcan en la</w:t>
      </w:r>
      <w:r>
        <w:t xml:space="preserve"> </w:t>
      </w:r>
      <w:r>
        <w:rPr>
          <w:b/>
          <w:bCs/>
        </w:rPr>
        <w:t xml:space="preserve">Directiva de Productos del Tabaco (TPD)</w:t>
      </w:r>
      <w:r>
        <w:t xml:space="preserve"> </w:t>
      </w:r>
      <w:r>
        <w:t xml:space="preserve">europea como</w:t>
      </w:r>
      <w:r>
        <w:t xml:space="preserve"> </w:t>
      </w:r>
      <w:r>
        <w:t xml:space="preserve">“hierbas para fumar”</w:t>
      </w:r>
      <w:r>
        <w:t xml:space="preserve">.</w:t>
      </w:r>
    </w:p>
    <w:p>
      <w:pPr>
        <w:pStyle w:val="BodyText"/>
      </w:pPr>
      <w:r>
        <w:t xml:space="preserve">El encaje regulatorio de los productos de cáñamo en la TPD también se aplica en</w:t>
      </w:r>
      <w:r>
        <w:t xml:space="preserve"> </w:t>
      </w:r>
      <w:r>
        <w:rPr>
          <w:b/>
          <w:bCs/>
        </w:rPr>
        <w:t xml:space="preserve">Austria, Bélgica, Francia, Polonia, Alemania y Grecia</w:t>
      </w:r>
      <w:r>
        <w:t xml:space="preserve">.</w:t>
      </w:r>
    </w:p>
    <w:p>
      <w:pPr>
        <w:pStyle w:val="BodyText"/>
      </w:pPr>
      <w:r>
        <w:t xml:space="preserve">En los Estados miembros donde este registro no se exige formalmente, los mismos productos importados desde República Checa o Luxemburgo, con un</w:t>
      </w:r>
      <w:r>
        <w:t xml:space="preserve"> </w:t>
      </w:r>
      <w:r>
        <w:rPr>
          <w:b/>
          <w:bCs/>
        </w:rPr>
        <w:t xml:space="preserve">1% de THC</w:t>
      </w:r>
      <w:r>
        <w:t xml:space="preserve">, deben —y de hecho circulan— igualmente por el principio de</w:t>
      </w:r>
      <w:r>
        <w:t xml:space="preserve"> </w:t>
      </w:r>
      <w:r>
        <w:rPr>
          <w:b/>
          <w:bCs/>
        </w:rPr>
        <w:t xml:space="preserve">libre circulación de mercancías</w:t>
      </w:r>
      <w:r>
        <w:t xml:space="preserve"> </w:t>
      </w:r>
      <w:r>
        <w:t xml:space="preserve">(arts. 34-36 TFUE).</w:t>
      </w:r>
    </w:p>
    <w:bookmarkEnd w:id="39"/>
    <w:bookmarkStart w:id="40" w:name="X427e6ffdedc2bd2e1a1b7274f02627f3dd33253"/>
    <w:p>
      <w:pPr>
        <w:pStyle w:val="Heading5"/>
      </w:pPr>
      <w:r>
        <w:t xml:space="preserve">B.2 Confirmación farmacocinética: el 1% THC no produce efectos psicoactivos</w:t>
      </w:r>
    </w:p>
    <w:p>
      <w:pPr>
        <w:pStyle w:val="FirstParagraph"/>
      </w:pPr>
      <w:r>
        <w:t xml:space="preserve">Más allá del precedente comercial y regulatorio,</w:t>
      </w:r>
      <w:r>
        <w:t xml:space="preserve"> </w:t>
      </w:r>
      <w:r>
        <w:rPr>
          <w:b/>
          <w:bCs/>
        </w:rPr>
        <w:t xml:space="preserve">la evidencia clínica directa confirma que el cáñamo al 1% THC no produce efectos psicoactivos</w:t>
      </w:r>
      <w:r>
        <w:t xml:space="preserve">.</w:t>
      </w:r>
    </w:p>
    <w:p>
      <w:pPr>
        <w:pStyle w:val="BodyText"/>
      </w:pPr>
      <w:r>
        <w:t xml:space="preserve">Tres ensayos clínicos recientes evaluaron productos CBD-dominantes con contenidos de THC comparables o superiores al 1%:</w:t>
      </w:r>
    </w:p>
    <w:p>
      <w:pPr>
        <w:numPr>
          <w:ilvl w:val="0"/>
          <w:numId w:val="1011"/>
        </w:numPr>
      </w:pPr>
      <w:r>
        <w:rPr>
          <w:b/>
          <w:bCs/>
        </w:rPr>
        <w:t xml:space="preserve">Arkell et al. (2020)</w:t>
      </w:r>
      <w:r>
        <w:t xml:space="preserve">, publicado en</w:t>
      </w:r>
      <w:r>
        <w:t xml:space="preserve"> </w:t>
      </w:r>
      <w:r>
        <w:rPr>
          <w:i/>
          <w:iCs/>
        </w:rPr>
        <w:t xml:space="preserve">JAMA</w:t>
      </w:r>
      <w:r>
        <w:t xml:space="preserve">, estudió cannabis vaporizado con &lt;1% THC en tests de conducción real:</w:t>
      </w:r>
      <w:r>
        <w:t xml:space="preserve"> </w:t>
      </w:r>
      <w:r>
        <w:rPr>
          <w:b/>
          <w:bCs/>
        </w:rPr>
        <w:t xml:space="preserve">sin diferencias significativas respecto a placebo</w:t>
      </w:r>
      <w:r>
        <w:t xml:space="preserve"> </w:t>
      </w:r>
      <w:r>
        <w:t xml:space="preserve">en desviación lateral ni rendimiento cognitivo.</w:t>
      </w:r>
    </w:p>
    <w:p>
      <w:pPr>
        <w:numPr>
          <w:ilvl w:val="0"/>
          <w:numId w:val="1011"/>
        </w:numPr>
      </w:pPr>
      <w:r>
        <w:rPr>
          <w:b/>
          <w:bCs/>
        </w:rPr>
        <w:t xml:space="preserve">Egloff et al. (2023)</w:t>
      </w:r>
      <w:r>
        <w:t xml:space="preserve">, de la Universidad de Basilea, evaluó cannabis &lt;1% THC vaporizado en conductores:</w:t>
      </w:r>
      <w:r>
        <w:t xml:space="preserve"> </w:t>
      </w:r>
      <w:r>
        <w:rPr>
          <w:b/>
          <w:bCs/>
        </w:rPr>
        <w:t xml:space="preserve">ningún participante mostró deterioro de la capacidad de conducción</w:t>
      </w:r>
      <w:r>
        <w:t xml:space="preserve"> </w:t>
      </w:r>
      <w:r>
        <w:t xml:space="preserve">respecto a placebo, y las concentraciones sanguíneas de THC permanecieron muy por debajo de los umbrales legales suizos.</w:t>
      </w:r>
    </w:p>
    <w:p>
      <w:pPr>
        <w:numPr>
          <w:ilvl w:val="0"/>
          <w:numId w:val="1011"/>
        </w:numPr>
      </w:pPr>
      <w:r>
        <w:rPr>
          <w:b/>
          <w:bCs/>
        </w:rPr>
        <w:t xml:space="preserve">Spindle et al. (2020)</w:t>
      </w:r>
      <w:r>
        <w:t xml:space="preserve">, de Johns Hopkins, administró CBD-dominante vaporizado (100 mg CBD + 3,7 mg THC):</w:t>
      </w:r>
      <w:r>
        <w:t xml:space="preserve"> </w:t>
      </w:r>
      <w:r>
        <w:rPr>
          <w:b/>
          <w:bCs/>
        </w:rPr>
        <w:t xml:space="preserve">sin deterioro cognitivo ni psicomotor</w:t>
      </w:r>
      <w:r>
        <w:t xml:space="preserve"> </w:t>
      </w:r>
      <w:r>
        <w:t xml:space="preserve">en ninguna de las tareas evaluadas.</w:t>
      </w:r>
    </w:p>
    <w:p>
      <w:pPr>
        <w:pStyle w:val="FirstParagraph"/>
      </w:pPr>
      <w:r>
        <w:t xml:space="preserve">El análisis farmacocinético corrobora estos hallazgos. Aplicando los parámetros de biodisponibilidad establecidos en literatura peer-reviewed —transferencia al humo principal del 12,6% (Sheehan, 2018) y biodisponibilidad pulmonar del 28,7% (Naef, 2004)—, la dosis sistémica máxima resultante de fumar 1 gramo de cáñamo al 1% THC es de aproximadamente</w:t>
      </w:r>
      <w:r>
        <w:t xml:space="preserve"> </w:t>
      </w:r>
      <w:r>
        <w:rPr>
          <w:b/>
          <w:bCs/>
        </w:rPr>
        <w:t xml:space="preserve">0,36 mg</w:t>
      </w:r>
      <w:r>
        <w:t xml:space="preserve">, es decir,</w:t>
      </w:r>
      <w:r>
        <w:t xml:space="preserve"> </w:t>
      </w:r>
      <w:r>
        <w:rPr>
          <w:b/>
          <w:bCs/>
        </w:rPr>
        <w:t xml:space="preserve">entre 8 y 17 veces inferior</w:t>
      </w:r>
      <w:r>
        <w:t xml:space="preserve"> </w:t>
      </w:r>
      <w:r>
        <w:t xml:space="preserve">al umbral documentado para efectos psicoactivos perceptibles de 3,1 mg (Perez-Reyes, 1972; EFSA, 2015).</w:t>
      </w:r>
    </w:p>
    <w:p>
      <w:pPr>
        <w:pStyle w:val="BodyText"/>
      </w:pPr>
      <w:r>
        <w:t xml:space="preserve">Adicionalmente, el efecto antagonista del CBD presente en el cáñamo —con ratios CBD:THC típicas de 2:1 a 17:1— modula negativamente la activación de receptores CB1, reduciendo aún más cualquier impacto potencial.</w:t>
      </w:r>
    </w:p>
    <w:p>
      <w:pPr>
        <w:pStyle w:val="BlockText"/>
      </w:pPr>
      <w:r>
        <w:rPr>
          <w:b/>
          <w:bCs/>
        </w:rPr>
        <w:t xml:space="preserve">Los cálculos detallados y metodología completa se recogen en el Anexo A.</w:t>
      </w:r>
    </w:p>
    <w:bookmarkEnd w:id="40"/>
    <w:bookmarkStart w:id="41" w:name="X269c10c1ec16c474f15d0430bc87d5679ca035b"/>
    <w:p>
      <w:pPr>
        <w:pStyle w:val="Heading5"/>
      </w:pPr>
      <w:r>
        <w:t xml:space="preserve">B.3 Conclusión: el 1% THC es seguro para inhalación</w:t>
      </w:r>
    </w:p>
    <w:p>
      <w:pPr>
        <w:pStyle w:val="FirstParagraph"/>
      </w:pPr>
      <w:r>
        <w:t xml:space="preserve">El escenario de combustión directa no es hipotético:</w:t>
      </w:r>
      <w:r>
        <w:t xml:space="preserve"> </w:t>
      </w:r>
      <w:r>
        <w:rPr>
          <w:b/>
          <w:bCs/>
        </w:rPr>
        <w:t xml:space="preserve">es una realidad comercial consolidada en Europa</w:t>
      </w:r>
      <w:r>
        <w:t xml:space="preserve">.</w:t>
      </w:r>
    </w:p>
    <w:p>
      <w:pPr>
        <w:pStyle w:val="BodyText"/>
      </w:pPr>
      <w:r>
        <w:rPr>
          <w:b/>
          <w:bCs/>
        </w:rPr>
        <w:t xml:space="preserve">Validación regulatoria:</w:t>
      </w:r>
      <w:r>
        <w:t xml:space="preserve"> </w:t>
      </w:r>
      <w:r>
        <w:t xml:space="preserve">- Suiza permite la venta de flores &lt;1% THC como sustituto del tabaco desde 2011</w:t>
      </w:r>
      <w:r>
        <w:t xml:space="preserve"> </w:t>
      </w:r>
      <w:r>
        <w:t xml:space="preserve">- Luxemburgo (Estado miembro UE) autoriza productos hasta 1% THC desde 2023</w:t>
      </w:r>
      <w:r>
        <w:t xml:space="preserve"> </w:t>
      </w:r>
      <w:r>
        <w:t xml:space="preserve">- Mercados activos operan en Austria, Bélgica, Francia, Polonia, Alemania y Grecia</w:t>
      </w:r>
      <w:r>
        <w:t xml:space="preserve"> </w:t>
      </w:r>
      <w:r>
        <w:t xml:space="preserve">- Swissmedic —autoridad con MRA con la UE— clasifica estos productos fuera del control de estupefacientes</w:t>
      </w:r>
      <w:r>
        <w:t xml:space="preserve"> </w:t>
      </w:r>
      <w:r>
        <w:t xml:space="preserve">- La doctrina Kanavape (C-663/18) impide prohibiciones sin demostración de riesgo real</w:t>
      </w:r>
    </w:p>
    <w:p>
      <w:pPr>
        <w:pStyle w:val="BodyText"/>
      </w:pPr>
      <w:r>
        <w:rPr>
          <w:b/>
          <w:bCs/>
        </w:rPr>
        <w:t xml:space="preserve">Validación farmacocinética:</w:t>
      </w:r>
      <w:r>
        <w:t xml:space="preserve"> </w:t>
      </w:r>
      <w:r>
        <w:t xml:space="preserve">- Márgenes de seguridad de ×8-17 respecto al umbral psicoactivo (ver Anexo A.5)</w:t>
      </w:r>
      <w:r>
        <w:t xml:space="preserve"> </w:t>
      </w:r>
      <w:r>
        <w:t xml:space="preserve">- Ensayos clínicos directos confirman ausencia de deterioro cognitivo/psicomotor</w:t>
      </w:r>
    </w:p>
    <w:p>
      <w:pPr>
        <w:pStyle w:val="BodyText"/>
      </w:pPr>
      <w:r>
        <w:rPr>
          <w:b/>
          <w:bCs/>
        </w:rPr>
        <w:t xml:space="preserve">Conclusión</w:t>
      </w:r>
      <w:r>
        <w:t xml:space="preserve">: El cáñamo al 1% THC fumado</w:t>
      </w:r>
      <w:r>
        <w:t xml:space="preserve"> </w:t>
      </w:r>
      <w:r>
        <w:rPr>
          <w:b/>
          <w:bCs/>
        </w:rPr>
        <w:t xml:space="preserve">no produce efectos psicoactivos</w:t>
      </w:r>
      <w:r>
        <w:t xml:space="preserve">. La evidencia regulatoria (&gt;15 años de mercado europeo sin incidentes) y científica (farmacocinética + ensayos clínicos) lo confirman de forma inequívoca.</w:t>
      </w:r>
    </w:p>
    <w:p>
      <w:r>
        <w:pict>
          <v:rect style="width:0;height:1.5pt" o:hralign="center" o:hrstd="t" o:hr="t"/>
        </w:pict>
      </w:r>
    </w:p>
    <w:bookmarkEnd w:id="41"/>
    <w:bookmarkEnd w:id="42"/>
    <w:bookmarkEnd w:id="43"/>
    <w:bookmarkEnd w:id="44"/>
    <w:bookmarkEnd w:id="45"/>
    <w:bookmarkStart w:id="52" w:name="conclusión-y-propuesta-de-enmienda"/>
    <w:p>
      <w:pPr>
        <w:pStyle w:val="Heading1"/>
      </w:pPr>
      <w:r>
        <w:t xml:space="preserve">3. CONCLUSIÓN Y PROPUESTA DE ENMIENDA</w:t>
      </w:r>
    </w:p>
    <w:bookmarkStart w:id="46" w:name="propuesta"/>
    <w:p>
      <w:pPr>
        <w:pStyle w:val="Heading2"/>
      </w:pPr>
      <w:r>
        <w:t xml:space="preserve">3.1 Propuesta</w:t>
      </w:r>
    </w:p>
    <w:p>
      <w:pPr>
        <w:pStyle w:val="FirstParagraph"/>
      </w:pPr>
      <w:r>
        <w:t xml:space="preserve">Cannabis Hub propone</w:t>
      </w:r>
      <w:r>
        <w:t xml:space="preserve"> </w:t>
      </w:r>
      <w:r>
        <w:rPr>
          <w:b/>
          <w:bCs/>
        </w:rPr>
        <w:t xml:space="preserve">sustituir el umbral del 0,3% por el 1,0% THC</w:t>
      </w:r>
      <w:r>
        <w:t xml:space="preserve"> </w:t>
      </w:r>
      <w:r>
        <w:t xml:space="preserve">en todas las disposiciones de la PAC y la OCM donde este criterio opera como definición de</w:t>
      </w:r>
      <w:r>
        <w:t xml:space="preserve"> </w:t>
      </w:r>
      <w:r>
        <w:rPr>
          <w:b/>
          <w:bCs/>
        </w:rPr>
        <w:t xml:space="preserve">cáñamo industrial</w:t>
      </w:r>
      <w:r>
        <w:t xml:space="preserve">, manteniendo la arquitectura de control existente y añadiendo una</w:t>
      </w:r>
      <w:r>
        <w:t xml:space="preserve"> </w:t>
      </w:r>
      <w:r>
        <w:rPr>
          <w:b/>
          <w:bCs/>
        </w:rPr>
        <w:t xml:space="preserve">cláusula técnica mínima</w:t>
      </w:r>
      <w:r>
        <w:t xml:space="preserve"> </w:t>
      </w:r>
      <w:r>
        <w:t xml:space="preserve">que cierre la ambigüedad interpretativa.</w:t>
      </w:r>
    </w:p>
    <w:p>
      <w:pPr>
        <w:pStyle w:val="BodyText"/>
      </w:pPr>
      <w:r>
        <w:t xml:space="preserve">Esta reforma:</w:t>
      </w:r>
      <w:r>
        <w:t xml:space="preserve"> </w:t>
      </w:r>
      <w:r>
        <w:t xml:space="preserve">-</w:t>
      </w:r>
      <w:r>
        <w:t xml:space="preserve"> </w:t>
      </w:r>
      <w:r>
        <w:rPr>
          <w:b/>
          <w:bCs/>
        </w:rPr>
        <w:t xml:space="preserve">Resuelve</w:t>
      </w:r>
      <w:r>
        <w:t xml:space="preserve"> </w:t>
      </w:r>
      <w:r>
        <w:t xml:space="preserve">la fragmentación del mercado interior y la inseguridad jurídica documentada.</w:t>
      </w:r>
      <w:r>
        <w:t xml:space="preserve"> </w:t>
      </w:r>
      <w:r>
        <w:t xml:space="preserve">-</w:t>
      </w:r>
      <w:r>
        <w:t xml:space="preserve"> </w:t>
      </w:r>
      <w:r>
        <w:rPr>
          <w:b/>
          <w:bCs/>
        </w:rPr>
        <w:t xml:space="preserve">Protege</w:t>
      </w:r>
      <w:r>
        <w:t xml:space="preserve"> </w:t>
      </w:r>
      <w:r>
        <w:t xml:space="preserve">al agricultor frente a pérdidas por variabilidad agronómica y climática (</w:t>
      </w:r>
      <w:r>
        <w:t xml:space="preserve">“hot crops”</w:t>
      </w:r>
      <w:r>
        <w:t xml:space="preserve">).</w:t>
      </w:r>
      <w:r>
        <w:t xml:space="preserve"> </w:t>
      </w:r>
      <w:r>
        <w:t xml:space="preserve">-</w:t>
      </w:r>
      <w:r>
        <w:t xml:space="preserve"> </w:t>
      </w:r>
      <w:r>
        <w:rPr>
          <w:b/>
          <w:bCs/>
        </w:rPr>
        <w:t xml:space="preserve">Alinea</w:t>
      </w:r>
      <w:r>
        <w:t xml:space="preserve"> </w:t>
      </w:r>
      <w:r>
        <w:t xml:space="preserve">la UE con el bloque internacional de 1% (18 jurisdicciones verificadas) y refuerza su competitividad.</w:t>
      </w:r>
      <w:r>
        <w:t xml:space="preserve"> </w:t>
      </w:r>
      <w:r>
        <w:t xml:space="preserve">-</w:t>
      </w:r>
      <w:r>
        <w:t xml:space="preserve"> </w:t>
      </w:r>
      <w:r>
        <w:rPr>
          <w:b/>
          <w:bCs/>
        </w:rPr>
        <w:t xml:space="preserve">Mantiene</w:t>
      </w:r>
      <w:r>
        <w:t xml:space="preserve"> </w:t>
      </w:r>
      <w:r>
        <w:t xml:space="preserve">el control oficial mediante el método armonizado UE (Reg. Delegado 2017/1155).</w:t>
      </w:r>
    </w:p>
    <w:p>
      <w:r>
        <w:pict>
          <v:rect style="width:0;height:1.5pt" o:hralign="center" o:hrstd="t" o:hr="t"/>
        </w:pict>
      </w:r>
    </w:p>
    <w:bookmarkEnd w:id="46"/>
    <w:bookmarkStart w:id="49" w:name="enmiendas-nucleares-03-10"/>
    <w:p>
      <w:pPr>
        <w:pStyle w:val="Heading2"/>
      </w:pPr>
      <w:r>
        <w:t xml:space="preserve">3.2 Enmiendas nucleares: 0,3% → 1,0%</w:t>
      </w:r>
    </w:p>
    <w:bookmarkStart w:id="47" w:name="pac-com2025-560"/>
    <w:p>
      <w:pPr>
        <w:pStyle w:val="Heading3"/>
      </w:pPr>
      <w:r>
        <w:t xml:space="preserve">PAC — COM(2025) 560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Propuesta Comisión</w:t>
            </w:r>
          </w:p>
        </w:tc>
        <w:tc>
          <w:tcPr/>
          <w:p>
            <w:pPr>
              <w:pStyle w:val="Compact"/>
            </w:pPr>
            <w:r>
              <w:t xml:space="preserve">Enmienda propuesta</w:t>
            </w:r>
          </w:p>
        </w:tc>
      </w:tr>
      <w:tr>
        <w:tc>
          <w:tcPr/>
          <w:p>
            <w:pPr>
              <w:pStyle w:val="Compact"/>
            </w:pPr>
            <w:r>
              <w:rPr>
                <w:b/>
                <w:bCs/>
              </w:rPr>
              <w:t xml:space="preserve">Artículo 5</w:t>
            </w:r>
            <w:r>
              <w:t xml:space="preserve"> </w:t>
            </w:r>
            <w:r>
              <w:t xml:space="preserve">— Tipos de ayuda</w:t>
            </w:r>
            <w:r>
              <w:t xml:space="preserve"> </w:t>
            </w:r>
            <w:r>
              <w:rPr>
                <w:i/>
                <w:iCs/>
              </w:rPr>
              <w:t xml:space="preserve">(…)</w:t>
            </w:r>
            <w:r>
              <w:t xml:space="preserve"> </w:t>
            </w:r>
            <w:r>
              <w:t xml:space="preserve">La producción de variedades de cáñamo con un contenido de tetrahidrocannabinol (THC) superior al</w:t>
            </w:r>
            <w:r>
              <w:t xml:space="preserve"> </w:t>
            </w:r>
            <w:r>
              <w:rPr>
                <w:b/>
                <w:bCs/>
              </w:rPr>
              <w:t xml:space="preserve">0,3%</w:t>
            </w:r>
            <w:r>
              <w:t xml:space="preserve"> </w:t>
            </w:r>
            <w:r>
              <w:t xml:space="preserve">no podrá optar a las ayudas en virtud del presente Reglamento.</w:t>
            </w:r>
          </w:p>
        </w:tc>
        <w:tc>
          <w:tcPr/>
          <w:p>
            <w:pPr>
              <w:pStyle w:val="Compact"/>
            </w:pPr>
            <w:r>
              <w:rPr>
                <w:b/>
                <w:bCs/>
              </w:rPr>
              <w:t xml:space="preserve">Artículo 5</w:t>
            </w:r>
            <w:r>
              <w:t xml:space="preserve"> </w:t>
            </w:r>
            <w:r>
              <w:t xml:space="preserve">— Tipos de ayuda</w:t>
            </w:r>
            <w:r>
              <w:t xml:space="preserve"> </w:t>
            </w:r>
            <w:r>
              <w:rPr>
                <w:i/>
                <w:iCs/>
              </w:rPr>
              <w:t xml:space="preserve">(…)</w:t>
            </w:r>
            <w:r>
              <w:t xml:space="preserve"> </w:t>
            </w:r>
            <w:r>
              <w:t xml:space="preserve">La producción de variedades de cáñamo con un contenido de tetrahidrocannabinol (THC) superior al</w:t>
            </w:r>
            <w:r>
              <w:t xml:space="preserve"> </w:t>
            </w:r>
            <w:r>
              <w:rPr>
                <w:b/>
                <w:bCs/>
              </w:rPr>
              <w:t xml:space="preserve">1,0%</w:t>
            </w:r>
            <w:r>
              <w:t xml:space="preserve"> </w:t>
            </w:r>
            <w:r>
              <w:t xml:space="preserve">no podrá optar a las ayudas en virtud del presente Reglamento.</w:t>
            </w:r>
          </w:p>
        </w:tc>
      </w:tr>
    </w:tbl>
    <w:bookmarkEnd w:id="47"/>
    <w:bookmarkStart w:id="48" w:name="X68a6f5b82b3ab7399ecf85ffa2f14872662aa10"/>
    <w:p>
      <w:pPr>
        <w:pStyle w:val="Heading3"/>
      </w:pPr>
      <w:r>
        <w:t xml:space="preserve">OCM — COM(2025) 553 (modifica Reg. (UE) 1308/2013)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Propuesta Comisión</w:t>
            </w:r>
          </w:p>
        </w:tc>
        <w:tc>
          <w:tcPr/>
          <w:p>
            <w:pPr>
              <w:pStyle w:val="Compact"/>
            </w:pPr>
            <w:r>
              <w:t xml:space="preserve">Enmienda propuesta</w:t>
            </w:r>
          </w:p>
        </w:tc>
      </w:tr>
      <w:tr>
        <w:tc>
          <w:tcPr/>
          <w:p>
            <w:pPr>
              <w:pStyle w:val="Compact"/>
            </w:pPr>
            <w:r>
              <w:rPr>
                <w:b/>
                <w:bCs/>
              </w:rPr>
              <w:t xml:space="preserve">Artículo 147 ter</w:t>
            </w:r>
            <w:r>
              <w:t xml:space="preserve"> </w:t>
            </w:r>
            <w:r>
              <w:t xml:space="preserve">— Producción de cáñamo. 1. Los siguientes productos podrán producirse en la Unión si proceden de una variedad de</w:t>
            </w:r>
            <w:r>
              <w:t xml:space="preserve"> </w:t>
            </w:r>
            <w:r>
              <w:rPr>
                <w:i/>
                <w:iCs/>
              </w:rPr>
              <w:t xml:space="preserve">Cannabis Sativa</w:t>
            </w:r>
            <w:r>
              <w:t xml:space="preserve"> </w:t>
            </w:r>
            <w:r>
              <w:t xml:space="preserve">L. registrada en el catálogo común cuyo contenido máximo de Δ9-tetrahidrocannabinol no supere el</w:t>
            </w:r>
            <w:r>
              <w:t xml:space="preserve"> </w:t>
            </w:r>
            <w:r>
              <w:rPr>
                <w:b/>
                <w:bCs/>
              </w:rPr>
              <w:t xml:space="preserve">0,3%</w:t>
            </w:r>
            <w:r>
              <w:t xml:space="preserve"> </w:t>
            </w:r>
            <w:r>
              <w:t xml:space="preserve">y cumplen las condiciones siguientes:</w:t>
            </w:r>
            <w:r>
              <w:t xml:space="preserve"> </w:t>
            </w:r>
            <w:r>
              <w:rPr>
                <w:i/>
                <w:iCs/>
              </w:rPr>
              <w:t xml:space="preserve">(…)</w:t>
            </w:r>
          </w:p>
        </w:tc>
        <w:tc>
          <w:tcPr/>
          <w:p>
            <w:pPr>
              <w:pStyle w:val="Compact"/>
            </w:pPr>
            <w:r>
              <w:rPr>
                <w:b/>
                <w:bCs/>
              </w:rPr>
              <w:t xml:space="preserve">Artículo 147 ter</w:t>
            </w:r>
            <w:r>
              <w:t xml:space="preserve"> </w:t>
            </w:r>
            <w:r>
              <w:t xml:space="preserve">— Producción de cáñamo. 1. Los siguientes productos podrán producirse en la Unión si proceden de una variedad de</w:t>
            </w:r>
            <w:r>
              <w:t xml:space="preserve"> </w:t>
            </w:r>
            <w:r>
              <w:rPr>
                <w:i/>
                <w:iCs/>
              </w:rPr>
              <w:t xml:space="preserve">Cannabis Sativa</w:t>
            </w:r>
            <w:r>
              <w:t xml:space="preserve"> </w:t>
            </w:r>
            <w:r>
              <w:t xml:space="preserve">L. registrada en el catálogo común cuyo contenido máximo de Δ9-tetrahidrocannabinol no supere el</w:t>
            </w:r>
            <w:r>
              <w:t xml:space="preserve"> </w:t>
            </w:r>
            <w:r>
              <w:rPr>
                <w:b/>
                <w:bCs/>
              </w:rPr>
              <w:t xml:space="preserve">1,0%</w:t>
            </w:r>
            <w:r>
              <w:t xml:space="preserve"> </w:t>
            </w:r>
            <w:r>
              <w:t xml:space="preserve">y cumplen las condiciones siguientes:</w:t>
            </w:r>
            <w:r>
              <w:t xml:space="preserve"> </w:t>
            </w:r>
            <w:r>
              <w:rPr>
                <w:i/>
                <w:iCs/>
              </w:rPr>
              <w:t xml:space="preserve">(…)</w:t>
            </w:r>
          </w:p>
        </w:tc>
      </w:tr>
      <w:tr>
        <w:tc>
          <w:tcPr/>
          <w:p>
            <w:pPr>
              <w:pStyle w:val="Compact"/>
            </w:pPr>
            <w:r>
              <w:rPr>
                <w:b/>
                <w:bCs/>
              </w:rPr>
              <w:t xml:space="preserve">Artículo 147 quater</w:t>
            </w:r>
            <w:r>
              <w:t xml:space="preserve"> </w:t>
            </w:r>
            <w:r>
              <w:t xml:space="preserve">— Comercialización de cáñamo. 1. Los productos siguientes únicamente podrán comercializarse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(c)</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p>
        </w:tc>
        <w:tc>
          <w:tcPr/>
          <w:p>
            <w:pPr>
              <w:pStyle w:val="Compact"/>
            </w:pPr>
            <w:r>
              <w:rPr>
                <w:b/>
                <w:bCs/>
              </w:rPr>
              <w:t xml:space="preserve">Artículo 147 quater</w:t>
            </w:r>
            <w:r>
              <w:t xml:space="preserve"> </w:t>
            </w:r>
            <w:r>
              <w:t xml:space="preserve">— Comercialización de cáñamo. 1. Los productos siguientes únicamente podrán comercializarse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(c)</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p>
        </w:tc>
      </w:tr>
      <w:tr>
        <w:tc>
          <w:tcPr/>
          <w:p>
            <w:pPr>
              <w:pStyle w:val="Compact"/>
            </w:pPr>
            <w:r>
              <w:rPr>
                <w:b/>
                <w:bCs/>
              </w:rPr>
              <w:t xml:space="preserve">Artículo 189</w:t>
            </w:r>
            <w:r>
              <w:t xml:space="preserve"> </w:t>
            </w:r>
            <w:r>
              <w:t xml:space="preserve">— Importaciones de cáñamo. 1. Los productos siguientes únicamente podrán importarse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(d)</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p>
        </w:tc>
        <w:tc>
          <w:tcPr/>
          <w:p>
            <w:pPr>
              <w:pStyle w:val="Compact"/>
            </w:pPr>
            <w:r>
              <w:rPr>
                <w:b/>
                <w:bCs/>
              </w:rPr>
              <w:t xml:space="preserve">Artículo 189</w:t>
            </w:r>
            <w:r>
              <w:t xml:space="preserve"> </w:t>
            </w:r>
            <w:r>
              <w:t xml:space="preserve">— Importaciones de cáñamo. 1. Los productos siguientes únicamente podrán importarse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(d)</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p>
        </w:tc>
      </w:tr>
    </w:tbl>
    <w:p>
      <w:pPr>
        <w:pStyle w:val="BlockText"/>
      </w:pPr>
      <w:r>
        <w:rPr>
          <w:b/>
          <w:bCs/>
        </w:rPr>
        <w:t xml:space="preserve">Nota sobre NC 1211 90 86</w:t>
      </w:r>
      <w:r>
        <w:t xml:space="preserve">: Este código (</w:t>
      </w:r>
      <w:r>
        <w:t xml:space="preserve">“las demás partes de la planta de cáñamo”</w:t>
      </w:r>
      <w:r>
        <w:t xml:space="preserve">) es la novedad clave de COM(2025) 553, incluyendo por primera vez</w:t>
      </w:r>
      <w:r>
        <w:t xml:space="preserve"> </w:t>
      </w:r>
      <w:r>
        <w:rPr>
          <w:b/>
          <w:bCs/>
        </w:rPr>
        <w:t xml:space="preserve">flores, sumidades y biomasa</w:t>
      </w:r>
      <w:r>
        <w:t xml:space="preserve"> </w:t>
      </w:r>
      <w:r>
        <w:t xml:space="preserve">en el marco regulatorio OCM. Es precisamente esta categoría la que requiere un umbral robusto (1%) para habilitar la cadena de valor de</w:t>
      </w:r>
      <w:r>
        <w:t xml:space="preserve"> </w:t>
      </w:r>
      <w:r>
        <w:rPr>
          <w:b/>
          <w:bCs/>
        </w:rPr>
        <w:t xml:space="preserve">extractos CBD</w:t>
      </w:r>
      <w:r>
        <w:t xml:space="preserve"> </w:t>
      </w:r>
      <w:r>
        <w:t xml:space="preserve">y productos derivados.</w:t>
      </w:r>
    </w:p>
    <w:p>
      <w:r>
        <w:pict>
          <v:rect style="width:0;height:1.5pt" o:hralign="center" o:hrstd="t" o:hr="t"/>
        </w:pict>
      </w:r>
    </w:p>
    <w:bookmarkEnd w:id="48"/>
    <w:bookmarkEnd w:id="49"/>
    <w:bookmarkStart w:id="50" w:name="cláusula-técnica-mínima-recomendada"/>
    <w:p>
      <w:pPr>
        <w:pStyle w:val="Heading2"/>
      </w:pPr>
      <w:r>
        <w:t xml:space="preserve">3.3 Cláusula técnica mínima recomendada</w:t>
      </w:r>
    </w:p>
    <w:p>
      <w:pPr>
        <w:pStyle w:val="FirstParagraph"/>
      </w:pPr>
      <w:r>
        <w:t xml:space="preserve">Para evitar litigios por interpretaciones divergentes, se recomienda añadir una remisión técnica en ambos instrumentos:</w:t>
      </w:r>
    </w:p>
    <w:p>
      <w:pPr>
        <w:pStyle w:val="BlockText"/>
      </w:pPr>
      <w:r>
        <w:rPr>
          <w:i/>
          <w:iCs/>
        </w:rPr>
        <w:t xml:space="preserve">«A efectos del presente Reglamento, el contenido de tetrahidrocannabinol (Δ9-THC) se determinará</w:t>
      </w:r>
      <w:r>
        <w:rPr>
          <w:i/>
          <w:iCs/>
        </w:rPr>
        <w:t xml:space="preserve"> </w:t>
      </w:r>
      <w:r>
        <w:rPr>
          <w:b/>
          <w:bCs/>
          <w:i/>
          <w:iCs/>
        </w:rPr>
        <w:t xml:space="preserve">en base a materia seca (peso constante)</w:t>
      </w:r>
      <w:r>
        <w:rPr>
          <w:i/>
          <w:iCs/>
        </w:rPr>
        <w:t xml:space="preserve"> </w:t>
      </w:r>
      <w:r>
        <w:rPr>
          <w:i/>
          <w:iCs/>
        </w:rPr>
        <w:t xml:space="preserve">y de conformidad con el</w:t>
      </w:r>
      <w:r>
        <w:rPr>
          <w:i/>
          <w:iCs/>
        </w:rPr>
        <w:t xml:space="preserve"> </w:t>
      </w:r>
      <w:r>
        <w:rPr>
          <w:b/>
          <w:bCs/>
          <w:i/>
          <w:iCs/>
        </w:rPr>
        <w:t xml:space="preserve">método de la Unión</w:t>
      </w:r>
      <w:r>
        <w:rPr>
          <w:i/>
          <w:iCs/>
        </w:rPr>
        <w:t xml:space="preserve"> </w:t>
      </w:r>
      <w:r>
        <w:rPr>
          <w:i/>
          <w:iCs/>
        </w:rPr>
        <w:t xml:space="preserve">establecido en el anexo III del Reglamento Delegado (UE) 2017/1155, o en el acto que lo sustituya.»</w:t>
      </w:r>
    </w:p>
    <w:p>
      <w:r>
        <w:pict>
          <v:rect style="width:0;height:1.5pt" o:hralign="center" o:hrstd="t" o:hr="t"/>
        </w:pict>
      </w:r>
    </w:p>
    <w:bookmarkEnd w:id="50"/>
    <w:bookmarkStart w:id="51" w:name="conclusiones"/>
    <w:p>
      <w:pPr>
        <w:pStyle w:val="Heading2"/>
      </w:pPr>
      <w:r>
        <w:t xml:space="preserve">3.4 Conclusiones</w:t>
      </w:r>
    </w:p>
    <w:p>
      <w:pPr>
        <w:pStyle w:val="FirstParagraph"/>
      </w:pPr>
      <w:r>
        <w:t xml:space="preserve">Elevar el umbral a</w:t>
      </w:r>
      <w:r>
        <w:t xml:space="preserve"> </w:t>
      </w:r>
      <w:r>
        <w:rPr>
          <w:b/>
          <w:bCs/>
        </w:rPr>
        <w:t xml:space="preserve">1,0% THC</w:t>
      </w:r>
      <w:r>
        <w:t xml:space="preserve"> </w:t>
      </w:r>
      <w:r>
        <w:t xml:space="preserve">no es una petición maximalista: es el cierre coherente del razonamiento que el propio Parlamento Europeo y el sector han iniciado. Los mismos argumentos que justifican 0,5% conducen lógicamente al 1%, respaldado por:</w:t>
      </w:r>
    </w:p>
    <w:p>
      <w:pPr>
        <w:pStyle w:val="BodyText"/>
      </w:pPr>
      <w:r>
        <w:rPr>
          <w:b/>
          <w:bCs/>
        </w:rPr>
        <w:t xml:space="preserve">Fundamento histórico</w:t>
      </w:r>
      <w:r>
        <w:t xml:space="preserve">: El umbral del 0,3% fue adoptado</w:t>
      </w:r>
      <w:r>
        <w:t xml:space="preserve"> </w:t>
      </w:r>
      <w:r>
        <w:rPr>
          <w:i/>
          <w:iCs/>
        </w:rPr>
        <w:t xml:space="preserve">“arbitrarily”</w:t>
      </w:r>
      <w:r>
        <w:t xml:space="preserve"> </w:t>
      </w:r>
      <w:r>
        <w:t xml:space="preserve">para taxonomía en 1976, no para regulación industrial. Su propio autor, el Dr. Ernest Small, reconoce que</w:t>
      </w:r>
      <w:r>
        <w:t xml:space="preserve"> </w:t>
      </w:r>
      <w:r>
        <w:rPr>
          <w:i/>
          <w:iCs/>
        </w:rPr>
        <w:t xml:space="preserve">“1% THC would be a more suitable criterion”</w:t>
      </w:r>
      <w:r>
        <w:t xml:space="preserve">.</w:t>
      </w:r>
    </w:p>
    <w:p>
      <w:pPr>
        <w:pStyle w:val="BodyText"/>
      </w:pPr>
      <w:r>
        <w:rPr>
          <w:b/>
          <w:bCs/>
        </w:rPr>
        <w:t xml:space="preserve">Fundamento agronómico</w:t>
      </w:r>
      <w:r>
        <w:t xml:space="preserve">: Las variedades de mayor rendimiento —Carmagnola (+87%), germoplasma asiático (×4-7)— expresan THC en el rango 0,4-0,9%. Un umbral del 0,3% excluye sistemáticamente el mejor germoplasma disponible.</w:t>
      </w:r>
    </w:p>
    <w:p>
      <w:pPr>
        <w:pStyle w:val="BodyText"/>
      </w:pPr>
      <w:r>
        <w:rPr>
          <w:b/>
          <w:bCs/>
        </w:rPr>
        <w:t xml:space="preserve">Fundamento internacional</w:t>
      </w:r>
      <w:r>
        <w:t xml:space="preserve">: Más de 18 jurisdicciones operan con el 1% THC sin incidentes de seguridad pública. Europa, con el 0,3%, se sitúa en desventaja competitiva estructural.</w:t>
      </w:r>
    </w:p>
    <w:p>
      <w:pPr>
        <w:pStyle w:val="BodyText"/>
      </w:pPr>
      <w:r>
        <w:rPr>
          <w:b/>
          <w:bCs/>
        </w:rPr>
        <w:t xml:space="preserve">Fundamento de seguridad</w:t>
      </w:r>
      <w:r>
        <w:t xml:space="preserve">: La evidencia farmacocinética (márgenes ×8-17 vs umbral psicoactivo) y los ensayos clínicos directos confirman que el cáñamo al 1% THC</w:t>
      </w:r>
      <w:r>
        <w:t xml:space="preserve"> </w:t>
      </w:r>
      <w:r>
        <w:rPr>
          <w:b/>
          <w:bCs/>
        </w:rPr>
        <w:t xml:space="preserve">no produce efectos psicoactivos</w:t>
      </w:r>
      <w:r>
        <w:t xml:space="preserve">.</w:t>
      </w:r>
    </w:p>
    <w:p>
      <w:pPr>
        <w:pStyle w:val="BodyText"/>
      </w:pPr>
      <w:r>
        <w:t xml:space="preserve">La reforma propuesta permitirá que el sector del cáñamo contribuya plenamente a los objetivos climáticos y de competitividad de la UE, con un marco regulatorio</w:t>
      </w:r>
      <w:r>
        <w:t xml:space="preserve"> </w:t>
      </w:r>
      <w:r>
        <w:rPr>
          <w:b/>
          <w:bCs/>
        </w:rPr>
        <w:t xml:space="preserve">armonizado, operable y defendible</w:t>
      </w:r>
      <w:r>
        <w:t xml:space="preserve">.</w:t>
      </w:r>
    </w:p>
    <w:p>
      <w:r>
        <w:pict>
          <v:rect style="width:0;height:1.5pt" o:hralign="center" o:hrstd="t" o:hr="t"/>
        </w:pict>
      </w:r>
    </w:p>
    <w:bookmarkEnd w:id="51"/>
    <w:bookmarkEnd w:id="52"/>
    <w:bookmarkStart w:id="60" w:name="anexo"/>
    <w:p>
      <w:pPr>
        <w:pStyle w:val="Heading1"/>
      </w:pPr>
      <w:r>
        <w:t xml:space="preserve">ANEXO</w:t>
      </w:r>
    </w:p>
    <w:bookmarkStart w:id="59" w:name="X90f0a3b90a990766c3e2bf54a7fcdbed20017b4"/>
    <w:p>
      <w:pPr>
        <w:pStyle w:val="Heading2"/>
      </w:pPr>
      <w:r>
        <w:t xml:space="preserve">ANEXO A: METODOLOGÍA FARMACOCINÉTICA — Análisis de seguridad del cáñamo al 1% THC inhalado</w:t>
      </w:r>
    </w:p>
    <w:p>
      <w:pPr>
        <w:pStyle w:val="FirstParagraph"/>
      </w:pPr>
      <w:r>
        <w:t xml:space="preserve">Esta sección desarrolla el análisis cuantitativo que respalda la conclusión de que el cáñamo industrial al 1% THC no presenta potencial de abuso por inhalación.</w:t>
      </w:r>
    </w:p>
    <w:bookmarkStart w:id="53" w:name="X11ae4ba18b6ade796f8bc62bf21406068dd1a12"/>
    <w:p>
      <w:pPr>
        <w:pStyle w:val="Heading3"/>
      </w:pPr>
      <w:r>
        <w:t xml:space="preserve">A.1 Marco de referencia toxicológico (EFSA)</w:t>
      </w:r>
    </w:p>
    <w:p>
      <w:pPr>
        <w:pStyle w:val="FirstParagraph"/>
      </w:pPr>
      <w:r>
        <w:t xml:space="preserve">El Panel CONTAM de la EFSA estableció en 2015 los siguientes valores de referencia para Δ9-THC:</w:t>
      </w:r>
    </w:p>
    <w:tbl>
      <w:tblPr>
        <w:tblStyle w:val="Table"/>
        <w:tblW w:type="pct" w:w="5000"/>
        <w:tblLayout w:type="fixed"/>
        <w:tblLook w:firstRow="1" w:lastRow="0" w:firstColumn="0" w:lastColumn="0" w:noHBand="0" w:noVBand="0" w:val="0020"/>
      </w:tblPr>
      <w:tblGrid>
        <w:gridCol w:w="2810"/>
        <w:gridCol w:w="1788"/>
        <w:gridCol w:w="3321"/>
      </w:tblGrid>
      <w:tr>
        <w:trPr>
          <w:tblHeader w:val="on"/>
        </w:trPr>
        <w:tc>
          <w:tcPr/>
          <w:p>
            <w:pPr>
              <w:pStyle w:val="Compact"/>
            </w:pPr>
            <w:r>
              <w:t xml:space="preserve">Parámetro</w:t>
            </w:r>
          </w:p>
        </w:tc>
        <w:tc>
          <w:tcPr/>
          <w:p>
            <w:pPr>
              <w:pStyle w:val="Compact"/>
            </w:pPr>
            <w:r>
              <w:t xml:space="preserve">Valor</w:t>
            </w:r>
          </w:p>
        </w:tc>
        <w:tc>
          <w:tcPr/>
          <w:p>
            <w:pPr>
              <w:pStyle w:val="Compact"/>
            </w:pPr>
            <w:r>
              <w:t xml:space="preserve">Significado</w:t>
            </w:r>
          </w:p>
        </w:tc>
      </w:tr>
      <w:tr>
        <w:tc>
          <w:tcPr/>
          <w:p>
            <w:pPr>
              <w:pStyle w:val="Compact"/>
            </w:pPr>
            <w:r>
              <w:rPr>
                <w:b/>
                <w:bCs/>
              </w:rPr>
              <w:t xml:space="preserve">LOAEL</w:t>
            </w:r>
          </w:p>
        </w:tc>
        <w:tc>
          <w:tcPr/>
          <w:p>
            <w:pPr>
              <w:pStyle w:val="Compact"/>
            </w:pPr>
            <w:r>
              <w:t xml:space="preserve">2,5 mg Δ9-THC/día</w:t>
            </w:r>
          </w:p>
        </w:tc>
        <w:tc>
          <w:tcPr/>
          <w:p>
            <w:pPr>
              <w:pStyle w:val="Compact"/>
            </w:pPr>
            <w:r>
              <w:t xml:space="preserve">Nivel más bajo con efecto adverso observable (alteración del ánimo, sedación)</w:t>
            </w:r>
          </w:p>
        </w:tc>
      </w:tr>
      <w:tr>
        <w:tc>
          <w:tcPr/>
          <w:p>
            <w:pPr>
              <w:pStyle w:val="Compact"/>
            </w:pPr>
            <w:r>
              <w:rPr>
                <w:b/>
                <w:bCs/>
              </w:rPr>
              <w:t xml:space="preserve">ARfD</w:t>
            </w:r>
          </w:p>
        </w:tc>
        <w:tc>
          <w:tcPr/>
          <w:p>
            <w:pPr>
              <w:pStyle w:val="Compact"/>
            </w:pPr>
            <w:r>
              <w:t xml:space="preserve">1 µg/kg b.w.</w:t>
            </w:r>
          </w:p>
        </w:tc>
        <w:tc>
          <w:tcPr/>
          <w:p>
            <w:pPr>
              <w:pStyle w:val="Compact"/>
            </w:pPr>
            <w:r>
              <w:t xml:space="preserve">Dosis de referencia aguda (aplicando factor de incertidumbre ×30)</w:t>
            </w:r>
          </w:p>
        </w:tc>
      </w:tr>
      <w:tr>
        <w:tc>
          <w:tcPr/>
          <w:p>
            <w:pPr>
              <w:pStyle w:val="Compact"/>
            </w:pPr>
            <w:r>
              <w:rPr>
                <w:b/>
                <w:bCs/>
              </w:rPr>
              <w:t xml:space="preserve">“Desired high”</w:t>
            </w:r>
          </w:p>
        </w:tc>
        <w:tc>
          <w:tcPr/>
          <w:p>
            <w:pPr>
              <w:pStyle w:val="Compact"/>
            </w:pPr>
            <w:r>
              <w:t xml:space="preserve">3,1 ± 0,9 mg sistémico</w:t>
            </w:r>
          </w:p>
        </w:tc>
        <w:tc>
          <w:tcPr/>
          <w:p>
            <w:pPr>
              <w:pStyle w:val="Compact"/>
            </w:pPr>
            <w:r>
              <w:t xml:space="preserve">Umbral para efectos psicoactivos perceptibles (Perez-Reyes, 1972)</w:t>
            </w:r>
          </w:p>
        </w:tc>
      </w:tr>
    </w:tbl>
    <w:p>
      <w:pPr>
        <w:pStyle w:val="BlockText"/>
      </w:pPr>
      <w:r>
        <w:rPr>
          <w:i/>
          <w:iCs/>
        </w:rPr>
        <w:t xml:space="preserve">Fuente: EFSA CONTAM Panel (2015), EFSA Journal 13(6):4141</w:t>
      </w:r>
    </w:p>
    <w:bookmarkEnd w:id="53"/>
    <w:bookmarkStart w:id="54" w:name="X25eb318d99511b09dc0dafc1c3adf02e57daec3"/>
    <w:p>
      <w:pPr>
        <w:pStyle w:val="Heading3"/>
      </w:pPr>
      <w:r>
        <w:t xml:space="preserve">A.2 Parámetros farmacocinéticos de inhalación</w:t>
      </w:r>
    </w:p>
    <w:tbl>
      <w:tblPr>
        <w:tblStyle w:val="Table"/>
        <w:tblW w:type="pct" w:w="5000"/>
        <w:tblLayout w:type="fixed"/>
        <w:tblLook w:firstRow="1" w:lastRow="0" w:firstColumn="0" w:lastColumn="0" w:noHBand="0" w:noVBand="0" w:val="0020"/>
      </w:tblPr>
      <w:tblGrid>
        <w:gridCol w:w="3350"/>
        <w:gridCol w:w="2132"/>
        <w:gridCol w:w="2436"/>
      </w:tblGrid>
      <w:tr>
        <w:trPr>
          <w:tblHeader w:val="on"/>
        </w:trPr>
        <w:tc>
          <w:tcPr/>
          <w:p>
            <w:pPr>
              <w:pStyle w:val="Compact"/>
            </w:pPr>
            <w:r>
              <w:t xml:space="preserve">Parámetro</w:t>
            </w:r>
          </w:p>
        </w:tc>
        <w:tc>
          <w:tcPr/>
          <w:p>
            <w:pPr>
              <w:pStyle w:val="Compact"/>
            </w:pPr>
            <w:r>
              <w:t xml:space="preserve">Valor</w:t>
            </w:r>
          </w:p>
        </w:tc>
        <w:tc>
          <w:tcPr/>
          <w:p>
            <w:pPr>
              <w:pStyle w:val="Compact"/>
            </w:pPr>
            <w:r>
              <w:t xml:space="preserve">Fuente</w:t>
            </w:r>
          </w:p>
        </w:tc>
      </w:tr>
      <w:tr>
        <w:tc>
          <w:tcPr/>
          <w:p>
            <w:pPr>
              <w:pStyle w:val="Compact"/>
            </w:pPr>
            <w:r>
              <w:rPr>
                <w:b/>
                <w:bCs/>
              </w:rPr>
              <w:t xml:space="preserve">Transfer a mainstream smoke</w:t>
            </w:r>
          </w:p>
        </w:tc>
        <w:tc>
          <w:tcPr/>
          <w:p>
            <w:pPr>
              <w:pStyle w:val="Compact"/>
            </w:pPr>
            <w:r>
              <w:t xml:space="preserve">12,6% (rango 7,2-28,0%)</w:t>
            </w:r>
          </w:p>
        </w:tc>
        <w:tc>
          <w:tcPr/>
          <w:p>
            <w:pPr>
              <w:pStyle w:val="Compact"/>
            </w:pPr>
            <w:r>
              <w:t xml:space="preserve">Sheehan et al. (2018),</w:t>
            </w:r>
            <w:r>
              <w:t xml:space="preserve"> </w:t>
            </w:r>
            <w:r>
              <w:rPr>
                <w:i/>
                <w:iCs/>
              </w:rPr>
              <w:t xml:space="preserve">Forensic Sci. Res.</w:t>
            </w:r>
          </w:p>
        </w:tc>
      </w:tr>
      <w:tr>
        <w:tc>
          <w:tcPr/>
          <w:p>
            <w:pPr>
              <w:pStyle w:val="Compact"/>
            </w:pPr>
            <w:r>
              <w:rPr>
                <w:b/>
                <w:bCs/>
              </w:rPr>
              <w:t xml:space="preserve">Biodisponibilidad pulmonar</w:t>
            </w:r>
          </w:p>
        </w:tc>
        <w:tc>
          <w:tcPr/>
          <w:p>
            <w:pPr>
              <w:pStyle w:val="Compact"/>
            </w:pPr>
            <w:r>
              <w:t xml:space="preserve">28,7 ± 8,2% (vs i.v.)</w:t>
            </w:r>
          </w:p>
        </w:tc>
        <w:tc>
          <w:tcPr/>
          <w:p>
            <w:pPr>
              <w:pStyle w:val="Compact"/>
            </w:pPr>
            <w:r>
              <w:t xml:space="preserve">Naef et al. (2004),</w:t>
            </w:r>
            <w:r>
              <w:t xml:space="preserve"> </w:t>
            </w:r>
            <w:r>
              <w:rPr>
                <w:i/>
                <w:iCs/>
              </w:rPr>
              <w:t xml:space="preserve">J. Pharm. Sci.</w:t>
            </w:r>
          </w:p>
        </w:tc>
      </w:tr>
      <w:tr>
        <w:tc>
          <w:tcPr/>
          <w:p>
            <w:pPr>
              <w:pStyle w:val="Compact"/>
            </w:pPr>
            <w:r>
              <w:rPr>
                <w:b/>
                <w:bCs/>
              </w:rPr>
              <w:t xml:space="preserve">Rango general biodisponibilidad fumado</w:t>
            </w:r>
          </w:p>
        </w:tc>
        <w:tc>
          <w:tcPr/>
          <w:p>
            <w:pPr>
              <w:pStyle w:val="Compact"/>
            </w:pPr>
            <w:r>
              <w:t xml:space="preserve">10-35% (media ~30%)</w:t>
            </w:r>
          </w:p>
        </w:tc>
        <w:tc>
          <w:tcPr/>
          <w:p>
            <w:pPr>
              <w:pStyle w:val="Compact"/>
            </w:pPr>
            <w:r>
              <w:t xml:space="preserve">Grotenhermen (2003),</w:t>
            </w:r>
            <w:r>
              <w:t xml:space="preserve"> </w:t>
            </w:r>
            <w:r>
              <w:rPr>
                <w:i/>
                <w:iCs/>
              </w:rPr>
              <w:t xml:space="preserve">Clin. Pharmacokinet.</w:t>
            </w:r>
          </w:p>
        </w:tc>
      </w:tr>
    </w:tbl>
    <w:bookmarkEnd w:id="54"/>
    <w:bookmarkStart w:id="55" w:name="X26df7f17c9aa9199d46fa8e28d29303a8f0a991"/>
    <w:p>
      <w:pPr>
        <w:pStyle w:val="Heading3"/>
      </w:pPr>
      <w:r>
        <w:t xml:space="preserve">A.3 Cálculo de dosis sistémica: escenario desfavorable</w:t>
      </w:r>
    </w:p>
    <w:p>
      <w:pPr>
        <w:pStyle w:val="FirstParagraph"/>
      </w:pPr>
      <w:r>
        <w:rPr>
          <w:b/>
          <w:bCs/>
        </w:rPr>
        <w:t xml:space="preserve">Supuesto</w:t>
      </w:r>
      <w:r>
        <w:t xml:space="preserve">: Combustión completa de 1 gramo de cáñamo al 1% THC (escenario extremo)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Paso</w:t>
            </w:r>
          </w:p>
        </w:tc>
        <w:tc>
          <w:tcPr/>
          <w:p>
            <w:pPr>
              <w:pStyle w:val="Compact"/>
            </w:pPr>
            <w:r>
              <w:t xml:space="preserve">Cálculo</w:t>
            </w:r>
          </w:p>
        </w:tc>
        <w:tc>
          <w:tcPr/>
          <w:p>
            <w:pPr>
              <w:pStyle w:val="Compact"/>
            </w:pPr>
            <w:r>
              <w:t xml:space="preserve">Resultado</w:t>
            </w:r>
          </w:p>
        </w:tc>
      </w:tr>
      <w:tr>
        <w:tc>
          <w:tcPr/>
          <w:p>
            <w:pPr>
              <w:pStyle w:val="Compact"/>
            </w:pPr>
            <w:r>
              <w:t xml:space="preserve">THC total en material</w:t>
            </w:r>
          </w:p>
        </w:tc>
        <w:tc>
          <w:tcPr/>
          <w:p>
            <w:pPr>
              <w:pStyle w:val="Compact"/>
            </w:pPr>
            <w:r>
              <w:t xml:space="preserve">1.000 mg × 1%</w:t>
            </w:r>
          </w:p>
        </w:tc>
        <w:tc>
          <w:tcPr/>
          <w:p>
            <w:pPr>
              <w:pStyle w:val="Compact"/>
            </w:pPr>
            <w:r>
              <w:rPr>
                <w:b/>
                <w:bCs/>
              </w:rPr>
              <w:t xml:space="preserve">10 mg</w:t>
            </w:r>
          </w:p>
        </w:tc>
      </w:tr>
      <w:tr>
        <w:tc>
          <w:tcPr/>
          <w:p>
            <w:pPr>
              <w:pStyle w:val="Compact"/>
            </w:pPr>
            <w:r>
              <w:t xml:space="preserve">THC transferido a mainstream (12,6%)</w:t>
            </w:r>
          </w:p>
        </w:tc>
        <w:tc>
          <w:tcPr/>
          <w:p>
            <w:pPr>
              <w:pStyle w:val="Compact"/>
            </w:pPr>
            <w:r>
              <w:t xml:space="preserve">10 mg × 0,126</w:t>
            </w:r>
          </w:p>
        </w:tc>
        <w:tc>
          <w:tcPr/>
          <w:p>
            <w:pPr>
              <w:pStyle w:val="Compact"/>
            </w:pPr>
            <w:r>
              <w:rPr>
                <w:b/>
                <w:bCs/>
              </w:rPr>
              <w:t xml:space="preserve">1,26 mg</w:t>
            </w:r>
          </w:p>
        </w:tc>
      </w:tr>
      <w:tr>
        <w:tc>
          <w:tcPr/>
          <w:p>
            <w:pPr>
              <w:pStyle w:val="Compact"/>
            </w:pPr>
            <w:r>
              <w:t xml:space="preserve">THC absorbido sistémicamente (28,7%)</w:t>
            </w:r>
          </w:p>
        </w:tc>
        <w:tc>
          <w:tcPr/>
          <w:p>
            <w:pPr>
              <w:pStyle w:val="Compact"/>
            </w:pPr>
            <w:r>
              <w:t xml:space="preserve">1,26 mg × 0,287</w:t>
            </w:r>
          </w:p>
        </w:tc>
        <w:tc>
          <w:tcPr/>
          <w:p>
            <w:pPr>
              <w:pStyle w:val="Compact"/>
            </w:pPr>
            <w:r>
              <w:rPr>
                <w:b/>
                <w:bCs/>
              </w:rPr>
              <w:t xml:space="preserve">0,36 mg</w:t>
            </w:r>
          </w:p>
        </w:tc>
      </w:tr>
    </w:tbl>
    <w:p>
      <w:pPr>
        <w:pStyle w:val="BodyText"/>
      </w:pPr>
      <w:r>
        <w:rPr>
          <w:b/>
          <w:bCs/>
        </w:rPr>
        <w:t xml:space="preserve">Margen de seguridad vs umbral psicoactivo (3,1 mg)</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Escenario</w:t>
            </w:r>
          </w:p>
        </w:tc>
        <w:tc>
          <w:tcPr/>
          <w:p>
            <w:pPr>
              <w:pStyle w:val="Compact"/>
            </w:pPr>
            <w:r>
              <w:t xml:space="preserve">THC sistémico</w:t>
            </w:r>
          </w:p>
        </w:tc>
        <w:tc>
          <w:tcPr/>
          <w:p>
            <w:pPr>
              <w:pStyle w:val="Compact"/>
            </w:pPr>
            <w:r>
              <w:t xml:space="preserve">Margen vs</w:t>
            </w:r>
            <w:r>
              <w:t xml:space="preserve"> </w:t>
            </w:r>
            <w:r>
              <w:t xml:space="preserve">“desired high”</w:t>
            </w:r>
          </w:p>
        </w:tc>
      </w:tr>
      <w:tr>
        <w:tc>
          <w:tcPr/>
          <w:p>
            <w:pPr>
              <w:pStyle w:val="Compact"/>
            </w:pPr>
            <w:r>
              <w:t xml:space="preserve">Conservador (1g @ 1% THC)</w:t>
            </w:r>
          </w:p>
        </w:tc>
        <w:tc>
          <w:tcPr/>
          <w:p>
            <w:pPr>
              <w:pStyle w:val="Compact"/>
            </w:pPr>
            <w:r>
              <w:t xml:space="preserve">0,36 mg</w:t>
            </w:r>
          </w:p>
        </w:tc>
        <w:tc>
          <w:tcPr/>
          <w:p>
            <w:pPr>
              <w:pStyle w:val="Compact"/>
            </w:pPr>
            <w:r>
              <w:rPr>
                <w:b/>
                <w:bCs/>
              </w:rPr>
              <w:t xml:space="preserve">×8,6</w:t>
            </w:r>
          </w:p>
        </w:tc>
      </w:tr>
      <w:tr>
        <w:tc>
          <w:tcPr/>
          <w:p>
            <w:pPr>
              <w:pStyle w:val="Compact"/>
            </w:pPr>
            <w:r>
              <w:t xml:space="preserve">Típico (0,5g @ 1% THC)</w:t>
            </w:r>
          </w:p>
        </w:tc>
        <w:tc>
          <w:tcPr/>
          <w:p>
            <w:pPr>
              <w:pStyle w:val="Compact"/>
            </w:pPr>
            <w:r>
              <w:t xml:space="preserve">0,18 mg</w:t>
            </w:r>
          </w:p>
        </w:tc>
        <w:tc>
          <w:tcPr/>
          <w:p>
            <w:pPr>
              <w:pStyle w:val="Compact"/>
            </w:pPr>
            <w:r>
              <w:rPr>
                <w:b/>
                <w:bCs/>
              </w:rPr>
              <w:t xml:space="preserve">×17,2</w:t>
            </w:r>
          </w:p>
        </w:tc>
      </w:tr>
      <w:tr>
        <w:tc>
          <w:tcPr/>
          <w:p>
            <w:pPr>
              <w:pStyle w:val="Compact"/>
            </w:pPr>
            <w:r>
              <w:t xml:space="preserve">Peor caso (parámetros máximos)</w:t>
            </w:r>
          </w:p>
        </w:tc>
        <w:tc>
          <w:tcPr/>
          <w:p>
            <w:pPr>
              <w:pStyle w:val="Compact"/>
            </w:pPr>
            <w:r>
              <w:t xml:space="preserve">0,80 mg</w:t>
            </w:r>
          </w:p>
        </w:tc>
        <w:tc>
          <w:tcPr/>
          <w:p>
            <w:pPr>
              <w:pStyle w:val="Compact"/>
            </w:pPr>
            <w:r>
              <w:rPr>
                <w:b/>
                <w:bCs/>
              </w:rPr>
              <w:t xml:space="preserve">×3,9</w:t>
            </w:r>
          </w:p>
        </w:tc>
      </w:tr>
    </w:tbl>
    <w:p>
      <w:pPr>
        <w:pStyle w:val="BlockText"/>
      </w:pPr>
      <w:r>
        <w:rPr>
          <w:b/>
          <w:bCs/>
        </w:rPr>
        <w:t xml:space="preserve">Conclusión cuantitativa</w:t>
      </w:r>
      <w:r>
        <w:t xml:space="preserve">: Incluso en el escenario más desfavorable (1g completo, parámetros de transferencia y biodisponibilidad en el límite superior), la dosis sistémica queda casi</w:t>
      </w:r>
      <w:r>
        <w:t xml:space="preserve"> </w:t>
      </w:r>
      <w:r>
        <w:rPr>
          <w:b/>
          <w:bCs/>
        </w:rPr>
        <w:t xml:space="preserve">4 veces por debajo</w:t>
      </w:r>
      <w:r>
        <w:t xml:space="preserve"> </w:t>
      </w:r>
      <w:r>
        <w:t xml:space="preserve">del umbral de efectos psicoactivos perceptibles. En escenarios realistas, el margen supera</w:t>
      </w:r>
      <w:r>
        <w:t xml:space="preserve"> </w:t>
      </w:r>
      <w:r>
        <w:rPr>
          <w:b/>
          <w:bCs/>
        </w:rPr>
        <w:t xml:space="preserve">×8-17</w:t>
      </w:r>
      <w:r>
        <w:t xml:space="preserve">.</w:t>
      </w:r>
    </w:p>
    <w:bookmarkEnd w:id="55"/>
    <w:bookmarkStart w:id="56" w:name="X2407ee22a6a0fff818a805726d2b366f4fd7458"/>
    <w:p>
      <w:pPr>
        <w:pStyle w:val="Heading3"/>
      </w:pPr>
      <w:r>
        <w:t xml:space="preserve">A.4 Validación clínica directa: ensayos con cannabis CBD-dominante</w:t>
      </w:r>
    </w:p>
    <w:tbl>
      <w:tblPr>
        <w:tblStyle w:val="Table"/>
        <w:tblW w:type="pct" w:w="5000"/>
        <w:tblLayout w:type="fixed"/>
        <w:tblLook w:firstRow="1" w:lastRow="0" w:firstColumn="0" w:lastColumn="0" w:noHBand="0" w:noVBand="0" w:val="0020"/>
      </w:tblPr>
      <w:tblGrid>
        <w:gridCol w:w="1320"/>
        <w:gridCol w:w="440"/>
        <w:gridCol w:w="1466"/>
        <w:gridCol w:w="1613"/>
        <w:gridCol w:w="3080"/>
      </w:tblGrid>
      <w:tr>
        <w:trPr>
          <w:tblHeader w:val="on"/>
        </w:trPr>
        <w:tc>
          <w:tcPr/>
          <w:p>
            <w:pPr>
              <w:pStyle w:val="Compact"/>
            </w:pPr>
            <w:r>
              <w:t xml:space="preserve">Estudio</w:t>
            </w:r>
          </w:p>
        </w:tc>
        <w:tc>
          <w:tcPr/>
          <w:p>
            <w:pPr>
              <w:pStyle w:val="Compact"/>
            </w:pPr>
            <w:r>
              <w:t xml:space="preserve">N</w:t>
            </w:r>
          </w:p>
        </w:tc>
        <w:tc>
          <w:tcPr/>
          <w:p>
            <w:pPr>
              <w:pStyle w:val="Compact"/>
            </w:pPr>
            <w:r>
              <w:t xml:space="preserve">Producto</w:t>
            </w:r>
          </w:p>
        </w:tc>
        <w:tc>
          <w:tcPr/>
          <w:p>
            <w:pPr>
              <w:pStyle w:val="Compact"/>
            </w:pPr>
            <w:r>
              <w:t xml:space="preserve">Dosis THC</w:t>
            </w:r>
          </w:p>
        </w:tc>
        <w:tc>
          <w:tcPr/>
          <w:p>
            <w:pPr>
              <w:pStyle w:val="Compact"/>
            </w:pPr>
            <w:r>
              <w:t xml:space="preserve">Resultado principal</w:t>
            </w:r>
          </w:p>
        </w:tc>
      </w:tr>
      <w:tr>
        <w:tc>
          <w:tcPr/>
          <w:p>
            <w:pPr>
              <w:pStyle w:val="Compact"/>
            </w:pPr>
            <w:r>
              <w:rPr>
                <w:b/>
                <w:bCs/>
              </w:rPr>
              <w:t xml:space="preserve">Arkell et al. (2020)</w:t>
            </w:r>
            <w:r>
              <w:t xml:space="preserve"> </w:t>
            </w:r>
            <w:r>
              <w:rPr>
                <w:i/>
                <w:iCs/>
              </w:rPr>
              <w:t xml:space="preserve">JAMA</w:t>
            </w:r>
            <w:r>
              <w:t xml:space="preserve"> </w:t>
            </w:r>
            <w:r>
              <w:t xml:space="preserve">324(21):2177</w:t>
            </w:r>
          </w:p>
        </w:tc>
        <w:tc>
          <w:tcPr/>
          <w:p>
            <w:pPr>
              <w:pStyle w:val="Compact"/>
            </w:pPr>
            <w:r>
              <w:t xml:space="preserve">26</w:t>
            </w:r>
          </w:p>
        </w:tc>
        <w:tc>
          <w:tcPr/>
          <w:p>
            <w:pPr>
              <w:pStyle w:val="Compact"/>
            </w:pPr>
            <w:r>
              <w:t xml:space="preserve">CBD-dominante vaporizado (&lt;1% THC)</w:t>
            </w:r>
          </w:p>
        </w:tc>
        <w:tc>
          <w:tcPr/>
          <w:p>
            <w:pPr>
              <w:pStyle w:val="Compact"/>
            </w:pPr>
            <w:r>
              <w:t xml:space="preserve">13,75 mg CBD</w:t>
            </w:r>
          </w:p>
        </w:tc>
        <w:tc>
          <w:tcPr/>
          <w:p>
            <w:pPr>
              <w:pStyle w:val="Compact"/>
            </w:pPr>
            <w:r>
              <w:t xml:space="preserve">SDLP (desviación lateral)</w:t>
            </w:r>
            <w:r>
              <w:t xml:space="preserve"> </w:t>
            </w:r>
            <w:r>
              <w:rPr>
                <w:b/>
                <w:bCs/>
              </w:rPr>
              <w:t xml:space="preserve">sin diferencia vs placebo</w:t>
            </w:r>
            <w:r>
              <w:t xml:space="preserve"> </w:t>
            </w:r>
            <w:r>
              <w:t xml:space="preserve">a 40-100 min ni 240-300 min</w:t>
            </w:r>
          </w:p>
        </w:tc>
      </w:tr>
      <w:tr>
        <w:tc>
          <w:tcPr/>
          <w:p>
            <w:pPr>
              <w:pStyle w:val="Compact"/>
            </w:pPr>
            <w:r>
              <w:rPr>
                <w:b/>
                <w:bCs/>
              </w:rPr>
              <w:t xml:space="preserve">Egloff et al. (2023)</w:t>
            </w:r>
            <w:r>
              <w:t xml:space="preserve"> </w:t>
            </w:r>
            <w:r>
              <w:rPr>
                <w:i/>
                <w:iCs/>
              </w:rPr>
              <w:t xml:space="preserve">Int. J. Legal Med.</w:t>
            </w:r>
            <w:r>
              <w:t xml:space="preserve"> </w:t>
            </w:r>
            <w:r>
              <w:t xml:space="preserve">137:1713</w:t>
            </w:r>
          </w:p>
        </w:tc>
        <w:tc>
          <w:tcPr/>
          <w:p>
            <w:pPr>
              <w:pStyle w:val="Compact"/>
            </w:pPr>
            <w:r>
              <w:t xml:space="preserve">27</w:t>
            </w:r>
          </w:p>
        </w:tc>
        <w:tc>
          <w:tcPr/>
          <w:p>
            <w:pPr>
              <w:pStyle w:val="Compact"/>
            </w:pPr>
            <w:r>
              <w:t xml:space="preserve">&lt;1% THC vaporizado (Volcano)</w:t>
            </w:r>
          </w:p>
        </w:tc>
        <w:tc>
          <w:tcPr/>
          <w:p>
            <w:pPr>
              <w:pStyle w:val="Compact"/>
            </w:pPr>
            <w:r>
              <w:t xml:space="preserve">1,8 mg / 0,6 mg</w:t>
            </w:r>
          </w:p>
        </w:tc>
        <w:tc>
          <w:tcPr/>
          <w:p>
            <w:pPr>
              <w:pStyle w:val="Compact"/>
            </w:pPr>
            <w:r>
              <w:rPr>
                <w:b/>
                <w:bCs/>
              </w:rPr>
              <w:t xml:space="preserve">0% participantes</w:t>
            </w:r>
            <w:r>
              <w:t xml:space="preserve"> </w:t>
            </w:r>
            <w:r>
              <w:t xml:space="preserve">alcanzaron umbral legal suizo (2,2 µg/L); conducción</w:t>
            </w:r>
            <w:r>
              <w:t xml:space="preserve"> </w:t>
            </w:r>
            <w:r>
              <w:rPr>
                <w:b/>
                <w:bCs/>
              </w:rPr>
              <w:t xml:space="preserve">normal vs placebo</w:t>
            </w:r>
          </w:p>
        </w:tc>
      </w:tr>
      <w:tr>
        <w:tc>
          <w:tcPr/>
          <w:p>
            <w:pPr>
              <w:pStyle w:val="Compact"/>
            </w:pPr>
            <w:r>
              <w:rPr>
                <w:b/>
                <w:bCs/>
              </w:rPr>
              <w:t xml:space="preserve">Spindle et al. (2020)</w:t>
            </w:r>
            <w:r>
              <w:t xml:space="preserve"> </w:t>
            </w:r>
            <w:r>
              <w:rPr>
                <w:i/>
                <w:iCs/>
              </w:rPr>
              <w:t xml:space="preserve">Drug Alcohol Depend.</w:t>
            </w:r>
            <w:r>
              <w:t xml:space="preserve"> </w:t>
            </w:r>
            <w:r>
              <w:t xml:space="preserve">211:107937</w:t>
            </w:r>
          </w:p>
        </w:tc>
        <w:tc>
          <w:tcPr/>
          <w:p>
            <w:pPr>
              <w:pStyle w:val="Compact"/>
            </w:pPr>
            <w:r>
              <w:t xml:space="preserve">18</w:t>
            </w:r>
          </w:p>
        </w:tc>
        <w:tc>
          <w:tcPr/>
          <w:p>
            <w:pPr>
              <w:pStyle w:val="Compact"/>
            </w:pPr>
            <w:r>
              <w:t xml:space="preserve">CBD-dominante (100mg CBD + 3,7mg THC)</w:t>
            </w:r>
          </w:p>
        </w:tc>
        <w:tc>
          <w:tcPr/>
          <w:p>
            <w:pPr>
              <w:pStyle w:val="Compact"/>
            </w:pPr>
            <w:r>
              <w:t xml:space="preserve">3,7 mg</w:t>
            </w:r>
          </w:p>
        </w:tc>
        <w:tc>
          <w:tcPr/>
          <w:p>
            <w:pPr>
              <w:pStyle w:val="Compact"/>
            </w:pPr>
            <w:r>
              <w:rPr>
                <w:b/>
                <w:bCs/>
              </w:rPr>
              <w:t xml:space="preserve">Sin deterioro</w:t>
            </w:r>
            <w:r>
              <w:t xml:space="preserve"> </w:t>
            </w:r>
            <w:r>
              <w:t xml:space="preserve">en DSST, DAT ni PASAT vs placebo</w:t>
            </w:r>
          </w:p>
        </w:tc>
      </w:tr>
    </w:tbl>
    <w:bookmarkEnd w:id="56"/>
    <w:bookmarkStart w:id="57" w:name="a.5-efecto-modulador-del-cbd"/>
    <w:p>
      <w:pPr>
        <w:pStyle w:val="Heading3"/>
      </w:pPr>
      <w:r>
        <w:t xml:space="preserve">A.5 Efecto modulador del CBD</w:t>
      </w:r>
    </w:p>
    <w:p>
      <w:pPr>
        <w:pStyle w:val="FirstParagraph"/>
      </w:pPr>
      <w:r>
        <w:t xml:space="preserve">El cáñamo industrial presenta ratios CBD:THC típicas de 2:1 a 17:1. El CBD actúa como modulador alostérico negativo del receptor CB1, reduciendo la eficacia del THC:</w:t>
      </w:r>
    </w:p>
    <w:tbl>
      <w:tblPr>
        <w:tblStyle w:val="Table"/>
        <w:tblW w:type="pct" w:w="5000"/>
        <w:tblLayout w:type="fixed"/>
        <w:tblLook w:firstRow="1" w:lastRow="0" w:firstColumn="0" w:lastColumn="0" w:noHBand="0" w:noVBand="0" w:val="0020"/>
      </w:tblPr>
      <w:tblGrid>
        <w:gridCol w:w="2810"/>
        <w:gridCol w:w="2043"/>
        <w:gridCol w:w="3065"/>
      </w:tblGrid>
      <w:tr>
        <w:trPr>
          <w:tblHeader w:val="on"/>
        </w:trPr>
        <w:tc>
          <w:tcPr/>
          <w:p>
            <w:pPr>
              <w:pStyle w:val="Compact"/>
            </w:pPr>
            <w:r>
              <w:t xml:space="preserve">Mecanismo</w:t>
            </w:r>
          </w:p>
        </w:tc>
        <w:tc>
          <w:tcPr/>
          <w:p>
            <w:pPr>
              <w:pStyle w:val="Compact"/>
            </w:pPr>
            <w:r>
              <w:t xml:space="preserve">Efecto</w:t>
            </w:r>
          </w:p>
        </w:tc>
        <w:tc>
          <w:tcPr/>
          <w:p>
            <w:pPr>
              <w:pStyle w:val="Compact"/>
            </w:pPr>
            <w:r>
              <w:t xml:space="preserve">Referencia</w:t>
            </w:r>
          </w:p>
        </w:tc>
      </w:tr>
      <w:tr>
        <w:tc>
          <w:tcPr/>
          <w:p>
            <w:pPr>
              <w:pStyle w:val="Compact"/>
            </w:pPr>
            <w:r>
              <w:t xml:space="preserve">Antagonismo alostérico CB1</w:t>
            </w:r>
          </w:p>
        </w:tc>
        <w:tc>
          <w:tcPr/>
          <w:p>
            <w:pPr>
              <w:pStyle w:val="Compact"/>
            </w:pPr>
            <w:r>
              <w:t xml:space="preserve">Reduce</w:t>
            </w:r>
            <w:r>
              <w:t xml:space="preserve"> </w:t>
            </w:r>
            <w:r>
              <w:t xml:space="preserve">“high”</w:t>
            </w:r>
            <w:r>
              <w:t xml:space="preserve"> </w:t>
            </w:r>
            <w:r>
              <w:t xml:space="preserve">subjetivo</w:t>
            </w:r>
          </w:p>
        </w:tc>
        <w:tc>
          <w:tcPr/>
          <w:p>
            <w:pPr>
              <w:pStyle w:val="Compact"/>
            </w:pPr>
            <w:r>
              <w:t xml:space="preserve">Zuardi et al. (1982); Dalton et al. (1976)</w:t>
            </w:r>
          </w:p>
        </w:tc>
      </w:tr>
      <w:tr>
        <w:tc>
          <w:tcPr/>
          <w:p>
            <w:pPr>
              <w:pStyle w:val="Compact"/>
            </w:pPr>
            <w:r>
              <w:t xml:space="preserve">Inhibición CYP2C9</w:t>
            </w:r>
          </w:p>
        </w:tc>
        <w:tc>
          <w:tcPr/>
          <w:p>
            <w:pPr>
              <w:pStyle w:val="Compact"/>
            </w:pPr>
            <w:r>
              <w:t xml:space="preserve">Reduce conversión a 11-OH-THC (metabolito activo)</w:t>
            </w:r>
          </w:p>
        </w:tc>
        <w:tc>
          <w:tcPr/>
          <w:p>
            <w:pPr>
              <w:pStyle w:val="Compact"/>
            </w:pPr>
            <w:r>
              <w:t xml:space="preserve">OMS (2018)</w:t>
            </w:r>
          </w:p>
        </w:tc>
      </w:tr>
      <w:tr>
        <w:tc>
          <w:tcPr/>
          <w:p>
            <w:pPr>
              <w:pStyle w:val="Compact"/>
            </w:pPr>
            <w:r>
              <w:t xml:space="preserve">Modulación ansiedad</w:t>
            </w:r>
          </w:p>
        </w:tc>
        <w:tc>
          <w:tcPr/>
          <w:p>
            <w:pPr>
              <w:pStyle w:val="Compact"/>
            </w:pPr>
            <w:r>
              <w:t xml:space="preserve">Contrarresta ansiedad inducida por THC</w:t>
            </w:r>
          </w:p>
        </w:tc>
        <w:tc>
          <w:tcPr/>
          <w:p>
            <w:pPr>
              <w:pStyle w:val="Compact"/>
            </w:pPr>
            <w:r>
              <w:t xml:space="preserve">Freeman et al. (2019),</w:t>
            </w:r>
            <w:r>
              <w:t xml:space="preserve"> </w:t>
            </w:r>
            <w:r>
              <w:rPr>
                <w:i/>
                <w:iCs/>
              </w:rPr>
              <w:t xml:space="preserve">Neurosci. Biobehav. Rev.</w:t>
            </w:r>
          </w:p>
        </w:tc>
      </w:tr>
    </w:tbl>
    <w:p>
      <w:pPr>
        <w:pStyle w:val="BlockText"/>
      </w:pPr>
      <w:r>
        <w:rPr>
          <w:b/>
          <w:bCs/>
        </w:rPr>
        <w:t xml:space="preserve">Implicación</w:t>
      </w:r>
      <w:r>
        <w:t xml:space="preserve">: Los estudios citados en A.4, realizados con productos CBD-dominantes, ya incorporan este efecto modulador. Los resultados negativos en deterioro cognitivo/psicomotor reflejan la realidad del cáñamo industrial, no THC aislado.</w:t>
      </w:r>
    </w:p>
    <w:bookmarkEnd w:id="57"/>
    <w:bookmarkStart w:id="58" w:name="a.6-conclusión-del-análisis"/>
    <w:p>
      <w:pPr>
        <w:pStyle w:val="Heading3"/>
      </w:pPr>
      <w:r>
        <w:t xml:space="preserve">A.6 Conclusión del análisis</w:t>
      </w:r>
    </w:p>
    <w:p>
      <w:pPr>
        <w:pStyle w:val="FirstParagraph"/>
      </w:pPr>
      <w:r>
        <w:t xml:space="preserve">La convergencia de evidencia —análisis farmacocinético cuantitativo y ensayos clínicos directos— demuestra que:</w:t>
      </w:r>
    </w:p>
    <w:p>
      <w:pPr>
        <w:numPr>
          <w:ilvl w:val="0"/>
          <w:numId w:val="1012"/>
        </w:numPr>
      </w:pPr>
      <w:r>
        <w:rPr>
          <w:b/>
          <w:bCs/>
        </w:rPr>
        <w:t xml:space="preserve">La dosis sistémica máxima</w:t>
      </w:r>
      <w:r>
        <w:t xml:space="preserve"> </w:t>
      </w:r>
      <w:r>
        <w:t xml:space="preserve">de THC al fumar cáñamo al 1% (0,36-0,80 mg) queda</w:t>
      </w:r>
      <w:r>
        <w:t xml:space="preserve"> </w:t>
      </w:r>
      <w:r>
        <w:rPr>
          <w:b/>
          <w:bCs/>
        </w:rPr>
        <w:t xml:space="preserve">×4-17 por debajo</w:t>
      </w:r>
      <w:r>
        <w:t xml:space="preserve"> </w:t>
      </w:r>
      <w:r>
        <w:t xml:space="preserve">del umbral psicoactivo documentado.</w:t>
      </w:r>
    </w:p>
    <w:p>
      <w:pPr>
        <w:numPr>
          <w:ilvl w:val="0"/>
          <w:numId w:val="1012"/>
        </w:numPr>
      </w:pPr>
      <w:r>
        <w:rPr>
          <w:b/>
          <w:bCs/>
        </w:rPr>
        <w:t xml:space="preserve">Los ensayos clínicos</w:t>
      </w:r>
      <w:r>
        <w:t xml:space="preserve"> </w:t>
      </w:r>
      <w:r>
        <w:t xml:space="preserve">con productos CBD-dominantes (&lt;1% THC) no detectan diferencias significativas respecto a placebo en conducción real, rendimiento cognitivo ni función psicomotora.</w:t>
      </w:r>
    </w:p>
    <w:p>
      <w:pPr>
        <w:numPr>
          <w:ilvl w:val="0"/>
          <w:numId w:val="1012"/>
        </w:numPr>
      </w:pPr>
      <w:r>
        <w:rPr>
          <w:b/>
          <w:bCs/>
        </w:rPr>
        <w:t xml:space="preserve">El efecto modulador del CBD</w:t>
      </w:r>
      <w:r>
        <w:t xml:space="preserve"> </w:t>
      </w:r>
      <w:r>
        <w:t xml:space="preserve">presente en el cáñamo industrial reduce adicionalmente cualquier impacto potencial del THC residual.</w:t>
      </w:r>
    </w:p>
    <w:p>
      <w:pPr>
        <w:pStyle w:val="FirstParagraph"/>
      </w:pPr>
      <w:r>
        <w:t xml:space="preserve">Este análisis respalda la conclusión de que el umbral del 1% THC para cáñamo industrial no presenta riesgo realista de abuso por inhalación.</w:t>
      </w:r>
    </w:p>
    <w:p>
      <w:pPr>
        <w:pStyle w:val="BlockText"/>
      </w:pPr>
      <w:r>
        <w:rPr>
          <w:b/>
          <w:bCs/>
        </w:rPr>
        <w:t xml:space="preserve">Nota</w:t>
      </w:r>
      <w:r>
        <w:t xml:space="preserve">: La comparativa internacional detallada se encuentra en la</w:t>
      </w:r>
      <w:r>
        <w:t xml:space="preserve"> </w:t>
      </w:r>
      <w:r>
        <w:rPr>
          <w:b/>
          <w:bCs/>
        </w:rPr>
        <w:t xml:space="preserve">Sección 2.3</w:t>
      </w:r>
      <w:r>
        <w:t xml:space="preserve"> </w:t>
      </w:r>
      <w:r>
        <w:t xml:space="preserve">del documento principal. El texto completo de las enmiendas propuestas se recoge en la</w:t>
      </w:r>
      <w:r>
        <w:t xml:space="preserve"> </w:t>
      </w:r>
      <w:r>
        <w:rPr>
          <w:b/>
          <w:bCs/>
        </w:rPr>
        <w:t xml:space="preserve">Sección 3.2</w:t>
      </w:r>
      <w:r>
        <w:t xml:space="preserve">.</w:t>
      </w:r>
    </w:p>
    <w:p>
      <w:r>
        <w:pict>
          <v:rect style="width:0;height:1.5pt" o:hralign="center" o:hrstd="t" o:hr="t"/>
        </w:pict>
      </w:r>
    </w:p>
    <w:bookmarkEnd w:id="58"/>
    <w:bookmarkEnd w:id="59"/>
    <w:bookmarkEnd w:id="60"/>
    <w:bookmarkStart w:id="67" w:name="referencias"/>
    <w:p>
      <w:pPr>
        <w:pStyle w:val="Heading1"/>
      </w:pPr>
      <w:r>
        <w:t xml:space="preserve">REFERENCIAS</w:t>
      </w:r>
    </w:p>
    <w:bookmarkStart w:id="61" w:name="referencias-científicas"/>
    <w:p>
      <w:pPr>
        <w:pStyle w:val="Heading2"/>
      </w:pPr>
      <w:r>
        <w:t xml:space="preserve">Referencias Científicas</w:t>
      </w:r>
    </w:p>
    <w:p>
      <w:pPr>
        <w:numPr>
          <w:ilvl w:val="0"/>
          <w:numId w:val="1013"/>
        </w:numPr>
      </w:pPr>
      <w:r>
        <w:t xml:space="preserve">Small E, Cronquist A. A practical and natural taxonomy for Cannabis.</w:t>
      </w:r>
      <w:r>
        <w:t xml:space="preserve"> </w:t>
      </w:r>
      <w:r>
        <w:rPr>
          <w:i/>
          <w:iCs/>
        </w:rPr>
        <w:t xml:space="preserve">Taxon</w:t>
      </w:r>
      <w:r>
        <w:t xml:space="preserve">. 1976;25(4):405-435. DOI: https://www.jstor.org/stable/1220524</w:t>
      </w:r>
    </w:p>
    <w:p>
      <w:pPr>
        <w:numPr>
          <w:ilvl w:val="0"/>
          <w:numId w:val="1013"/>
        </w:numPr>
      </w:pPr>
      <w:r>
        <w:t xml:space="preserve">Small E. Statement on Regulated Maximum THC Levels in Industrial Hemp Inflorescence. Canadian Hemp Trade Association. 18 June 2021.</w:t>
      </w:r>
    </w:p>
    <w:p>
      <w:pPr>
        <w:numPr>
          <w:ilvl w:val="0"/>
          <w:numId w:val="1013"/>
        </w:numPr>
      </w:pPr>
      <w:r>
        <w:t xml:space="preserve">Small E, Beckstead HD, Chan A. The evolution of cannabinoid phenotypes in Cannabis.</w:t>
      </w:r>
      <w:r>
        <w:t xml:space="preserve"> </w:t>
      </w:r>
      <w:r>
        <w:rPr>
          <w:i/>
          <w:iCs/>
        </w:rPr>
        <w:t xml:space="preserve">Economic Botany</w:t>
      </w:r>
      <w:r>
        <w:t xml:space="preserve">. 1975;29(2):219-232.</w:t>
      </w:r>
    </w:p>
    <w:p>
      <w:pPr>
        <w:numPr>
          <w:ilvl w:val="0"/>
          <w:numId w:val="1013"/>
        </w:numPr>
      </w:pPr>
      <w:r>
        <w:t xml:space="preserve">EFSA CONTAM Panel (EFSA Panel on Contaminants in the Food Chain). Scientific Opinion on the risks for human health related to the presence of tetrahydrocannabinol (THC) in milk and other food of animal origin.</w:t>
      </w:r>
      <w:r>
        <w:t xml:space="preserve"> </w:t>
      </w:r>
      <w:r>
        <w:rPr>
          <w:i/>
          <w:iCs/>
        </w:rPr>
        <w:t xml:space="preserve">EFSA Journal</w:t>
      </w:r>
      <w:r>
        <w:t xml:space="preserve">. 2015;13(6):4141. DOI: 10.2903/j.efsa.2015.4141</w:t>
      </w:r>
    </w:p>
    <w:p>
      <w:pPr>
        <w:numPr>
          <w:ilvl w:val="0"/>
          <w:numId w:val="1013"/>
        </w:numPr>
      </w:pPr>
      <w:r>
        <w:t xml:space="preserve">Halker ET, Angima SD, Rongione BL, et al. Evaluating Chinese fiber hemp varieties and planting dates in North Carolina.</w:t>
      </w:r>
      <w:r>
        <w:t xml:space="preserve"> </w:t>
      </w:r>
      <w:r>
        <w:rPr>
          <w:i/>
          <w:iCs/>
        </w:rPr>
        <w:t xml:space="preserve">Agrosystems, Geosciences &amp; Environment</w:t>
      </w:r>
      <w:r>
        <w:t xml:space="preserve">. 2024;7:e20569. DOI: 10.1002/agg2.20569</w:t>
      </w:r>
    </w:p>
    <w:p>
      <w:pPr>
        <w:numPr>
          <w:ilvl w:val="0"/>
          <w:numId w:val="1013"/>
        </w:numPr>
      </w:pPr>
      <w:r>
        <w:t xml:space="preserve">Rahemi A, Fatahi R, Ebadi A, et al. Morphological diversity and oil content of Cannabis sativa L. accessions.</w:t>
      </w:r>
      <w:r>
        <w:t xml:space="preserve"> </w:t>
      </w:r>
      <w:r>
        <w:rPr>
          <w:i/>
          <w:iCs/>
        </w:rPr>
        <w:t xml:space="preserve">Agronomy</w:t>
      </w:r>
      <w:r>
        <w:t xml:space="preserve">. 2021;11(11):2321. DOI: 10.3390/agronomy11112321</w:t>
      </w:r>
    </w:p>
    <w:p>
      <w:pPr>
        <w:numPr>
          <w:ilvl w:val="0"/>
          <w:numId w:val="1013"/>
        </w:numPr>
      </w:pPr>
      <w:r>
        <w:t xml:space="preserve">Bócsa I. Breeding and seed production of monoecious hemp varieties (Cannabis sativa L.).</w:t>
      </w:r>
      <w:r>
        <w:t xml:space="preserve"> </w:t>
      </w:r>
      <w:r>
        <w:rPr>
          <w:i/>
          <w:iCs/>
        </w:rPr>
        <w:t xml:space="preserve">Journal of the International Hemp Association</w:t>
      </w:r>
      <w:r>
        <w:t xml:space="preserve">. 1994;2(2):78-81.</w:t>
      </w:r>
    </w:p>
    <w:p>
      <w:pPr>
        <w:numPr>
          <w:ilvl w:val="0"/>
          <w:numId w:val="1013"/>
        </w:numPr>
      </w:pPr>
      <w:r>
        <w:t xml:space="preserve">Clarke RC, Merlin MD. Cannabis evolution and ethnobotany.</w:t>
      </w:r>
      <w:r>
        <w:t xml:space="preserve"> </w:t>
      </w:r>
      <w:r>
        <w:rPr>
          <w:i/>
          <w:iCs/>
        </w:rPr>
        <w:t xml:space="preserve">Critical Reviews in Plant Sciences</w:t>
      </w:r>
      <w:r>
        <w:t xml:space="preserve">. 2016;35:293-327. DOI: 10.1080/07352689.2016.1273010</w:t>
      </w:r>
    </w:p>
    <w:p>
      <w:pPr>
        <w:numPr>
          <w:ilvl w:val="0"/>
          <w:numId w:val="1013"/>
        </w:numPr>
      </w:pPr>
      <w:r>
        <w:t xml:space="preserve">Zager JJ, Lange I, Srividya N, et al. Gene networks underlying cannabinoid and terpenoid accumulation in cannabis.</w:t>
      </w:r>
      <w:r>
        <w:t xml:space="preserve"> </w:t>
      </w:r>
      <w:r>
        <w:rPr>
          <w:i/>
          <w:iCs/>
        </w:rPr>
        <w:t xml:space="preserve">Plant Physiology</w:t>
      </w:r>
      <w:r>
        <w:t xml:space="preserve">. 2019;180(4):1877-1897. DOI: 10.1104/pp.18.01506</w:t>
      </w:r>
    </w:p>
    <w:p>
      <w:pPr>
        <w:numPr>
          <w:ilvl w:val="0"/>
          <w:numId w:val="1013"/>
        </w:numPr>
      </w:pPr>
      <w:r>
        <w:t xml:space="preserve">Stack GM, Toth JA, Carlson CH, et al. Season-long characterization of high-cannabinoid hemp (Cannabis sativa L.) reveals viable seed production and key physiological traits.</w:t>
      </w:r>
      <w:r>
        <w:t xml:space="preserve"> </w:t>
      </w:r>
      <w:r>
        <w:rPr>
          <w:i/>
          <w:iCs/>
        </w:rPr>
        <w:t xml:space="preserve">Horticulture Research</w:t>
      </w:r>
      <w:r>
        <w:t xml:space="preserve">. 2023;10(11):uhad188. DOI: 10.1093/hr/uhad188</w:t>
      </w:r>
    </w:p>
    <w:p>
      <w:pPr>
        <w:numPr>
          <w:ilvl w:val="0"/>
          <w:numId w:val="1013"/>
        </w:numPr>
      </w:pPr>
      <w:r>
        <w:t xml:space="preserve">Huestis MA, Henningfield JE, Cone EJ. Blood cannabinoids. I. Absorption of THC and formation of 11-OH-THC and THCCOOH during and after smoking marijuana.</w:t>
      </w:r>
      <w:r>
        <w:t xml:space="preserve"> </w:t>
      </w:r>
      <w:r>
        <w:rPr>
          <w:i/>
          <w:iCs/>
        </w:rPr>
        <w:t xml:space="preserve">Journal of Analytical Toxicology</w:t>
      </w:r>
      <w:r>
        <w:t xml:space="preserve">. 1992;16(5):276-282. PMID: 1338215</w:t>
      </w:r>
    </w:p>
    <w:p>
      <w:pPr>
        <w:numPr>
          <w:ilvl w:val="0"/>
          <w:numId w:val="1013"/>
        </w:numPr>
      </w:pPr>
      <w:r>
        <w:t xml:space="preserve">Huestis MA. Human cannabinoid pharmacokinetics.</w:t>
      </w:r>
      <w:r>
        <w:t xml:space="preserve"> </w:t>
      </w:r>
      <w:r>
        <w:rPr>
          <w:i/>
          <w:iCs/>
        </w:rPr>
        <w:t xml:space="preserve">Chemistry &amp; Biodiversity</w:t>
      </w:r>
      <w:r>
        <w:t xml:space="preserve">. 2007;4(8):1770-1804. PMID: 17712819</w:t>
      </w:r>
    </w:p>
    <w:p>
      <w:pPr>
        <w:numPr>
          <w:ilvl w:val="0"/>
          <w:numId w:val="1013"/>
        </w:numPr>
      </w:pPr>
      <w:r>
        <w:t xml:space="preserve">Sheehan TJ, Hecksel CW, Marquez SS, et al. Quantitative analysis of cannabinoids in Cannabis smoke condensate using liquid chromatography-electrospray ionization mass spectrometry.</w:t>
      </w:r>
      <w:r>
        <w:t xml:space="preserve"> </w:t>
      </w:r>
      <w:r>
        <w:rPr>
          <w:i/>
          <w:iCs/>
        </w:rPr>
        <w:t xml:space="preserve">Journal of Analytical Toxicology</w:t>
      </w:r>
      <w:r>
        <w:t xml:space="preserve">. 2019;43(4):307-313. PMID: 31304445</w:t>
      </w:r>
    </w:p>
    <w:p>
      <w:pPr>
        <w:numPr>
          <w:ilvl w:val="0"/>
          <w:numId w:val="1013"/>
        </w:numPr>
      </w:pPr>
      <w:r>
        <w:t xml:space="preserve">Naef M, Russmann S, Petersen-Braun M, Brenneisen R. Development and pharmacokinetic characterization of pulmonal and intravenous delta-9-tetrahydrocannabinol (THC) in humans.</w:t>
      </w:r>
      <w:r>
        <w:t xml:space="preserve"> </w:t>
      </w:r>
      <w:r>
        <w:rPr>
          <w:i/>
          <w:iCs/>
        </w:rPr>
        <w:t xml:space="preserve">Journal of Pharmaceutical Sciences</w:t>
      </w:r>
      <w:r>
        <w:t xml:space="preserve">. 2004;93(5):1176-1184. PMID: 15067694</w:t>
      </w:r>
    </w:p>
    <w:p>
      <w:pPr>
        <w:numPr>
          <w:ilvl w:val="0"/>
          <w:numId w:val="1013"/>
        </w:numPr>
      </w:pPr>
      <w:r>
        <w:t xml:space="preserve">Wall ME, Sadler BM, Brine D, Taylor H, Perez-Reyes M. Metabolism, disposition, and kinetics of delta-9-tetrahydrocannabinol in men and women.</w:t>
      </w:r>
      <w:r>
        <w:t xml:space="preserve"> </w:t>
      </w:r>
      <w:r>
        <w:rPr>
          <w:i/>
          <w:iCs/>
        </w:rPr>
        <w:t xml:space="preserve">Clinical Pharmacology &amp; Therapeutics</w:t>
      </w:r>
      <w:r>
        <w:t xml:space="preserve">. 1983;34(3):352-363. PMID: 6309462</w:t>
      </w:r>
    </w:p>
    <w:p>
      <w:pPr>
        <w:numPr>
          <w:ilvl w:val="0"/>
          <w:numId w:val="1013"/>
        </w:numPr>
      </w:pPr>
      <w:r>
        <w:t xml:space="preserve">McGilveray IJ. Pharmacokinetics of cannabinoids.</w:t>
      </w:r>
      <w:r>
        <w:t xml:space="preserve"> </w:t>
      </w:r>
      <w:r>
        <w:rPr>
          <w:i/>
          <w:iCs/>
        </w:rPr>
        <w:t xml:space="preserve">Pain Research and Management</w:t>
      </w:r>
      <w:r>
        <w:t xml:space="preserve">. 2005;10 Suppl A:15A-22A. PMID: 16237477</w:t>
      </w:r>
    </w:p>
    <w:p>
      <w:pPr>
        <w:numPr>
          <w:ilvl w:val="0"/>
          <w:numId w:val="1013"/>
        </w:numPr>
      </w:pPr>
      <w:r>
        <w:t xml:space="preserve">Elzinga S, Fischedick J, Podkolinski R, Raber JC. Cannabinoids and terpenes as chemotaxonomic markers in cannabis.</w:t>
      </w:r>
      <w:r>
        <w:t xml:space="preserve"> </w:t>
      </w:r>
      <w:r>
        <w:rPr>
          <w:i/>
          <w:iCs/>
        </w:rPr>
        <w:t xml:space="preserve">Natural Products Chemistry &amp; Research</w:t>
      </w:r>
      <w:r>
        <w:t xml:space="preserve">. 2015;3:163. DOI: 10.4172/2329-6836.1000163</w:t>
      </w:r>
    </w:p>
    <w:p>
      <w:pPr>
        <w:numPr>
          <w:ilvl w:val="0"/>
          <w:numId w:val="1013"/>
        </w:numPr>
      </w:pPr>
      <w:r>
        <w:t xml:space="preserve">Brym ZT, Panter KL, Gómez-Martínez C, et al. Molecular identification of Cannabis cultivars.</w:t>
      </w:r>
      <w:r>
        <w:t xml:space="preserve"> </w:t>
      </w:r>
      <w:r>
        <w:rPr>
          <w:i/>
          <w:iCs/>
        </w:rPr>
        <w:t xml:space="preserve">Genetics</w:t>
      </w:r>
      <w:r>
        <w:t xml:space="preserve">. 2020;216(2):435-447. DOI: 10.1534/genetics.120.303511</w:t>
      </w:r>
    </w:p>
    <w:p>
      <w:pPr>
        <w:numPr>
          <w:ilvl w:val="0"/>
          <w:numId w:val="1013"/>
        </w:numPr>
      </w:pPr>
      <w:r>
        <w:t xml:space="preserve">Grotenhermen F, Karus M. Industrial hemp contains enough THC to be detected by sensitive drug tests.</w:t>
      </w:r>
      <w:r>
        <w:t xml:space="preserve"> </w:t>
      </w:r>
      <w:r>
        <w:rPr>
          <w:i/>
          <w:iCs/>
        </w:rPr>
        <w:t xml:space="preserve">Journal of the International Hemp Association</w:t>
      </w:r>
      <w:r>
        <w:t xml:space="preserve">. 1998;5(2):96-101.</w:t>
      </w:r>
    </w:p>
    <w:p>
      <w:pPr>
        <w:numPr>
          <w:ilvl w:val="0"/>
          <w:numId w:val="1013"/>
        </w:numPr>
      </w:pPr>
      <w:r>
        <w:t xml:space="preserve">Perez-Reyes M, Timmons MC, Lipton MA, et al. Intravenous injection in man of Δ9-tetrahydrocannabinol and 11-OH-Δ9-tetrahydrocannabinol.</w:t>
      </w:r>
      <w:r>
        <w:t xml:space="preserve"> </w:t>
      </w:r>
      <w:r>
        <w:rPr>
          <w:i/>
          <w:iCs/>
        </w:rPr>
        <w:t xml:space="preserve">Science</w:t>
      </w:r>
      <w:r>
        <w:t xml:space="preserve">. 1972;177(4046):633-635. PMID: 4625893</w:t>
      </w:r>
    </w:p>
    <w:p>
      <w:pPr>
        <w:numPr>
          <w:ilvl w:val="0"/>
          <w:numId w:val="1013"/>
        </w:numPr>
      </w:pPr>
      <w:r>
        <w:t xml:space="preserve">Arkell TR, Vinckenbosch F, Kevin RC, et al. Effect of Cannabidiol and Δ9-Tetrahydrocannabinol on Driving Performance: A Randomized Clinical Trial.</w:t>
      </w:r>
      <w:r>
        <w:t xml:space="preserve"> </w:t>
      </w:r>
      <w:r>
        <w:rPr>
          <w:i/>
          <w:iCs/>
        </w:rPr>
        <w:t xml:space="preserve">JAMA</w:t>
      </w:r>
      <w:r>
        <w:t xml:space="preserve">. 2020;324(21):2177-2186. DOI: 10.1001/jama.2020.21218. PMID: 33258890</w:t>
      </w:r>
    </w:p>
    <w:p>
      <w:pPr>
        <w:numPr>
          <w:ilvl w:val="0"/>
          <w:numId w:val="1013"/>
        </w:numPr>
      </w:pPr>
      <w:r>
        <w:t xml:space="preserve">Egloff L, Frei P, Gerlach K, et al. Effect of vaporizing cannabis rich in cannabidiol on cannabinoid levels in blood and on driving ability – a randomized clinical trial.</w:t>
      </w:r>
      <w:r>
        <w:t xml:space="preserve"> </w:t>
      </w:r>
      <w:r>
        <w:rPr>
          <w:i/>
          <w:iCs/>
        </w:rPr>
        <w:t xml:space="preserve">International Journal of Legal Medicine</w:t>
      </w:r>
      <w:r>
        <w:t xml:space="preserve">. 2023;137(6):1713-1723. DOI: 10.1007/s00414-023-03076-0. PMID: 37626214</w:t>
      </w:r>
    </w:p>
    <w:p>
      <w:pPr>
        <w:numPr>
          <w:ilvl w:val="0"/>
          <w:numId w:val="1013"/>
        </w:numPr>
      </w:pPr>
      <w:r>
        <w:t xml:space="preserve">Spindle TR, Cone EJ, Goffi E, et al. Pharmacodynamic effects of vaporized and oral cannabidiol (CBD) and vaporized CBD-dominant cannabis in infrequent cannabis users.</w:t>
      </w:r>
      <w:r>
        <w:t xml:space="preserve"> </w:t>
      </w:r>
      <w:r>
        <w:rPr>
          <w:i/>
          <w:iCs/>
        </w:rPr>
        <w:t xml:space="preserve">Drug and Alcohol Dependence</w:t>
      </w:r>
      <w:r>
        <w:t xml:space="preserve">. 2020;211:107937. DOI: 10.1016/j.drugalcdep.2020.107937. PMID: 32247649</w:t>
      </w:r>
    </w:p>
    <w:p>
      <w:pPr>
        <w:numPr>
          <w:ilvl w:val="0"/>
          <w:numId w:val="1013"/>
        </w:numPr>
      </w:pPr>
      <w:r>
        <w:t xml:space="preserve">Grotenhermen F. Pharmacokinetics and Pharmacodynamics of Cannabinoids.</w:t>
      </w:r>
      <w:r>
        <w:t xml:space="preserve"> </w:t>
      </w:r>
      <w:r>
        <w:rPr>
          <w:i/>
          <w:iCs/>
        </w:rPr>
        <w:t xml:space="preserve">Clinical Pharmacokinetics</w:t>
      </w:r>
      <w:r>
        <w:t xml:space="preserve">. 2003;42(4):327-360. DOI: 10.2165/00003088-200342040-00003</w:t>
      </w:r>
    </w:p>
    <w:p>
      <w:pPr>
        <w:numPr>
          <w:ilvl w:val="0"/>
          <w:numId w:val="1013"/>
        </w:numPr>
      </w:pPr>
      <w:r>
        <w:t xml:space="preserve">Zuardi AW, Shirakawa I, Finkelfarb E, Karniol IG. Action of cannabidiol on the anxiety and other effects produced by delta 9-THC in normal subjects.</w:t>
      </w:r>
      <w:r>
        <w:t xml:space="preserve"> </w:t>
      </w:r>
      <w:r>
        <w:rPr>
          <w:i/>
          <w:iCs/>
        </w:rPr>
        <w:t xml:space="preserve">Psychopharmacology</w:t>
      </w:r>
      <w:r>
        <w:t xml:space="preserve">. 1982;76(3):245-250. PMID: 6285406</w:t>
      </w:r>
    </w:p>
    <w:p>
      <w:pPr>
        <w:numPr>
          <w:ilvl w:val="0"/>
          <w:numId w:val="1013"/>
        </w:numPr>
      </w:pPr>
      <w:r>
        <w:t xml:space="preserve">Dalton WS, Martz R, Lemberger L, et al. Influence of cannabidiol on delta-9-tetrahydrocannabinol effects.</w:t>
      </w:r>
      <w:r>
        <w:t xml:space="preserve"> </w:t>
      </w:r>
      <w:r>
        <w:rPr>
          <w:i/>
          <w:iCs/>
        </w:rPr>
        <w:t xml:space="preserve">Clinical Pharmacology &amp; Therapeutics</w:t>
      </w:r>
      <w:r>
        <w:t xml:space="preserve">. 1976;19(3):300-309. PMID: 770048</w:t>
      </w:r>
    </w:p>
    <w:p>
      <w:pPr>
        <w:numPr>
          <w:ilvl w:val="0"/>
          <w:numId w:val="1013"/>
        </w:numPr>
      </w:pPr>
      <w:r>
        <w:t xml:space="preserve">Freeman AM, Petrilli K, Lees R, et al. How does cannabidiol (CBD) influence the acute effects of delta-9-tetrahydrocannabinol (THC) in humans? A systematic review.</w:t>
      </w:r>
      <w:r>
        <w:t xml:space="preserve"> </w:t>
      </w:r>
      <w:r>
        <w:rPr>
          <w:i/>
          <w:iCs/>
        </w:rPr>
        <w:t xml:space="preserve">Neuroscience &amp; Biobehavioral Reviews</w:t>
      </w:r>
      <w:r>
        <w:t xml:space="preserve">. 2019;107:696-712. DOI: 10.1016/j.neubiorev.2019.09.036. PMID: 31715240</w:t>
      </w:r>
    </w:p>
    <w:bookmarkEnd w:id="61"/>
    <w:bookmarkStart w:id="62" w:name="Xc2c9b59528f8b0fc79a33e74373825f8c7b8404"/>
    <w:p>
      <w:pPr>
        <w:pStyle w:val="Heading2"/>
      </w:pPr>
      <w:r>
        <w:t xml:space="preserve">Referencias Regulatorias de la Unión Europea</w:t>
      </w:r>
    </w:p>
    <w:p>
      <w:pPr>
        <w:numPr>
          <w:ilvl w:val="0"/>
          <w:numId w:val="1014"/>
        </w:numPr>
      </w:pPr>
      <w:r>
        <w:t xml:space="preserve">Comisión Europea. Propuesta de Reglamento del Parlamento Europeo y del Consejo por el que se establecen las condiciones para la ejecución de la ayuda de la Unión a la política agrícola común para el período 2028-2034. COM(2025) 560 final. Bruselas; 2025.</w:t>
      </w:r>
    </w:p>
    <w:p>
      <w:pPr>
        <w:numPr>
          <w:ilvl w:val="0"/>
          <w:numId w:val="1014"/>
        </w:numPr>
      </w:pPr>
      <w:r>
        <w:t xml:space="preserve">Comisión Europea. Propuesta de Reglamento del Parlamento Europeo y del Consejo por el que se modifica el Reglamento (UE) n.º 1308/2013 en lo que respecta al programa de distribución de frutas, hortalizas y leche en los centros escolares, las intervenciones sectoriales, la creación de un sector de las proteaginosas, los requisitos para el cáñamo, la posibilidad de establecer normas de comercialización para el queso, las proteaginosas y la carne, la aplicación de derechos de importación adicionales, las normas sobre la disponibilidad de suministros en tiempos de emergencia y crisis graves y las garantías. COM(2025) 553 final. Bruselas; 2025.</w:t>
      </w:r>
    </w:p>
    <w:p>
      <w:pPr>
        <w:numPr>
          <w:ilvl w:val="0"/>
          <w:numId w:val="1014"/>
        </w:numPr>
      </w:pPr>
      <w:r>
        <w:t xml:space="preserve">Parlamento Europeo. Resolución del Parlamento Europeo, de 10 de septiembre de 2025, sobre el futuro de la agricultura y política agrícola común después de 2027. P10_TA(2025)0189. Estrasburgo; 2025.</w:t>
      </w:r>
    </w:p>
    <w:p>
      <w:pPr>
        <w:numPr>
          <w:ilvl w:val="0"/>
          <w:numId w:val="1014"/>
        </w:numPr>
      </w:pPr>
      <w:r>
        <w:t xml:space="preserve">Reglamento Delegado (UE) 2017/1155 de la Comisión de 15 de junio de 2017 por el que se completa el Reglamento (UE) n.º 1308/2013 del Parlamento Europeo y del Consejo en lo que respecta al método de determinación del contenido de delta-9-tetrahidrocannabinol de las variedades de cáñamo.</w:t>
      </w:r>
      <w:r>
        <w:t xml:space="preserve"> </w:t>
      </w:r>
      <w:r>
        <w:rPr>
          <w:i/>
          <w:iCs/>
        </w:rPr>
        <w:t xml:space="preserve">Diario Oficial de la Unión Europea</w:t>
      </w:r>
      <w:r>
        <w:t xml:space="preserve">. 2017;L 167:24-26.</w:t>
      </w:r>
    </w:p>
    <w:p>
      <w:pPr>
        <w:numPr>
          <w:ilvl w:val="0"/>
          <w:numId w:val="1014"/>
        </w:numPr>
      </w:pPr>
      <w:r>
        <w:t xml:space="preserve">Reglamento (UE) n.º 1308/2013 del Parlamento Europeo y del Consejo de 17 de diciembre de 2013 por el que se crea la organización común de mercados de los productos agrarios.</w:t>
      </w:r>
      <w:r>
        <w:t xml:space="preserve"> </w:t>
      </w:r>
      <w:r>
        <w:rPr>
          <w:i/>
          <w:iCs/>
        </w:rPr>
        <w:t xml:space="preserve">Diario Oficial de la Unión Europea</w:t>
      </w:r>
      <w:r>
        <w:t xml:space="preserve">. 2013;L 347:671-854.</w:t>
      </w:r>
    </w:p>
    <w:p>
      <w:pPr>
        <w:numPr>
          <w:ilvl w:val="0"/>
          <w:numId w:val="1014"/>
        </w:numPr>
      </w:pPr>
      <w:r>
        <w:t xml:space="preserve">Reglamento (UE) 2021/2115 del Parlamento Europeo y del Consejo de 2 de diciembre de 2021 por el que se establecen normas en relación con la ayuda a los planes estratégicos que deben elaborar los Estados miembros en el marco de la política agrícola común.</w:t>
      </w:r>
      <w:r>
        <w:t xml:space="preserve"> </w:t>
      </w:r>
      <w:r>
        <w:rPr>
          <w:i/>
          <w:iCs/>
        </w:rPr>
        <w:t xml:space="preserve">Diario Oficial de la Unión Europea</w:t>
      </w:r>
      <w:r>
        <w:t xml:space="preserve">. 2021;L 435:1-186.</w:t>
      </w:r>
    </w:p>
    <w:bookmarkEnd w:id="62"/>
    <w:bookmarkStart w:id="63" w:name="referencias-institucionales"/>
    <w:p>
      <w:pPr>
        <w:pStyle w:val="Heading2"/>
      </w:pPr>
      <w:r>
        <w:t xml:space="preserve">Referencias Institucionales</w:t>
      </w:r>
    </w:p>
    <w:p>
      <w:pPr>
        <w:numPr>
          <w:ilvl w:val="0"/>
          <w:numId w:val="1015"/>
        </w:numPr>
      </w:pPr>
      <w:r>
        <w:t xml:space="preserve">Congreso de los Diputados de España. Proposición no de Ley en Comisión relativa a promover una regulación del cáñamo con fines industriales y el cannabis no psicoactivo que proteja las personas cultivadoras, transformadoras, comercializadoras y usuarias. 161/004332. Madrid; 25 enero 2023.</w:t>
      </w:r>
    </w:p>
    <w:p>
      <w:pPr>
        <w:numPr>
          <w:ilvl w:val="0"/>
          <w:numId w:val="1015"/>
        </w:numPr>
      </w:pPr>
      <w:r>
        <w:t xml:space="preserve">European Industrial Hemp Association (EIHA). Position Paper PAC 2028–2032: For a competitive European hemp sector. Brussels; 2025.</w:t>
      </w:r>
    </w:p>
    <w:p>
      <w:pPr>
        <w:numPr>
          <w:ilvl w:val="0"/>
          <w:numId w:val="1015"/>
        </w:numPr>
      </w:pPr>
      <w:r>
        <w:t xml:space="preserve">Instituto Nacional de Toxicología y Ciencias Forenses (INTF). Cuadro de dosis mínimas psicoactivas de las principales sustancias tóxicas objeto de tráfico de drogas. Madrid; actualizado 1 agosto 2021.</w:t>
      </w:r>
    </w:p>
    <w:p>
      <w:pPr>
        <w:numPr>
          <w:ilvl w:val="0"/>
          <w:numId w:val="1015"/>
        </w:numPr>
      </w:pPr>
      <w:r>
        <w:t xml:space="preserve">Convención Única de 1961 sobre Estupefacientes, enmendada por el Protocolo de 1972 de modificación de la Convención Única de 1961 sobre Estupefacientes. Naciones Unidas; 1961.</w:t>
      </w:r>
    </w:p>
    <w:p>
      <w:pPr>
        <w:numPr>
          <w:ilvl w:val="0"/>
          <w:numId w:val="1015"/>
        </w:numPr>
      </w:pPr>
      <w:r>
        <w:t xml:space="preserve">Tratado de Funcionamiento de la Unión Europea (TFUE).</w:t>
      </w:r>
      <w:r>
        <w:t xml:space="preserve"> </w:t>
      </w:r>
      <w:r>
        <w:rPr>
          <w:i/>
          <w:iCs/>
        </w:rPr>
        <w:t xml:space="preserve">Diario Oficial de la Unión Europea</w:t>
      </w:r>
      <w:r>
        <w:t xml:space="preserve">. 2012;C 326:47-390. Versión consolidada.</w:t>
      </w:r>
    </w:p>
    <w:bookmarkEnd w:id="63"/>
    <w:bookmarkStart w:id="64" w:name="jurisprudencia-del-tjue"/>
    <w:p>
      <w:pPr>
        <w:pStyle w:val="Heading2"/>
      </w:pPr>
      <w:r>
        <w:t xml:space="preserve">Jurisprudencia del TJUE</w:t>
      </w:r>
    </w:p>
    <w:p>
      <w:pPr>
        <w:numPr>
          <w:ilvl w:val="0"/>
          <w:numId w:val="1016"/>
        </w:numPr>
      </w:pPr>
      <w:r>
        <w:t xml:space="preserve">TJUE. Sentencia de 19 de noviembre de 2020, B.S. y C.A. (Kanavape), C-663/18, EU:C:2020:938. Libre circulación de mercancías y CBD extraído de flores de cáñamo.</w:t>
      </w:r>
    </w:p>
    <w:p>
      <w:pPr>
        <w:numPr>
          <w:ilvl w:val="0"/>
          <w:numId w:val="1016"/>
        </w:numPr>
      </w:pPr>
      <w:r>
        <w:t xml:space="preserve">TJUE. Sentencia de 28 de abril de 1988, Mulder, C-120/86, EU:C:1988:213. Principio de confianza legítima en el sector agrícola.</w:t>
      </w:r>
    </w:p>
    <w:p>
      <w:pPr>
        <w:numPr>
          <w:ilvl w:val="0"/>
          <w:numId w:val="1016"/>
        </w:numPr>
      </w:pPr>
      <w:r>
        <w:t xml:space="preserve">TJUE. Sentencia de 14 de mayo de 1975, CNTA, C-74/74, EU:C:1975:59. Principio de confianza legítima y tolerancia de las autoridades.</w:t>
      </w:r>
    </w:p>
    <w:p>
      <w:pPr>
        <w:numPr>
          <w:ilvl w:val="0"/>
          <w:numId w:val="1016"/>
        </w:numPr>
      </w:pPr>
      <w:r>
        <w:t xml:space="preserve">TJUE. Sentencia de 26 de junio de 1990, Sofrimport, C-152/88, EU:C:1990:259. Protección de operadores que han comprometido recursos de buena fe.</w:t>
      </w:r>
    </w:p>
    <w:p>
      <w:pPr>
        <w:numPr>
          <w:ilvl w:val="0"/>
          <w:numId w:val="1016"/>
        </w:numPr>
      </w:pPr>
      <w:r>
        <w:t xml:space="preserve">TJUE. Sentencia de 10 de septiembre de 2009, Plantanol, C-201/08, EU:C:2009:539. Cambios normativos y obligación de medidas transitorias.</w:t>
      </w:r>
    </w:p>
    <w:bookmarkEnd w:id="64"/>
    <w:bookmarkStart w:id="65" w:name="documentación-internacional"/>
    <w:p>
      <w:pPr>
        <w:pStyle w:val="Heading2"/>
      </w:pPr>
      <w:r>
        <w:t xml:space="preserve">Documentación Internacional</w:t>
      </w:r>
    </w:p>
    <w:p>
      <w:pPr>
        <w:numPr>
          <w:ilvl w:val="0"/>
          <w:numId w:val="1017"/>
        </w:numPr>
      </w:pPr>
      <w:r>
        <w:t xml:space="preserve">Ley Federal de Estupefacientes de Suiza (Betäubungsmittelgesetz, BetmG). RS 812.121. Berna; versión del 1 enero 2011.</w:t>
      </w:r>
    </w:p>
    <w:p>
      <w:pPr>
        <w:numPr>
          <w:ilvl w:val="0"/>
          <w:numId w:val="1017"/>
        </w:numPr>
      </w:pPr>
      <w:r>
        <w:t xml:space="preserve">Luxembourg Tobacco Control Act. Loi du 11 août 2017 relative à la lutte antitabac et à la vente de produits du tabac. Journal officiel du Grand-Duché de Luxembourg; 2017.</w:t>
      </w:r>
    </w:p>
    <w:p>
      <w:pPr>
        <w:numPr>
          <w:ilvl w:val="0"/>
          <w:numId w:val="1017"/>
        </w:numPr>
      </w:pPr>
      <w:r>
        <w:t xml:space="preserve">Ministerio de Ganadería, Agricultura y Pesca de Uruguay (MGAP). Procedimiento para exportar flores o biomasa de cáñamo a EEUU. Montevideo; diciembre 2022.</w:t>
      </w:r>
    </w:p>
    <w:p>
      <w:pPr>
        <w:numPr>
          <w:ilvl w:val="0"/>
          <w:numId w:val="1017"/>
        </w:numPr>
      </w:pPr>
      <w:r>
        <w:t xml:space="preserve">Health Canada. Information for Health Care Professionals: Cannabis (marihuana, marijuana) and the cannabinoids. Ottawa; 2013.</w:t>
      </w:r>
    </w:p>
    <w:p>
      <w:pPr>
        <w:numPr>
          <w:ilvl w:val="0"/>
          <w:numId w:val="1017"/>
        </w:numPr>
      </w:pPr>
      <w:r>
        <w:t xml:space="preserve">Organización Mundial de la Salud (OMS). Cannabidiol (CBD): Critical Review Report. Geneva; Expert Committee on Drug Dependence; 2018.</w:t>
      </w:r>
    </w:p>
    <w:bookmarkEnd w:id="65"/>
    <w:bookmarkStart w:id="66" w:name="referencias-de-farmacopeas"/>
    <w:p>
      <w:pPr>
        <w:pStyle w:val="Heading2"/>
      </w:pPr>
      <w:r>
        <w:t xml:space="preserve">Referencias de Farmacopeas</w:t>
      </w:r>
    </w:p>
    <w:p>
      <w:pPr>
        <w:numPr>
          <w:ilvl w:val="0"/>
          <w:numId w:val="1018"/>
        </w:numPr>
      </w:pPr>
      <w:r>
        <w:t xml:space="preserve">Farmacopea Europea. Cannabis flos. Monografía 3028. 10th ed. Strasbourg: European Directorate for the Quality of Medicines &amp; HealthCare; 2020.</w:t>
      </w:r>
    </w:p>
    <w:p>
      <w:pPr>
        <w:numPr>
          <w:ilvl w:val="0"/>
          <w:numId w:val="1018"/>
        </w:numPr>
      </w:pPr>
      <w:r>
        <w:t xml:space="preserve">Deutsches Arzneibuch (DAB). Cannabis extractum normatum. Monografía oficial. Stuttgart: Deutscher Apotheker Verlag; 2020.</w:t>
      </w:r>
    </w:p>
    <w:p>
      <w:r>
        <w:pict>
          <v:rect style="width:0;height:1.5pt" o:hralign="center" o:hrstd="t" o:hr="t"/>
        </w:pict>
      </w:r>
    </w:p>
    <w:p>
      <w:pPr>
        <w:pStyle w:val="FirstParagraph"/>
      </w:pPr>
      <w:r>
        <w:rPr>
          <w:i/>
          <w:iCs/>
        </w:rPr>
        <w:t xml:space="preserve">Este documento compila evidencia verificada del repositorio AECANI/Cannabis Hub</w:t>
      </w:r>
    </w:p>
    <w:p>
      <w:pPr>
        <w:pStyle w:val="BodyText"/>
      </w:pPr>
      <w:r>
        <w:rPr>
          <w:b/>
          <w:bCs/>
        </w:rPr>
        <w:t xml:space="preserve">Cannabis Hub — Enero 2026</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6">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7">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8">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ec.europa.eu/commission/presscorner/detail/es/ip_26_363" TargetMode="External" /><Relationship Type="http://schemas.openxmlformats.org/officeDocument/2006/relationships/hyperlink" Id="rId28" Target="https://www.gmp-compliance.org/gmp-news/german-pharmacopoeia-monograph-for-cannabis-extracts" TargetMode="External" /><Relationship Type="http://schemas.openxmlformats.org/officeDocument/2006/relationships/hyperlink" Id="rId30" Target="https://www.gub.uy/ministerio-ganaderia-agricultura-pesca/sites/ministerio-ganaderia-agricultura-pesca/files/2022-12/Procedimiento%20para%20exportar%20flores%20o%20biomasa%20de%20c%C3%A1%C3%B1amo%20a%20EEUU%20Diciembre%202022.pdf" TargetMode="External" /></Relationships>
</file>

<file path=word/_rels/footnotes.xml.rels><?xml version="1.0" encoding="UTF-8"?><Relationships xmlns="http://schemas.openxmlformats.org/package/2006/relationships"><Relationship Type="http://schemas.openxmlformats.org/officeDocument/2006/relationships/hyperlink" Id="rId31" Target="https://ec.europa.eu/commission/presscorner/detail/es/ip_26_363" TargetMode="External" /><Relationship Type="http://schemas.openxmlformats.org/officeDocument/2006/relationships/hyperlink" Id="rId28" Target="https://www.gmp-compliance.org/gmp-news/german-pharmacopoeia-monograph-for-cannabis-extracts" TargetMode="External" /><Relationship Type="http://schemas.openxmlformats.org/officeDocument/2006/relationships/hyperlink" Id="rId30" Target="https://www.gub.uy/ministerio-ganaderia-agricultura-pesca/sites/ministerio-ganaderia-agricultura-pesca/files/2022-12/Procedimiento%20para%20exportar%20flores%20o%20biomasa%20de%20c%C3%A1%C3%B1amo%20a%20EEUU%20Diciembre%20202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2026-01-25T20:56:21Z</dcterms:created>
  <dcterms:modified xsi:type="dcterms:W3CDTF">2026-01-25T20:56:21Z</dcterms:modified>
</cp:coreProperties>
</file>

<file path=docProps/custom.xml><?xml version="1.0" encoding="utf-8"?>
<Properties xmlns="http://schemas.openxmlformats.org/officeDocument/2006/custom-properties" xmlns:vt="http://schemas.openxmlformats.org/officeDocument/2006/docPropsVTypes"/>
</file>