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JURÍDICO - RECURSO REAL DECRETO CANNABIS MEDICINAL</w:t>
      </w:r>
    </w:p>
    <w:p>
      <w:r/>
      <w:r>
        <w:rPr>
          <w:b/>
        </w:rPr>
        <w:t>Preparado para</w:t>
      </w:r>
      <w:r>
        <w:t>: [Despacho de Abogados]</w:t>
      </w:r>
    </w:p>
    <w:p>
      <w:r/>
      <w:r>
        <w:rPr>
          <w:b/>
        </w:rPr>
        <w:t>Preparado por</w:t>
      </w:r>
      <w:r>
        <w:t>: Cannactiva</w:t>
      </w:r>
    </w:p>
    <w:p>
      <w:r/>
      <w:r>
        <w:rPr>
          <w:b/>
        </w:rPr>
        <w:t>Fecha</w:t>
      </w:r>
      <w:r>
        <w:t>: 29 de enero de 2026</w:t>
      </w:r>
    </w:p>
    <w:p>
      <w:r/>
      <w:r>
        <w:rPr>
          <w:b/>
        </w:rPr>
        <w:t>Versión</w:t>
      </w:r>
      <w:r>
        <w:t>: 3.0 - DOCUMENTO UNIFICADO FINAL</w:t>
      </w:r>
    </w:p>
    <w:p>
      <w:r>
        <w:t>__________________________________________________</w:t>
      </w:r>
    </w:p>
    <w:p>
      <w:pPr>
        <w:pStyle w:val="Heading1"/>
      </w:pPr>
      <w:r>
        <w:t>ÍNDICE</w:t>
      </w:r>
    </w:p>
    <w:p>
      <w:r>
        <w:t>1. CONTEXTO</w:t>
      </w:r>
    </w:p>
    <w:p>
      <w:r>
        <w:t>- 1.1 Realidad de mercado</w:t>
      </w:r>
    </w:p>
    <w:p>
      <w:r>
        <w:t>- 1.2 Posición de la Administración</w:t>
      </w:r>
    </w:p>
    <w:p>
      <w:r>
        <w:t>- 1.3 Ámbito del RD vs Nuestro sector</w:t>
      </w:r>
    </w:p>
    <w:p>
      <w:r>
        <w:t>- 1.4 Legitimación activa: el enfoque del recurso</w:t>
      </w:r>
    </w:p>
    <w:p>
      <w:r>
        <w:t>2. PROBLEMAS DEL REAL DECRETO</w:t>
      </w:r>
    </w:p>
    <w:p>
      <w:r>
        <w:t>- Introducción: ¿Nos afecta realmente este RD?</w:t>
      </w:r>
    </w:p>
    <w:p>
      <w:r>
        <w:t>- 2.1 Posición oficial: "Cannabis = estupefaciente siempre"</w:t>
      </w:r>
    </w:p>
    <w:p>
      <w:r>
        <w:t>- A) Independientemente del contenido en THC</w:t>
      </w:r>
    </w:p>
    <w:p>
      <w:r>
        <w:t>- B) Independientemente de su finalidad</w:t>
      </w:r>
    </w:p>
    <w:p>
      <w:r>
        <w:t>- 2.2 JAQUE AL REY: No todo está fiscalizado</w:t>
      </w:r>
    </w:p>
    <w:p>
      <w:r>
        <w:t>- El Art. 3 del RD confirma el umbral de 0,2%</w:t>
      </w:r>
    </w:p>
    <w:p>
      <w:r>
        <w:t>- El Art. 3.1 fue SUPRIMIDO a petición del MAPA</w:t>
      </w:r>
    </w:p>
    <w:p>
      <w:r>
        <w:t>- 2.3 Las contradicciones insalvables (TABLA DE 10 CONTRADICCIONES)</w:t>
      </w:r>
    </w:p>
    <w:p>
      <w:r>
        <w:t>3. LOS DOS ESCALONES: ESTRATEGIA JURÍDICA</w:t>
      </w:r>
    </w:p>
    <w:p>
      <w:r>
        <w:t>- 3.1 ESCALÓN 1: Cáñamo industrial - Producto agrícola sin licencia</w:t>
      </w:r>
    </w:p>
    <w:p>
      <w:r>
        <w:t>- 3.2 ESCALÓN 2: Cannabis medicinal - Licencia de medicamentos, NO estupefacientes</w:t>
      </w:r>
    </w:p>
    <w:p>
      <w:r>
        <w:t>- 3.3 El refuerzo cruzado: Evans Medical como argumento subsidiario</w:t>
      </w:r>
    </w:p>
    <w:p>
      <w:r>
        <w:t>4. DESARROLLO DEL ESCALÓN 1: CÁÑAMO INDUSTRIAL</w:t>
      </w:r>
    </w:p>
    <w:p>
      <w:r>
        <w:t>- 4.1 La distinción extractos/flores: el argumento central</w:t>
      </w:r>
    </w:p>
    <w:p>
      <w:r>
        <w:t>- 4.2 La sustancia vegetal: materia prima sin licencia</w:t>
      </w:r>
    </w:p>
    <w:p>
      <w:r>
        <w:t>- 4.3 Kanavape: CBD no es estupefaciente</w:t>
      </w:r>
    </w:p>
    <w:p>
      <w:r>
        <w:t>- 4.4 La Nueva PAC y la OCM: Europa reconoce las flores</w:t>
      </w:r>
    </w:p>
    <w:p>
      <w:r>
        <w:t>- 4.5 El informe del MAPA: El aliado inesperado</w:t>
      </w:r>
    </w:p>
    <w:p>
      <w:r>
        <w:t>5. DESARROLLO DEL ESCALÓN 2: CANNABIS MEDICINAL</w:t>
      </w:r>
    </w:p>
    <w:p>
      <w:r>
        <w:t>- 5.1 La reforma alemana de 27 de marzo de 2024</w:t>
      </w:r>
    </w:p>
    <w:p>
      <w:r>
        <w:t>- 5.2 Evans Medical: El argumento nuclear</w:t>
      </w:r>
    </w:p>
    <w:p>
      <w:r>
        <w:t>- 5.3 Aplicación al Art. 3 del RD español</w:t>
      </w:r>
    </w:p>
    <w:p>
      <w:r>
        <w:t xml:space="preserve">- 5.4 </w:t>
      </w:r>
      <w:r>
        <w:rPr>
          <w:b/>
        </w:rPr>
        <w:t>NUEVO: Caso virtual ilustrativo para la magistrada</w:t>
      </w:r>
      <w:r/>
    </w:p>
    <w:p>
      <w:r>
        <w:t xml:space="preserve">6. </w:t>
      </w:r>
      <w:r>
        <w:rPr>
          <w:b/>
        </w:rPr>
        <w:t>NUEVO: MOTIVO ADICIONAL: ART. 8 OFICINAS DE FARMACIA</w:t>
      </w:r>
      <w:r/>
    </w:p>
    <w:p>
      <w:r>
        <w:t xml:space="preserve">7. </w:t>
      </w:r>
      <w:r>
        <w:rPr>
          <w:b/>
        </w:rPr>
        <w:t>NUEVO: JURISPRUDENCIA APLICABLE CON APARTADOS EXACTOS</w:t>
      </w:r>
      <w:r/>
    </w:p>
    <w:p>
      <w:r>
        <w:t>8. CONCLUSIÓN Y PETITUM</w:t>
      </w:r>
    </w:p>
    <w:p>
      <w:r>
        <w:t>- 8.1 Conclusión</w:t>
      </w:r>
    </w:p>
    <w:p>
      <w:r>
        <w:t>- 8.2 SUPLICO (7 peticiones con lógica de dos escalones)</w:t>
      </w:r>
    </w:p>
    <w:p>
      <w:r>
        <w:t xml:space="preserve">- 8.3 </w:t>
      </w:r>
      <w:r>
        <w:rPr>
          <w:b/>
        </w:rPr>
        <w:t>NUEVO: Cuestiones prejudiciales sugeridas</w:t>
      </w:r>
      <w:r/>
    </w:p>
    <w:p>
      <w:r>
        <w:t>9. ANEXO DOCUMENTAL</w:t>
      </w:r>
    </w:p>
    <w:p>
      <w:r>
        <w:t xml:space="preserve">10. </w:t>
      </w:r>
      <w:r>
        <w:rPr>
          <w:b/>
        </w:rPr>
        <w:t>NUEVO: NOTA ESTRATÉGICA CONFIDENCIAL (PARA EL DESPACHO)</w:t>
      </w:r>
      <w:r/>
    </w:p>
    <w:p>
      <w:r>
        <w:t>__________________________________________________</w:t>
      </w:r>
    </w:p>
    <w:p>
      <w:pPr>
        <w:pStyle w:val="Title"/>
        <w:jc w:val="center"/>
      </w:pPr>
      <w:r>
        <w:t>1. CONTEXTO</w:t>
      </w:r>
    </w:p>
    <w:p>
      <w:pPr>
        <w:pStyle w:val="Heading1"/>
      </w:pPr>
      <w:r>
        <w:t>1.1 Realidad de mercado</w:t>
      </w:r>
    </w:p>
    <w:p>
      <w:pPr>
        <w:pStyle w:val="Heading2"/>
      </w:pPr>
      <w:r>
        <w:t>Un sector consolidado que opera en la sombra</w:t>
      </w:r>
    </w:p>
    <w:p>
      <w:r>
        <w:t xml:space="preserve">El sector del cáñamo industrial y la flor de CBD en España no es un fenómeno marginal ni reciente. Según el informe </w:t>
      </w:r>
      <w:r>
        <w:rPr>
          <w:b/>
        </w:rPr>
        <w:t>Cannamonitor 2025</w:t>
      </w:r>
      <w:r>
        <w:t xml:space="preserve"> —elaborado con datos del Ministerio de Sanidad, el Plan Nacional Sobre Drogas (PNSD), el CITCO y la AEMPS—, estamos hablando de un tejido empresarial que factura </w:t>
      </w:r>
      <w:r>
        <w:rPr>
          <w:b/>
        </w:rPr>
        <w:t>513 millones de euros anuales</w:t>
      </w:r>
      <w:r>
        <w:t xml:space="preserve">, sostiene más de </w:t>
      </w:r>
      <w:r>
        <w:rPr>
          <w:b/>
        </w:rPr>
        <w:t>6.700 empleos directos</w:t>
      </w:r>
      <w:r>
        <w:t xml:space="preserve"> y se articula a través de más de </w:t>
      </w:r>
      <w:r>
        <w:rPr>
          <w:b/>
        </w:rPr>
        <w:t>1.500 empresas activas</w:t>
      </w:r>
      <w:r>
        <w:t xml:space="preserve"> con activos declarados superiores a </w:t>
      </w:r>
      <w:r>
        <w:rPr>
          <w:b/>
        </w:rPr>
        <w:t>400 millones de euros</w:t>
      </w:r>
      <w:r>
        <w:t>.</w:t>
      </w:r>
    </w:p>
    <w:p>
      <w:r>
        <w:t xml:space="preserve">Este ecosistema lleva </w:t>
      </w:r>
      <w:r>
        <w:rPr>
          <w:b/>
        </w:rPr>
        <w:t>más de quince años</w:t>
      </w:r>
      <w:r>
        <w:t xml:space="preserve"> operando en España bajo distintas fórmulas comerciales: tiendas de cannabidiol (CBD), establecimientos de cultivo técnico (</w:t>
      </w:r>
      <w:r>
        <w:rPr>
          <w:i/>
        </w:rPr>
        <w:t>growshops</w:t>
      </w:r>
      <w:r>
        <w:t xml:space="preserve">), comercios de semillas y distribuidores de productos derivados del cáñamo. No son puntos de venta genéricos —como supermercados o gasolineras—, sino </w:t>
      </w:r>
      <w:r>
        <w:rPr>
          <w:b/>
        </w:rPr>
        <w:t>comercios especializados</w:t>
      </w:r>
      <w:r>
        <w:t xml:space="preserve"> cuyo personal posee conocimientos técnicos sobre cáñamo, cultivo, reducción de daños y normativa aplicable.</w:t>
      </w:r>
    </w:p>
    <w:p>
      <w:pPr>
        <w:pStyle w:val="Heading2"/>
      </w:pPr>
      <w:r>
        <w:t>La paradoja: un producto "mal registrado"</w:t>
      </w:r>
    </w:p>
    <w:p>
      <w:r>
        <w:t xml:space="preserve">La realidad es que el sector vende flores de cáñamo claramente destinadas a ser fumadas o inhaladas. Sin embargo, el Ministerio de Sanidad (AEMPS y la Unidad de Tabaquismo) se niega a registrar la flor de cáñamo como "hierba para fumar". En consecuencia, las empresas se ven obligadas a comercializarla de forma impropia como </w:t>
      </w:r>
      <w:r>
        <w:rPr>
          <w:b/>
        </w:rPr>
        <w:t>producto ornamental</w:t>
      </w:r>
      <w:r>
        <w:t xml:space="preserve">, </w:t>
      </w:r>
      <w:r>
        <w:rPr>
          <w:b/>
        </w:rPr>
        <w:t>souvenir</w:t>
      </w:r>
      <w:r>
        <w:t xml:space="preserve"> o similar —es decir, "mal registrada"—, pese a tratarse de un producto cuyo uso real es inhalado.</w:t>
      </w:r>
    </w:p>
    <w:p>
      <w:r/>
      <w:r>
        <w:rPr>
          <w:b/>
        </w:rPr>
        <w:t>Mientras tanto, siete Estados miembros de la UE</w:t>
      </w:r>
      <w:r>
        <w:t xml:space="preserve"> —Luxemburgo, Alemania, Austria, Bélgica, Polonia, Francia y Grecia— ya comercializan legalmente flores de cáñamo bajo el marco de la </w:t>
      </w:r>
      <w:r>
        <w:rPr>
          <w:b/>
        </w:rPr>
        <w:t>Directiva de Productos del Tabaco (TPD)</w:t>
      </w:r>
      <w:r>
        <w:t xml:space="preserve">, registrándolas oficialmente como "hierbas para fumar" siguiendo el procedimiento estándar: registro en </w:t>
      </w:r>
      <w:r>
        <w:rPr>
          <w:b/>
        </w:rPr>
        <w:t>EU CEG Portal</w:t>
      </w:r>
      <w:r>
        <w:t xml:space="preserve"> y posteriormente en los sistemas nacionales. España tiene la misma infraestructura (sistema GESTABRE) pero se niega a utilizarla.</w:t>
      </w:r>
    </w:p>
    <w:p>
      <w:pPr>
        <w:pStyle w:val="Heading2"/>
      </w:pPr>
      <w:r>
        <w:t>El elefante en la habitación: el mercado ilícito</w:t>
      </w:r>
    </w:p>
    <w:p>
      <w:r>
        <w:t xml:space="preserve">El sector legal del cáñamo compite directamente con el mercado negro, estimado en </w:t>
      </w:r>
      <w:r>
        <w:rPr>
          <w:b/>
        </w:rPr>
        <w:t>2.655 millones de euros anuales</w:t>
      </w:r>
      <w:r>
        <w:t xml:space="preserve"> según Cannamonitor 2025. Esta cifra es cinco veces superior a la facturación del sector legal. El limbo jurídico actual impide a los operadores legales competir en condiciones de igualdad, favoreciendo paradójicamente al mercado ilícito que se pretende combatir.</w:t>
      </w:r>
    </w:p>
    <w:p>
      <w:pPr>
        <w:pStyle w:val="Heading2"/>
      </w:pPr>
      <w:r>
        <w:t>El precedente europeo: países que sí lo permiten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País</w:t>
            </w:r>
          </w:p>
        </w:tc>
        <w:tc>
          <w:tcPr>
            <w:tcW w:type="dxa" w:w="2880"/>
          </w:tcPr>
          <w:p>
            <w:r>
              <w:rPr>
                <w:b/>
              </w:rPr>
              <w:t>Categorización</w:t>
            </w:r>
          </w:p>
        </w:tc>
        <w:tc>
          <w:tcPr>
            <w:tcW w:type="dxa" w:w="2880"/>
          </w:tcPr>
          <w:p>
            <w:r>
              <w:rPr>
                <w:b/>
              </w:rPr>
              <w:t>THC máximo</w:t>
            </w:r>
          </w:p>
        </w:tc>
      </w:tr>
      <w:tr>
        <w:tc>
          <w:tcPr>
            <w:tcW w:type="dxa" w:w="2880"/>
          </w:tcPr>
          <w:p>
            <w:r>
              <w:t>Luxemburgo</w:t>
            </w:r>
          </w:p>
        </w:tc>
        <w:tc>
          <w:tcPr>
            <w:tcW w:type="dxa" w:w="2880"/>
          </w:tcPr>
          <w:p>
            <w:r>
              <w:t>Hierbas para fumar (TPD)</w:t>
            </w:r>
          </w:p>
        </w:tc>
        <w:tc>
          <w:tcPr>
            <w:tcW w:type="dxa" w:w="2880"/>
          </w:tcPr>
          <w:p>
            <w:r>
              <w:t>1,0%</w:t>
            </w:r>
          </w:p>
        </w:tc>
      </w:tr>
      <w:tr>
        <w:tc>
          <w:tcPr>
            <w:tcW w:type="dxa" w:w="2880"/>
          </w:tcPr>
          <w:p>
            <w:r>
              <w:t>Alemania</w:t>
            </w:r>
          </w:p>
        </w:tc>
        <w:tc>
          <w:tcPr>
            <w:tcW w:type="dxa" w:w="2880"/>
          </w:tcPr>
          <w:p>
            <w:r>
              <w:t>Hierbas para fumar (TPD)</w:t>
            </w:r>
          </w:p>
        </w:tc>
        <w:tc>
          <w:tcPr>
            <w:tcW w:type="dxa" w:w="2880"/>
          </w:tcPr>
          <w:p>
            <w:r>
              <w:t>0,3%</w:t>
            </w:r>
          </w:p>
        </w:tc>
      </w:tr>
      <w:tr>
        <w:tc>
          <w:tcPr>
            <w:tcW w:type="dxa" w:w="2880"/>
          </w:tcPr>
          <w:p>
            <w:r>
              <w:t>Austria</w:t>
            </w:r>
          </w:p>
        </w:tc>
        <w:tc>
          <w:tcPr>
            <w:tcW w:type="dxa" w:w="2880"/>
          </w:tcPr>
          <w:p>
            <w:r>
              <w:t>Hierbas para fumar (TPD)</w:t>
            </w:r>
          </w:p>
        </w:tc>
        <w:tc>
          <w:tcPr>
            <w:tcW w:type="dxa" w:w="2880"/>
          </w:tcPr>
          <w:p>
            <w:r>
              <w:t>0,3%</w:t>
            </w:r>
          </w:p>
        </w:tc>
      </w:tr>
      <w:tr>
        <w:tc>
          <w:tcPr>
            <w:tcW w:type="dxa" w:w="2880"/>
          </w:tcPr>
          <w:p>
            <w:r>
              <w:t>Bélgica</w:t>
            </w:r>
          </w:p>
        </w:tc>
        <w:tc>
          <w:tcPr>
            <w:tcW w:type="dxa" w:w="2880"/>
          </w:tcPr>
          <w:p>
            <w:r>
              <w:t>Hierbas para fumar (TPD)</w:t>
            </w:r>
          </w:p>
        </w:tc>
        <w:tc>
          <w:tcPr>
            <w:tcW w:type="dxa" w:w="2880"/>
          </w:tcPr>
          <w:p>
            <w:r>
              <w:t>0,3%</w:t>
            </w:r>
          </w:p>
        </w:tc>
      </w:tr>
      <w:tr>
        <w:tc>
          <w:tcPr>
            <w:tcW w:type="dxa" w:w="2880"/>
          </w:tcPr>
          <w:p>
            <w:r>
              <w:t>Polonia</w:t>
            </w:r>
          </w:p>
        </w:tc>
        <w:tc>
          <w:tcPr>
            <w:tcW w:type="dxa" w:w="2880"/>
          </w:tcPr>
          <w:p>
            <w:r>
              <w:t>Hierbas para fumar (TPD)</w:t>
            </w:r>
          </w:p>
        </w:tc>
        <w:tc>
          <w:tcPr>
            <w:tcW w:type="dxa" w:w="2880"/>
          </w:tcPr>
          <w:p>
            <w:r>
              <w:t>0,3%</w:t>
            </w:r>
          </w:p>
        </w:tc>
      </w:tr>
      <w:tr>
        <w:tc>
          <w:tcPr>
            <w:tcW w:type="dxa" w:w="2880"/>
          </w:tcPr>
          <w:p>
            <w:r>
              <w:t>Francia</w:t>
            </w:r>
          </w:p>
        </w:tc>
        <w:tc>
          <w:tcPr>
            <w:tcW w:type="dxa" w:w="2880"/>
          </w:tcPr>
          <w:p>
            <w:r>
              <w:t>Hierbas para fumar (TPD)</w:t>
            </w:r>
          </w:p>
        </w:tc>
        <w:tc>
          <w:tcPr>
            <w:tcW w:type="dxa" w:w="2880"/>
          </w:tcPr>
          <w:p>
            <w:r>
              <w:t>0,3%</w:t>
            </w:r>
          </w:p>
        </w:tc>
      </w:tr>
      <w:tr>
        <w:tc>
          <w:tcPr>
            <w:tcW w:type="dxa" w:w="2880"/>
          </w:tcPr>
          <w:p>
            <w:r>
              <w:t>Grecia</w:t>
            </w:r>
          </w:p>
        </w:tc>
        <w:tc>
          <w:tcPr>
            <w:tcW w:type="dxa" w:w="2880"/>
          </w:tcPr>
          <w:p>
            <w:r>
              <w:t>Hierbas para fumar (TPD)</w:t>
            </w:r>
          </w:p>
        </w:tc>
        <w:tc>
          <w:tcPr>
            <w:tcW w:type="dxa" w:w="2880"/>
          </w:tcPr>
          <w:p>
            <w:r>
              <w:t>0,3%</w:t>
            </w:r>
          </w:p>
        </w:tc>
      </w:tr>
      <w:tr>
        <w:tc>
          <w:tcPr>
            <w:tcW w:type="dxa" w:w="2880"/>
          </w:tcPr>
          <w:p>
            <w:r>
              <w:t>España</w:t>
            </w:r>
          </w:p>
        </w:tc>
        <w:tc>
          <w:tcPr>
            <w:tcW w:type="dxa" w:w="2880"/>
          </w:tcPr>
          <w:p>
            <w:r>
              <w:t>Sin categoría definida</w:t>
            </w:r>
          </w:p>
        </w:tc>
        <w:tc>
          <w:tcPr>
            <w:tcW w:type="dxa" w:w="2880"/>
          </w:tcPr>
          <w:p>
            <w:r>
              <w:t>0,2% (solo cultivo)</w:t>
            </w:r>
          </w:p>
        </w:tc>
      </w:tr>
    </w:tbl>
    <w:p/>
    <w:p>
      <w:r>
        <w:t>__________________________________________________</w:t>
      </w:r>
    </w:p>
    <w:p>
      <w:pPr>
        <w:pStyle w:val="Heading1"/>
      </w:pPr>
      <w:r>
        <w:t>1.2 Posición de la Administración</w:t>
      </w:r>
    </w:p>
    <w:p>
      <w:pPr>
        <w:pStyle w:val="Heading2"/>
      </w:pPr>
      <w:r>
        <w:t>La triple convergencia prohibicionista</w:t>
      </w:r>
    </w:p>
    <w:p>
      <w:r>
        <w:t>La posición oficial de la Administración española sobre el cannabis y el cáñamo se ha cristalizado en tres documentos emitidos entre 2020 y 2021:</w:t>
      </w:r>
    </w:p>
    <w:p>
      <w:r/>
      <w:r>
        <w:rPr>
          <w:b/>
        </w:rPr>
        <w:t>1. Circular del Comisionado del Mercado de Tabacos (Hacienda, noviembre 2020)</w:t>
      </w:r>
      <w:r/>
    </w:p>
    <w:p>
      <w:pPr>
        <w:ind w:left="720" w:right="432"/>
      </w:pPr>
      <w:r>
        <w:rPr>
          <w:i/>
        </w:rPr>
        <w:t>"El cannabis, independientemente de su contenido en tetrahidrocannabinol (THC), se encuentra en las listas I y IV de la Convención Única de 1961"</w:t>
      </w:r>
    </w:p>
    <w:p>
      <w:r/>
      <w:r>
        <w:rPr>
          <w:b/>
        </w:rPr>
        <w:t>2. Nota Informativa de la Dirección General de Producciones y Mercados Agrarios (MAPA, diciembre 2020)</w:t>
      </w:r>
      <w:r/>
    </w:p>
    <w:p>
      <w:pPr>
        <w:ind w:left="720" w:right="432"/>
      </w:pPr>
      <w:r>
        <w:rPr>
          <w:i/>
        </w:rPr>
        <w:t>"El CBD obtenido como extracto o tintura de cannabis, independientemente de su contenido en THC, se encuentra incluido en la lista I de la Convención Única de 1961"</w:t>
      </w:r>
    </w:p>
    <w:p>
      <w:r/>
      <w:r>
        <w:rPr>
          <w:b/>
        </w:rPr>
        <w:t>3. Instrucción de la Fiscalía Especial Antidroga (junio 2021)</w:t>
      </w:r>
      <w:r/>
    </w:p>
    <w:p>
      <w:pPr>
        <w:ind w:left="720" w:right="432"/>
      </w:pPr>
      <w:r>
        <w:rPr>
          <w:i/>
        </w:rPr>
        <w:t>"La marihuana no está fiscalizada en función del índice del THC sino la misma planta" (citando STS 378/2020)</w:t>
      </w:r>
    </w:p>
    <w:p>
      <w:r>
        <w:t>__________________________________________________</w:t>
      </w:r>
    </w:p>
    <w:p>
      <w:pPr>
        <w:pStyle w:val="Heading1"/>
      </w:pPr>
      <w:r>
        <w:t>1.3 Ámbito del RD y por qué nos afecta</w:t>
      </w:r>
    </w:p>
    <w:p>
      <w:r>
        <w:t xml:space="preserve">El Real Decreto de Cannabis Medicinal se limita expresamente a las </w:t>
      </w:r>
      <w:r>
        <w:rPr>
          <w:b/>
        </w:rPr>
        <w:t>fórmulas magistrales tipificadas de preparados estandarizados de cannabis</w:t>
      </w:r>
      <w:r>
        <w:t xml:space="preserve"> para uso hospitalario. Sin embargo, cuando se preguntó al Gobierno si la norma se limitaba a fines médicos, la respuesta fue reveladora:</w:t>
      </w:r>
    </w:p>
    <w:p>
      <w:pPr>
        <w:ind w:left="720" w:right="432"/>
      </w:pPr>
      <w:r>
        <w:rPr>
          <w:i/>
        </w:rPr>
        <w:t>"NO SE ACEPTA, ya que el cannabis es una sustancia estupefaciente independientemente de su finalidad." — Respuesta a Kenzi Riboulet-Zemouli, MAIN del RD</w:t>
      </w:r>
    </w:p>
    <w:p>
      <w:r>
        <w:t>Esta respuesta evidencia el problema: aunque el RD sea de ámbito medicinal, el Gobierno aprovecha para establecer definiciones generales sobre el cannabis que luego pueden usarse contra cualquier sector que trabaje con la planta.</w:t>
      </w:r>
    </w:p>
    <w:p>
      <w:r>
        <w:t>__________________________________________________</w:t>
      </w:r>
    </w:p>
    <w:p>
      <w:pPr>
        <w:pStyle w:val="Heading1"/>
      </w:pPr>
      <w:r>
        <w:t>1.4 Legitimación activa: el enfoque del recurso</w:t>
      </w:r>
    </w:p>
    <w:p>
      <w:pPr>
        <w:pStyle w:val="Heading2"/>
      </w:pPr>
      <w:r>
        <w:t>La solución: legitimación como fabricante de preparados</w:t>
      </w:r>
    </w:p>
    <w:p>
      <w:pPr>
        <w:ind w:left="432"/>
      </w:pPr>
      <w:r>
        <w:rPr>
          <w:rFonts w:ascii="Consolas" w:hAnsi="Consolas"/>
          <w:sz w:val="18"/>
        </w:rPr>
        <w:t>╔═══════════════════════════════════════════════════════════════════════════╗</w:t>
        <w:br/>
      </w:r>
      <w:r>
        <w:rPr>
          <w:rFonts w:ascii="Consolas" w:hAnsi="Consolas"/>
          <w:sz w:val="18"/>
        </w:rPr>
        <w:t>║              ENFOQUE ESTRATÉGICO DE LEGITIMACIÓN                         ║</w:t>
        <w:br/>
      </w:r>
      <w:r>
        <w:rPr>
          <w:rFonts w:ascii="Consolas" w:hAnsi="Consolas"/>
          <w:sz w:val="18"/>
        </w:rPr>
        <w:t>╠═══════════════════════════════════════════════════════════════════════════╣</w:t>
        <w:br/>
      </w:r>
      <w:r>
        <w:rPr>
          <w:rFonts w:ascii="Consolas" w:hAnsi="Consolas"/>
          <w:sz w:val="18"/>
        </w:rPr>
        <w:t>║                                                                            ║</w:t>
        <w:br/>
      </w:r>
      <w:r>
        <w:rPr>
          <w:rFonts w:ascii="Consolas" w:hAnsi="Consolas"/>
          <w:sz w:val="18"/>
        </w:rPr>
        <w:t>║  RECURRENTE: Empresa que opera (o tiene intención de operar) como        ║</w:t>
        <w:br/>
      </w:r>
      <w:r>
        <w:rPr>
          <w:rFonts w:ascii="Consolas" w:hAnsi="Consolas"/>
          <w:sz w:val="18"/>
        </w:rPr>
        <w:t>║  FABRICANTE DE PREPARADOS ESTANDARIZADOS DE CANNABIS.                    ║</w:t>
        <w:br/>
      </w:r>
      <w:r>
        <w:rPr>
          <w:rFonts w:ascii="Consolas" w:hAnsi="Consolas"/>
          <w:sz w:val="18"/>
        </w:rPr>
        <w:t>║                                                                            ║</w:t>
        <w:br/>
      </w:r>
      <w:r>
        <w:rPr>
          <w:rFonts w:ascii="Consolas" w:hAnsi="Consolas"/>
          <w:sz w:val="18"/>
        </w:rPr>
        <w:t>║  INTERÉS LEGÍTIMO DIRECTO:                                               ║</w:t>
        <w:br/>
      </w:r>
      <w:r>
        <w:rPr>
          <w:rFonts w:ascii="Consolas" w:hAnsi="Consolas"/>
          <w:sz w:val="18"/>
        </w:rPr>
        <w:t>║  Para fabricar preparados estandarizados de cannabis, el fabricante      ║</w:t>
        <w:br/>
      </w:r>
      <w:r>
        <w:rPr>
          <w:rFonts w:ascii="Consolas" w:hAnsi="Consolas"/>
          <w:sz w:val="18"/>
        </w:rPr>
        <w:t>║  necesita importar SUSTANCIA VEGETAL (flores de cáñamo).                 ║</w:t>
        <w:br/>
      </w:r>
      <w:r>
        <w:rPr>
          <w:rFonts w:ascii="Consolas" w:hAnsi="Consolas"/>
          <w:sz w:val="18"/>
        </w:rPr>
        <w:t>║                                                                            ║</w:t>
        <w:br/>
      </w:r>
      <w:r>
        <w:rPr>
          <w:rFonts w:ascii="Consolas" w:hAnsi="Consolas"/>
          <w:sz w:val="18"/>
        </w:rPr>
        <w:t>║  AGRAVIO CONCRETO:                                                        ║</w:t>
        <w:br/>
      </w:r>
      <w:r>
        <w:rPr>
          <w:rFonts w:ascii="Consolas" w:hAnsi="Consolas"/>
          <w:sz w:val="18"/>
        </w:rPr>
        <w:t>║  El RD y la interpretación de la Administración obligan al fabricante    ║</w:t>
        <w:br/>
      </w:r>
      <w:r>
        <w:rPr>
          <w:rFonts w:ascii="Consolas" w:hAnsi="Consolas"/>
          <w:sz w:val="18"/>
        </w:rPr>
        <w:t>║  a obtener LICENCIA DE ESTUPEFACIENTES para importar flores de cáñamo    ║</w:t>
        <w:br/>
      </w:r>
      <w:r>
        <w:rPr>
          <w:rFonts w:ascii="Consolas" w:hAnsi="Consolas"/>
          <w:sz w:val="18"/>
        </w:rPr>
        <w:t>║  &lt;0,2% THC, pese a que:                                                   ║</w:t>
        <w:br/>
      </w:r>
      <w:r>
        <w:rPr>
          <w:rFonts w:ascii="Consolas" w:hAnsi="Consolas"/>
          <w:sz w:val="18"/>
        </w:rPr>
        <w:t>║                                                                            ║</w:t>
        <w:br/>
      </w:r>
      <w:r>
        <w:rPr>
          <w:rFonts w:ascii="Consolas" w:hAnsi="Consolas"/>
          <w:sz w:val="18"/>
        </w:rPr>
        <w:t>║  1. Los EXTRACTOS de esas flores NO son estupefacientes (MAIN pág. 35)   ║</w:t>
        <w:br/>
      </w:r>
      <w:r>
        <w:rPr>
          <w:rFonts w:ascii="Consolas" w:hAnsi="Consolas"/>
          <w:sz w:val="18"/>
        </w:rPr>
        <w:t>║  2. Las flores son productos agrícolas de LIBRE CIRCULACIÓN en la UE     ║</w:t>
        <w:br/>
      </w:r>
      <w:r>
        <w:rPr>
          <w:rFonts w:ascii="Consolas" w:hAnsi="Consolas"/>
          <w:sz w:val="18"/>
        </w:rPr>
        <w:t>║  3. La propia norma establece que &lt;0,2% THC NO es psicotrópico (Art. 3)  ║</w:t>
        <w:br/>
      </w:r>
      <w:r>
        <w:rPr>
          <w:rFonts w:ascii="Consolas" w:hAnsi="Consolas"/>
          <w:sz w:val="18"/>
        </w:rPr>
        <w:t>╚═══════════════════════════════════════════════════════════════════════════╝</w:t>
        <w:br/>
      </w:r>
    </w:p>
    <w:p>
      <w:r>
        <w:t>__________________________________________________</w:t>
      </w:r>
    </w:p>
    <w:p>
      <w:pPr>
        <w:pStyle w:val="Title"/>
        <w:jc w:val="center"/>
      </w:pPr>
      <w:r>
        <w:t>2. PROBLEMAS DEL REAL DECRETO</w:t>
      </w:r>
    </w:p>
    <w:p>
      <w:pPr>
        <w:pStyle w:val="Heading1"/>
      </w:pPr>
      <w:r>
        <w:t>2.1 Posición oficial: "Cannabis = estupefaciente siempre"</w:t>
      </w:r>
    </w:p>
    <w:p>
      <w:pPr>
        <w:pStyle w:val="Heading2"/>
      </w:pPr>
      <w:r>
        <w:t>A) Independientemente del contenido en THC</w:t>
      </w:r>
    </w:p>
    <w:p>
      <w:r/>
      <w:r>
        <w:rPr>
          <w:b/>
        </w:rPr>
        <w:t>Fuente</w:t>
      </w:r>
      <w:r>
        <w:t>: MAIN págs. 34-35 (respuesta a EIHA, alegación nº 7)</w:t>
      </w:r>
    </w:p>
    <w:p>
      <w:pPr>
        <w:ind w:left="720" w:right="432"/>
      </w:pPr>
      <w:r>
        <w:rPr>
          <w:i/>
        </w:rPr>
        <w:t>"No se acepta. La Convención Única de 1961 sobre Estupefacientes define el término cannabis como: 'las sumidades, floridas o con fruto, de la planta de la cannabis (a excepción de las semillas y de las hojas no unidas a las sumidades) de las cuales no se ha extraído la resina, cualquiera que sea el nombre con que se las designe', sin hacer alusión al contenido en delta-9-tetrahidrocannabinol (THC) u otro cannabinoide ni a quimiotipos."</w:t>
      </w:r>
    </w:p>
    <w:p>
      <w:pPr>
        <w:pStyle w:val="Heading2"/>
      </w:pPr>
      <w:r>
        <w:t>B) Independientemente de su finalidad</w:t>
      </w:r>
    </w:p>
    <w:p>
      <w:r/>
      <w:r>
        <w:rPr>
          <w:b/>
        </w:rPr>
        <w:t>Fuente</w:t>
      </w:r>
      <w:r>
        <w:t>: MAIN pág. 51 (respuesta a Kenzi Riboulet-Zemouli, alegación nº 18)</w:t>
      </w:r>
    </w:p>
    <w:p>
      <w:pPr>
        <w:ind w:left="720" w:right="432"/>
      </w:pPr>
      <w:r>
        <w:rPr>
          <w:i/>
        </w:rPr>
        <w:t>"No se acepta, ya que el cannabis es una sustancia estupefaciente independientemente de su finalidad."</w:t>
      </w:r>
    </w:p>
    <w:p>
      <w:r>
        <w:t>__________________________________________________</w:t>
      </w:r>
    </w:p>
    <w:p>
      <w:pPr>
        <w:pStyle w:val="Heading1"/>
      </w:pPr>
      <w:r>
        <w:t>2.2 JAQUE AL REY: No todo está fiscalizado</w:t>
      </w:r>
    </w:p>
    <w:p>
      <w:pPr>
        <w:pStyle w:val="Heading2"/>
      </w:pPr>
      <w:r>
        <w:t>El caso Epidiolex: la paradoja perfecta</w:t>
      </w:r>
    </w:p>
    <w:p>
      <w:r/>
      <w:r>
        <w:rPr>
          <w:b/>
        </w:rPr>
        <w:t>Fuente</w:t>
      </w:r>
      <w:r>
        <w:t>: MAIN pág. 35 (respuesta a EIHA, alegación nº 7)</w:t>
      </w:r>
    </w:p>
    <w:p>
      <w:pPr>
        <w:ind w:left="720" w:right="432"/>
      </w:pPr>
      <w:r>
        <w:rPr>
          <w:i/>
        </w:rPr>
        <w:t>"El Sativex y Epidiolex son extractos de cannabis, no sumidades, floridas o con fruto de la planta del cannabis de las cuales no se ha extraído la resina (cannabis)."</w:t>
      </w:r>
    </w:p>
    <w:p>
      <w:pPr>
        <w:ind w:left="432"/>
      </w:pPr>
      <w:r>
        <w:rPr>
          <w:rFonts w:ascii="Consolas" w:hAnsi="Consolas"/>
          <w:sz w:val="18"/>
        </w:rPr>
        <w:t>╔═══════════════════════════════════════════════════════════════════════════╗</w:t>
        <w:br/>
      </w:r>
      <w:r>
        <w:rPr>
          <w:rFonts w:ascii="Consolas" w:hAnsi="Consolas"/>
          <w:sz w:val="18"/>
        </w:rPr>
        <w:t>║                    LA PARADOJA EPIDIOLEX                                  ║</w:t>
        <w:br/>
      </w:r>
      <w:r>
        <w:rPr>
          <w:rFonts w:ascii="Consolas" w:hAnsi="Consolas"/>
          <w:sz w:val="18"/>
        </w:rPr>
        <w:t>╠═══════════════════════════════════════════════════════════════════════════╣</w:t>
        <w:br/>
      </w:r>
      <w:r>
        <w:rPr>
          <w:rFonts w:ascii="Consolas" w:hAnsi="Consolas"/>
          <w:sz w:val="18"/>
        </w:rPr>
        <w:t>║                                                                            ║</w:t>
        <w:br/>
      </w:r>
      <w:r>
        <w:rPr>
          <w:rFonts w:ascii="Consolas" w:hAnsi="Consolas"/>
          <w:sz w:val="18"/>
        </w:rPr>
        <w:t>║  MATERIA PRIMA:                                                            ║</w:t>
        <w:br/>
      </w:r>
      <w:r>
        <w:rPr>
          <w:rFonts w:ascii="Consolas" w:hAnsi="Consolas"/>
          <w:sz w:val="18"/>
        </w:rPr>
        <w:t>║  Flores de cannabis (sumidades floridas)                                  ║</w:t>
        <w:br/>
      </w:r>
      <w:r>
        <w:rPr>
          <w:rFonts w:ascii="Consolas" w:hAnsi="Consolas"/>
          <w:sz w:val="18"/>
        </w:rPr>
        <w:t>║  → Según Sanidad = ESTUPEFACIENTE                                         ║</w:t>
        <w:br/>
      </w:r>
      <w:r>
        <w:rPr>
          <w:rFonts w:ascii="Consolas" w:hAnsi="Consolas"/>
          <w:sz w:val="18"/>
        </w:rPr>
        <w:t>║                                                                            ║</w:t>
        <w:br/>
      </w:r>
      <w:r>
        <w:rPr>
          <w:rFonts w:ascii="Consolas" w:hAnsi="Consolas"/>
          <w:sz w:val="18"/>
        </w:rPr>
        <w:t>║  PRODUCTO FINAL (Epidiolex):                                              ║</w:t>
        <w:br/>
      </w:r>
      <w:r>
        <w:rPr>
          <w:rFonts w:ascii="Consolas" w:hAnsi="Consolas"/>
          <w:sz w:val="18"/>
        </w:rPr>
        <w:t>║  Extracto de CBD con 0,15% THC                                            ║</w:t>
        <w:br/>
      </w:r>
      <w:r>
        <w:rPr>
          <w:rFonts w:ascii="Consolas" w:hAnsi="Consolas"/>
          <w:sz w:val="18"/>
        </w:rPr>
        <w:t>║  → Según Sanidad = NO es "cannabis" = NO estupefaciente                   ║</w:t>
        <w:br/>
      </w:r>
      <w:r>
        <w:rPr>
          <w:rFonts w:ascii="Consolas" w:hAnsi="Consolas"/>
          <w:sz w:val="18"/>
        </w:rPr>
        <w:t>║                                                                            ║</w:t>
        <w:br/>
      </w:r>
      <w:r>
        <w:rPr>
          <w:rFonts w:ascii="Consolas" w:hAnsi="Consolas"/>
          <w:sz w:val="18"/>
        </w:rPr>
        <w:t>║  ¿CÓMO ES POSIBLE?                                                         ║</w:t>
        <w:br/>
      </w:r>
      <w:r>
        <w:rPr>
          <w:rFonts w:ascii="Consolas" w:hAnsi="Consolas"/>
          <w:sz w:val="18"/>
        </w:rPr>
        <w:t>║  Si el extracto con 0,15% THC es legal, ¿por qué no lo es la flor        ║</w:t>
        <w:br/>
      </w:r>
      <w:r>
        <w:rPr>
          <w:rFonts w:ascii="Consolas" w:hAnsi="Consolas"/>
          <w:sz w:val="18"/>
        </w:rPr>
        <w:t>║  con 0,2% THC de la que procede?                                          ║</w:t>
        <w:br/>
      </w:r>
      <w:r>
        <w:rPr>
          <w:rFonts w:ascii="Consolas" w:hAnsi="Consolas"/>
          <w:sz w:val="18"/>
        </w:rPr>
        <w:t>╚═══════════════════════════════════════════════════════════════════════════╝</w:t>
        <w:br/>
      </w:r>
    </w:p>
    <w:p>
      <w:pPr>
        <w:pStyle w:val="Heading2"/>
      </w:pPr>
      <w:r>
        <w:t>El Art. 3.1 fue SUPRIMIDO a petición del MAPA</w:t>
      </w:r>
    </w:p>
    <w:p>
      <w:r/>
      <w:r>
        <w:rPr>
          <w:b/>
        </w:rPr>
        <w:t>Fuente</w:t>
      </w:r>
      <w:r>
        <w:t>: MAIN págs. 159-160 (alegación MAPA - Secretaría General Técnica)</w:t>
      </w:r>
    </w:p>
    <w:p>
      <w:pPr>
        <w:ind w:left="720" w:right="432"/>
      </w:pPr>
      <w:r>
        <w:rPr>
          <w:i/>
        </w:rPr>
        <w:t>"Se propone, por lo tanto, suprimir el apartado 1 del artículo 3 (pues no procede dado el ámbito de este real decreto) y modificar el apartado 2, con el objetivo de que quede manifiestamente claro que lo establecido en este artículo se refiere única y exclusivamente al cannabis que va a ser utilizado en la elaboración de fórmulas magistrales de preparados estandarizados de cannabis y al objeto de garantizar la calidad farmacológica de los mismos y que, en ningún caso, sirva de base normativa para ninguna actuación más allá del ámbito que propiamente le compete a la norma."</w:t>
      </w:r>
    </w:p>
    <w:p>
      <w:r/>
      <w:r>
        <w:rPr>
          <w:b/>
        </w:rPr>
        <w:t>Y Sanidad ACEPTÓ la supresión</w:t>
      </w:r>
      <w:r>
        <w:t>:</w:t>
      </w:r>
    </w:p>
    <w:p>
      <w:pPr>
        <w:ind w:left="720" w:right="432"/>
      </w:pPr>
      <w:r>
        <w:rPr>
          <w:i/>
        </w:rPr>
        <w:t>"Ya se encuentra suprimido, no consta ningún apartado en el artículo 3."</w:t>
      </w:r>
    </w:p>
    <w:p>
      <w:r>
        <w:t>__________________________________________________</w:t>
      </w:r>
    </w:p>
    <w:p>
      <w:pPr>
        <w:pStyle w:val="Heading1"/>
      </w:pPr>
      <w:r>
        <w:t>2.3 Las contradicciones insalvables — TABLA DE 10 CONTRADICCIONES</w:t>
      </w:r>
    </w:p>
    <w:p>
      <w:pPr>
        <w:pStyle w:val="Heading2"/>
      </w:pPr>
      <w:r>
        <w:t>TABLA RESUMEN DE CONTRADICCIONES SISTEMATIZADAS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Nº</w:t>
            </w:r>
          </w:p>
        </w:tc>
        <w:tc>
          <w:tcPr>
            <w:tcW w:type="dxa" w:w="1728"/>
          </w:tcPr>
          <w:p>
            <w:r>
              <w:rPr>
                <w:b/>
              </w:rPr>
              <w:t>Contradicción</w:t>
            </w:r>
          </w:p>
        </w:tc>
        <w:tc>
          <w:tcPr>
            <w:tcW w:type="dxa" w:w="1728"/>
          </w:tcPr>
          <w:p>
            <w:r>
              <w:rPr>
                <w:b/>
              </w:rPr>
              <w:t>Actor 1</w:t>
            </w:r>
          </w:p>
        </w:tc>
        <w:tc>
          <w:tcPr>
            <w:tcW w:type="dxa" w:w="1728"/>
          </w:tcPr>
          <w:p>
            <w:r>
              <w:rPr>
                <w:b/>
              </w:rPr>
              <w:t>Actor 2</w:t>
            </w:r>
          </w:p>
        </w:tc>
        <w:tc>
          <w:tcPr>
            <w:tcW w:type="dxa" w:w="1728"/>
          </w:tcPr>
          <w:p>
            <w:r>
              <w:rPr>
                <w:b/>
              </w:rPr>
              <w:t>Implicación jurídica</w:t>
            </w:r>
          </w:p>
        </w:tc>
      </w:tr>
      <w:tr>
        <w:tc>
          <w:tcPr>
            <w:tcW w:type="dxa" w:w="1728"/>
          </w:tcPr>
          <w:p>
            <w:r>
              <w:t>1</w:t>
            </w:r>
          </w:p>
        </w:tc>
        <w:tc>
          <w:tcPr>
            <w:tcW w:type="dxa" w:w="1728"/>
          </w:tcPr>
          <w:p>
            <w:r>
              <w:t>Art. 3.1 excede ámbito del RD</w:t>
            </w:r>
          </w:p>
        </w:tc>
        <w:tc>
          <w:tcPr>
            <w:tcW w:type="dxa" w:w="1728"/>
          </w:tcPr>
          <w:p>
            <w:r>
              <w:t>MAPA</w:t>
            </w:r>
          </w:p>
        </w:tc>
        <w:tc>
          <w:tcPr>
            <w:tcW w:type="dxa" w:w="1728"/>
          </w:tcPr>
          <w:p>
            <w:r>
              <w:t>Sanidad</w:t>
            </w:r>
          </w:p>
        </w:tc>
        <w:tc>
          <w:tcPr>
            <w:tcW w:type="dxa" w:w="1728"/>
          </w:tcPr>
          <w:p>
            <w:r>
              <w:t>Nulidad por ultra vires</w:t>
            </w:r>
          </w:p>
        </w:tc>
      </w:tr>
      <w:tr>
        <w:tc>
          <w:tcPr>
            <w:tcW w:type="dxa" w:w="1728"/>
          </w:tcPr>
          <w:p>
            <w:r>
              <w:t>2</w:t>
            </w:r>
          </w:p>
        </w:tc>
        <w:tc>
          <w:tcPr>
            <w:tcW w:type="dxa" w:w="1728"/>
          </w:tcPr>
          <w:p>
            <w:r>
              <w:t>Umbral 0,2% vs 0,3% PAC</w:t>
            </w:r>
          </w:p>
        </w:tc>
        <w:tc>
          <w:tcPr>
            <w:tcW w:type="dxa" w:w="1728"/>
          </w:tcPr>
          <w:p>
            <w:r>
              <w:t>PAC UE</w:t>
            </w:r>
          </w:p>
        </w:tc>
        <w:tc>
          <w:tcPr>
            <w:tcW w:type="dxa" w:w="1728"/>
          </w:tcPr>
          <w:p>
            <w:r>
              <w:t>RD</w:t>
            </w:r>
          </w:p>
        </w:tc>
        <w:tc>
          <w:tcPr>
            <w:tcW w:type="dxa" w:w="1728"/>
          </w:tcPr>
          <w:p>
            <w:r>
              <w:t>España más restrictiva sin justificación</w:t>
            </w:r>
          </w:p>
        </w:tc>
      </w:tr>
      <w:tr>
        <w:tc>
          <w:tcPr>
            <w:tcW w:type="dxa" w:w="1728"/>
          </w:tcPr>
          <w:p>
            <w:r>
              <w:t>3</w:t>
            </w:r>
          </w:p>
        </w:tc>
        <w:tc>
          <w:tcPr>
            <w:tcW w:type="dxa" w:w="1728"/>
          </w:tcPr>
          <w:p>
            <w:r>
              <w:t>Sin base legal española para umbral</w:t>
            </w:r>
          </w:p>
        </w:tc>
        <w:tc>
          <w:tcPr>
            <w:tcW w:type="dxa" w:w="1728"/>
          </w:tcPr>
          <w:p>
            <w:r>
              <w:t>MAPA</w:t>
            </w:r>
          </w:p>
        </w:tc>
        <w:tc>
          <w:tcPr>
            <w:tcW w:type="dxa" w:w="1728"/>
          </w:tcPr>
          <w:p>
            <w:r>
              <w:t>RD</w:t>
            </w:r>
          </w:p>
        </w:tc>
        <w:tc>
          <w:tcPr>
            <w:tcW w:type="dxa" w:w="1728"/>
          </w:tcPr>
          <w:p>
            <w:r>
              <w:t>Arbitrariedad manifiesta</w:t>
            </w:r>
          </w:p>
        </w:tc>
      </w:tr>
      <w:tr>
        <w:tc>
          <w:tcPr>
            <w:tcW w:type="dxa" w:w="1728"/>
          </w:tcPr>
          <w:p>
            <w:r>
              <w:t>4</w:t>
            </w:r>
          </w:p>
        </w:tc>
        <w:tc>
          <w:tcPr>
            <w:tcW w:type="dxa" w:w="1728"/>
          </w:tcPr>
          <w:p>
            <w:r>
              <w:t>Flores excluidas vs mercado UE</w:t>
            </w:r>
          </w:p>
        </w:tc>
        <w:tc>
          <w:tcPr>
            <w:tcW w:type="dxa" w:w="1728"/>
          </w:tcPr>
          <w:p>
            <w:r>
              <w:t>TJUE/EEMM</w:t>
            </w:r>
          </w:p>
        </w:tc>
        <w:tc>
          <w:tcPr>
            <w:tcW w:type="dxa" w:w="1728"/>
          </w:tcPr>
          <w:p>
            <w:r>
              <w:t>RD</w:t>
            </w:r>
          </w:p>
        </w:tc>
        <w:tc>
          <w:tcPr>
            <w:tcW w:type="dxa" w:w="1728"/>
          </w:tcPr>
          <w:p>
            <w:r>
              <w:t>Vulneración Art. 34 TFUE</w:t>
            </w:r>
          </w:p>
        </w:tc>
      </w:tr>
      <w:tr>
        <w:tc>
          <w:tcPr>
            <w:tcW w:type="dxa" w:w="1728"/>
          </w:tcPr>
          <w:p>
            <w:r>
              <w:t>5</w:t>
            </w:r>
          </w:p>
        </w:tc>
        <w:tc>
          <w:tcPr>
            <w:tcW w:type="dxa" w:w="1728"/>
          </w:tcPr>
          <w:p>
            <w:r>
              <w:t>Oficinas farmacia: interno vs formal</w:t>
            </w:r>
          </w:p>
        </w:tc>
        <w:tc>
          <w:tcPr>
            <w:tcW w:type="dxa" w:w="1728"/>
          </w:tcPr>
          <w:p>
            <w:r>
              <w:t>Documento trabajo</w:t>
            </w:r>
          </w:p>
        </w:tc>
        <w:tc>
          <w:tcPr>
            <w:tcW w:type="dxa" w:w="1728"/>
          </w:tcPr>
          <w:p>
            <w:r>
              <w:t>Respuesta formal</w:t>
            </w:r>
          </w:p>
        </w:tc>
        <w:tc>
          <w:tcPr>
            <w:tcW w:type="dxa" w:w="1728"/>
          </w:tcPr>
          <w:p>
            <w:r>
              <w:t>Arbitrariedad procedimental</w:t>
            </w:r>
          </w:p>
        </w:tc>
      </w:tr>
      <w:tr>
        <w:tc>
          <w:tcPr>
            <w:tcW w:type="dxa" w:w="1728"/>
          </w:tcPr>
          <w:p>
            <w:r>
              <w:t>6</w:t>
            </w:r>
          </w:p>
        </w:tc>
        <w:tc>
          <w:tcPr>
            <w:tcW w:type="dxa" w:w="1728"/>
          </w:tcPr>
          <w:p>
            <w:r>
              <w:t>DA 3ª vs rechazo alegaciones</w:t>
            </w:r>
          </w:p>
        </w:tc>
        <w:tc>
          <w:tcPr>
            <w:tcW w:type="dxa" w:w="1728"/>
          </w:tcPr>
          <w:p>
            <w:r>
              <w:t>DA 3ª</w:t>
            </w:r>
          </w:p>
        </w:tc>
        <w:tc>
          <w:tcPr>
            <w:tcW w:type="dxa" w:w="1728"/>
          </w:tcPr>
          <w:p>
            <w:r>
              <w:t>Rechazo formal</w:t>
            </w:r>
          </w:p>
        </w:tc>
        <w:tc>
          <w:tcPr>
            <w:tcW w:type="dxa" w:w="1728"/>
          </w:tcPr>
          <w:p>
            <w:r>
              <w:t>Inconsistencia interna</w:t>
            </w:r>
          </w:p>
        </w:tc>
      </w:tr>
      <w:tr>
        <w:tc>
          <w:tcPr>
            <w:tcW w:type="dxa" w:w="1728"/>
          </w:tcPr>
          <w:p>
            <w:r>
              <w:t>7</w:t>
            </w:r>
          </w:p>
        </w:tc>
        <w:tc>
          <w:tcPr>
            <w:tcW w:type="dxa" w:w="1728"/>
          </w:tcPr>
          <w:p>
            <w:r>
              <w:t>Epidiolex vs flores</w:t>
            </w:r>
          </w:p>
        </w:tc>
        <w:tc>
          <w:tcPr>
            <w:tcW w:type="dxa" w:w="1728"/>
          </w:tcPr>
          <w:p>
            <w:r>
              <w:t>AEMPS</w:t>
            </w:r>
          </w:p>
        </w:tc>
        <w:tc>
          <w:tcPr>
            <w:tcW w:type="dxa" w:w="1728"/>
          </w:tcPr>
          <w:p>
            <w:r>
              <w:t>RD</w:t>
            </w:r>
          </w:p>
        </w:tc>
        <w:tc>
          <w:tcPr>
            <w:tcW w:type="dxa" w:w="1728"/>
          </w:tcPr>
          <w:p>
            <w:r>
              <w:t>Discriminación morfológica</w:t>
            </w:r>
          </w:p>
        </w:tc>
      </w:tr>
      <w:tr>
        <w:tc>
          <w:tcPr>
            <w:tcW w:type="dxa" w:w="1728"/>
          </w:tcPr>
          <w:p>
            <w:r>
              <w:t>8</w:t>
            </w:r>
          </w:p>
        </w:tc>
        <w:tc>
          <w:tcPr>
            <w:tcW w:type="dxa" w:w="1728"/>
          </w:tcPr>
          <w:p>
            <w:r>
              <w:t>PNL 1% vs RD 0,2%</w:t>
            </w:r>
          </w:p>
        </w:tc>
        <w:tc>
          <w:tcPr>
            <w:tcW w:type="dxa" w:w="1728"/>
          </w:tcPr>
          <w:p>
            <w:r>
              <w:t>Congreso</w:t>
            </w:r>
          </w:p>
        </w:tc>
        <w:tc>
          <w:tcPr>
            <w:tcW w:type="dxa" w:w="1728"/>
          </w:tcPr>
          <w:p>
            <w:r>
              <w:t>Gobierno</w:t>
            </w:r>
          </w:p>
        </w:tc>
        <w:tc>
          <w:tcPr>
            <w:tcW w:type="dxa" w:w="1728"/>
          </w:tcPr>
          <w:p>
            <w:r>
              <w:t>Contradicción con mandato parlamentario</w:t>
            </w:r>
          </w:p>
        </w:tc>
      </w:tr>
      <w:tr>
        <w:tc>
          <w:tcPr>
            <w:tcW w:type="dxa" w:w="1728"/>
          </w:tcPr>
          <w:p>
            <w:r>
              <w:t>9</w:t>
            </w:r>
          </w:p>
        </w:tc>
        <w:tc>
          <w:tcPr>
            <w:tcW w:type="dxa" w:w="1728"/>
          </w:tcPr>
          <w:p>
            <w:r>
              <w:t>MAPA cita TJUE vs Sanidad ignora</w:t>
            </w:r>
          </w:p>
        </w:tc>
        <w:tc>
          <w:tcPr>
            <w:tcW w:type="dxa" w:w="1728"/>
          </w:tcPr>
          <w:p>
            <w:r>
              <w:t>MAPA/TJUE</w:t>
            </w:r>
          </w:p>
        </w:tc>
        <w:tc>
          <w:tcPr>
            <w:tcW w:type="dxa" w:w="1728"/>
          </w:tcPr>
          <w:p>
            <w:r>
              <w:t>Sanidad</w:t>
            </w:r>
          </w:p>
        </w:tc>
        <w:tc>
          <w:tcPr>
            <w:tcW w:type="dxa" w:w="1728"/>
          </w:tcPr>
          <w:p>
            <w:r>
              <w:t>Vulneración jurisprudencia</w:t>
            </w:r>
          </w:p>
        </w:tc>
      </w:tr>
      <w:tr>
        <w:tc>
          <w:tcPr>
            <w:tcW w:type="dxa" w:w="1728"/>
          </w:tcPr>
          <w:p>
            <w:r>
              <w:t>10</w:t>
            </w:r>
          </w:p>
        </w:tc>
        <w:tc>
          <w:tcPr>
            <w:tcW w:type="dxa" w:w="1728"/>
          </w:tcPr>
          <w:p>
            <w:r>
              <w:t>"No base normativa" vs establecer umbral</w:t>
            </w:r>
          </w:p>
        </w:tc>
        <w:tc>
          <w:tcPr>
            <w:tcW w:type="dxa" w:w="1728"/>
          </w:tcPr>
          <w:p>
            <w:r>
              <w:t>MAPA</w:t>
            </w:r>
          </w:p>
        </w:tc>
        <w:tc>
          <w:tcPr>
            <w:tcW w:type="dxa" w:w="1728"/>
          </w:tcPr>
          <w:p>
            <w:r>
              <w:t>RD</w:t>
            </w:r>
          </w:p>
        </w:tc>
        <w:tc>
          <w:tcPr>
            <w:tcW w:type="dxa" w:w="1728"/>
          </w:tcPr>
          <w:p>
            <w:r>
              <w:t>Extralimitación competencial</w:t>
            </w:r>
          </w:p>
        </w:tc>
      </w:tr>
    </w:tbl>
    <w:p/>
    <w:p>
      <w:r>
        <w:t>__________________________________________________</w:t>
      </w:r>
    </w:p>
    <w:p>
      <w:pPr>
        <w:pStyle w:val="Heading2"/>
      </w:pPr>
      <w:r>
        <w:t>Desarrollo de las contradicciones clave</w:t>
      </w:r>
    </w:p>
    <w:p>
      <w:pPr>
        <w:pStyle w:val="Heading3"/>
      </w:pPr>
      <w:r>
        <w:t>CONTRADICCIÓN 1: MAPA vs Sanidad — La batalla por el Art. 3.1</w:t>
      </w:r>
    </w:p>
    <w:p>
      <w:r/>
      <w:r>
        <w:rPr>
          <w:b/>
        </w:rPr>
        <w:t>Posición del MAPA (Informe 13/05/2025)</w:t>
      </w:r>
      <w:r>
        <w:t>:</w:t>
      </w:r>
    </w:p>
    <w:p>
      <w:pPr>
        <w:ind w:left="720" w:right="432"/>
      </w:pPr>
      <w:r>
        <w:rPr>
          <w:i/>
        </w:rPr>
        <w:t>"Se sugiere reconsiderar la conveniencia de recoger el apartado 1 del artículo 3, puesto que excede del ámbito de aplicación del real decreto, que es regular las condiciones aplicables a las fórmulas magistrales con extractos de cannabis, conforme claramente define su artículo 1 (Objeto y ámbito de aplicación)."</w:t>
      </w:r>
    </w:p>
    <w:p>
      <w:r/>
      <w:r>
        <w:rPr>
          <w:b/>
        </w:rPr>
        <w:t>Justificación del MAPA citando jurisprudencia del TJUE</w:t>
      </w:r>
      <w:r>
        <w:t>:</w:t>
      </w:r>
    </w:p>
    <w:p>
      <w:pPr>
        <w:ind w:left="720" w:right="432"/>
      </w:pPr>
      <w:r>
        <w:rPr>
          <w:i/>
        </w:rPr>
        <w:t>"La Sentencia del TJUE [Kanavape C-663/18] afirmó que 'los artículos 34 TFUE y 36 TFUE deben interpretarse en el sentido de que se oponen a una normativa nacional que prohíbe la comercialización del cannabidiol (CBD) legalmente producido en otro Estado miembro cuando se extrae de la planta Cannabis sativa en su totalidad y no solo de sus fibras y semillas, a menos que dicha normativa sea adecuada para garantizar la realización del objetivo de protección de la salud pública y no exceda de lo necesario para alcanzarlo'."</w:t>
      </w:r>
    </w:p>
    <w:p>
      <w:r/>
      <w:r>
        <w:rPr>
          <w:b/>
        </w:rPr>
        <w:t>Resultado</w:t>
      </w:r>
      <w:r>
        <w:t xml:space="preserve">: El propio Ministerio de Agricultura reconoció que el Art. 3.1 excedía el ámbito del RD. </w:t>
      </w:r>
      <w:r>
        <w:rPr>
          <w:b/>
        </w:rPr>
        <w:t>Esto es ORO para el recurso.</w:t>
      </w:r>
      <w:r/>
    </w:p>
    <w:p>
      <w:r>
        <w:t>__________________________________________________</w:t>
      </w:r>
    </w:p>
    <w:p>
      <w:pPr>
        <w:pStyle w:val="Heading3"/>
      </w:pPr>
      <w:r>
        <w:t>CONTRADICCIÓN 5: Oficinas de farmacia — Cambio de criterio interno</w:t>
      </w:r>
    </w:p>
    <w:p>
      <w:r/>
      <w:r>
        <w:rPr>
          <w:b/>
        </w:rPr>
        <w:t>Respuesta formal a alegantes</w:t>
      </w:r>
      <w:r>
        <w:t>:</w:t>
      </w:r>
    </w:p>
    <w:p>
      <w:pPr>
        <w:ind w:left="720" w:right="432"/>
      </w:pPr>
      <w:r>
        <w:rPr>
          <w:i/>
        </w:rPr>
        <w:t>"Las indicaciones propuestas requieren un seguimiento farmacoterapéutico, que se realiza mayoritariamente en ámbito hospitalario." → RECHAZADA</w:t>
      </w:r>
    </w:p>
    <w:p>
      <w:r/>
      <w:r>
        <w:rPr>
          <w:b/>
        </w:rPr>
        <w:t>Documento de trabajo interno del Ministerio</w:t>
      </w:r>
      <w:r>
        <w:t>:</w:t>
      </w:r>
    </w:p>
    <w:p>
      <w:pPr>
        <w:ind w:left="720" w:right="432"/>
      </w:pPr>
      <w:r>
        <w:rPr>
          <w:i/>
        </w:rPr>
        <w:t>"OK a vuestro argumento. Pero si consideráis que debe estar recogida la posibilidad de que las OF puedan dispensar estos preparados en un futuro se podría (valoradlo) en una disposición adicional..."</w:t>
      </w:r>
    </w:p>
    <w:p>
      <w:r/>
      <w:r>
        <w:rPr>
          <w:b/>
        </w:rPr>
        <w:t>Contradicción</w:t>
      </w:r>
      <w:r>
        <w:t>: Sanidad reconoció internamente que el argumento era válido, pero rechazó formalmente las alegaciones.</w:t>
      </w:r>
    </w:p>
    <w:p>
      <w:r>
        <w:t>__________________________________________________</w:t>
      </w:r>
    </w:p>
    <w:p>
      <w:pPr>
        <w:pStyle w:val="Heading3"/>
      </w:pPr>
      <w:r>
        <w:t>CONTRADICCIÓN 8: PNL 161/004332 vs RD</w:t>
      </w:r>
    </w:p>
    <w:p>
      <w:r/>
      <w:r>
        <w:rPr>
          <w:b/>
        </w:rPr>
        <w:t>Mandato del Congreso de los Diputados (enero 2023)</w:t>
      </w:r>
      <w:r>
        <w:t>:</w:t>
      </w:r>
    </w:p>
    <w:p>
      <w:pPr>
        <w:ind w:left="720" w:right="432"/>
      </w:pPr>
      <w:r>
        <w:rPr>
          <w:i/>
        </w:rPr>
        <w:t>"Establecer en una futura regulación del cannabis no psicoactivo la limitación del porcentaje de THC al 1%, asegurando de esta forma la ausencia de efectos estupefacientes."</w:t>
      </w:r>
    </w:p>
    <w:p>
      <w:r/>
      <w:r>
        <w:rPr>
          <w:b/>
        </w:rPr>
        <w:t>RD de Cannabis Medicinal</w:t>
      </w:r>
      <w:r>
        <w:t xml:space="preserve">: Umbral del </w:t>
      </w:r>
      <w:r>
        <w:rPr>
          <w:b/>
        </w:rPr>
        <w:t>0,2%</w:t>
      </w:r>
      <w:r>
        <w:t xml:space="preserve"> THC.</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Fuente</w:t>
            </w:r>
          </w:p>
        </w:tc>
        <w:tc>
          <w:tcPr>
            <w:tcW w:type="dxa" w:w="4320"/>
          </w:tcPr>
          <w:p>
            <w:r>
              <w:rPr>
                <w:b/>
              </w:rPr>
              <w:t>Umbral THC</w:t>
            </w:r>
          </w:p>
        </w:tc>
      </w:tr>
      <w:tr>
        <w:tc>
          <w:tcPr>
            <w:tcW w:type="dxa" w:w="4320"/>
          </w:tcPr>
          <w:p>
            <w:r>
              <w:t>Congreso de los Diputados</w:t>
            </w:r>
          </w:p>
        </w:tc>
        <w:tc>
          <w:tcPr>
            <w:tcW w:type="dxa" w:w="4320"/>
          </w:tcPr>
          <w:p>
            <w:r>
              <w:t>1%</w:t>
            </w:r>
          </w:p>
        </w:tc>
      </w:tr>
      <w:tr>
        <w:tc>
          <w:tcPr>
            <w:tcW w:type="dxa" w:w="4320"/>
          </w:tcPr>
          <w:p>
            <w:r>
              <w:t>RD de Cannabis Medicinal</w:t>
            </w:r>
          </w:p>
        </w:tc>
        <w:tc>
          <w:tcPr>
            <w:tcW w:type="dxa" w:w="4320"/>
          </w:tcPr>
          <w:p>
            <w:r>
              <w:t>0,2%</w:t>
            </w:r>
          </w:p>
        </w:tc>
      </w:tr>
    </w:tbl>
    <w:p/>
    <w:p>
      <w:r/>
      <w:r>
        <w:rPr>
          <w:b/>
        </w:rPr>
        <w:t>El Gobierno contradice su propio mandato parlamentario en un factor de 5x.</w:t>
      </w:r>
      <w:r/>
    </w:p>
    <w:p>
      <w:r>
        <w:t>__________________________________________________</w:t>
      </w:r>
    </w:p>
    <w:p>
      <w:pPr>
        <w:pStyle w:val="Title"/>
        <w:jc w:val="center"/>
      </w:pPr>
      <w:r>
        <w:t>3. LOS DOS ESCALONES: ESTRATEGIA JURÍDICA</w:t>
      </w:r>
    </w:p>
    <w:p>
      <w:pPr>
        <w:ind w:left="432"/>
      </w:pPr>
      <w:r>
        <w:rPr>
          <w:rFonts w:ascii="Consolas" w:hAnsi="Consolas"/>
          <w:sz w:val="18"/>
        </w:rPr>
        <w:t>╔═══════════════════════════════════════════════════════════════════════════╗</w:t>
        <w:br/>
      </w:r>
      <w:r>
        <w:rPr>
          <w:rFonts w:ascii="Consolas" w:hAnsi="Consolas"/>
          <w:sz w:val="18"/>
        </w:rPr>
        <w:t>║                    ESTRUCTURA ESTRATÉGICA DEL RECURSO                     ║</w:t>
        <w:br/>
      </w:r>
      <w:r>
        <w:rPr>
          <w:rFonts w:ascii="Consolas" w:hAnsi="Consolas"/>
          <w:sz w:val="18"/>
        </w:rPr>
        <w:t>╠═══════════════════════════════════════════════════════════════════════════╣</w:t>
        <w:br/>
      </w:r>
      <w:r>
        <w:rPr>
          <w:rFonts w:ascii="Consolas" w:hAnsi="Consolas"/>
          <w:sz w:val="18"/>
        </w:rPr>
        <w:t>║                                                                            ║</w:t>
        <w:br/>
      </w:r>
      <w:r>
        <w:rPr>
          <w:rFonts w:ascii="Consolas" w:hAnsi="Consolas"/>
          <w:sz w:val="18"/>
        </w:rPr>
        <w:t>║  ┌─────────────────────────────────────────────────────────────────────┐  ║</w:t>
        <w:br/>
      </w:r>
      <w:r>
        <w:rPr>
          <w:rFonts w:ascii="Consolas" w:hAnsi="Consolas"/>
          <w:sz w:val="18"/>
        </w:rPr>
        <w:t>║  │  ESCALÓN 1: CÁÑAMO INDUSTRIAL (flores &lt;0,2-0,3% THC)               │  ║</w:t>
        <w:br/>
      </w:r>
      <w:r>
        <w:rPr>
          <w:rFonts w:ascii="Consolas" w:hAnsi="Consolas"/>
          <w:sz w:val="18"/>
        </w:rPr>
        <w:t>║  │                                                                      │  ║</w:t>
        <w:br/>
      </w:r>
      <w:r>
        <w:rPr>
          <w:rFonts w:ascii="Consolas" w:hAnsi="Consolas"/>
          <w:sz w:val="18"/>
        </w:rPr>
        <w:t>║  │  OBJETIVO: Sin licencia de nada. Es PRODUCTO AGRÍCOLA.              │  ║</w:t>
        <w:br/>
      </w:r>
      <w:r>
        <w:rPr>
          <w:rFonts w:ascii="Consolas" w:hAnsi="Consolas"/>
          <w:sz w:val="18"/>
        </w:rPr>
        <w:t>║  │                                                                      │  ║</w:t>
        <w:br/>
      </w:r>
      <w:r>
        <w:rPr>
          <w:rFonts w:ascii="Consolas" w:hAnsi="Consolas"/>
          <w:sz w:val="18"/>
        </w:rPr>
        <w:t>║  │  ARGUMENTOS: PAC/OCM, Kanavape, COM(2025)553, 7 Estados TPD        │  ║</w:t>
        <w:br/>
      </w:r>
      <w:r>
        <w:rPr>
          <w:rFonts w:ascii="Consolas" w:hAnsi="Consolas"/>
          <w:sz w:val="18"/>
        </w:rPr>
        <w:t>║  │                                                                      │  ║</w:t>
        <w:br/>
      </w:r>
      <w:r>
        <w:rPr>
          <w:rFonts w:ascii="Consolas" w:hAnsi="Consolas"/>
          <w:sz w:val="18"/>
        </w:rPr>
        <w:t>║  │  ⚠️  NO USAR EVANS MEDICAL COMO ARGUMENTO PRINCIPAL                │  ║</w:t>
        <w:br/>
      </w:r>
      <w:r>
        <w:rPr>
          <w:rFonts w:ascii="Consolas" w:hAnsi="Consolas"/>
          <w:sz w:val="18"/>
        </w:rPr>
        <w:t>║  └─────────────────────────────────────────────────────────────────────┘  ║</w:t>
        <w:br/>
      </w:r>
      <w:r>
        <w:rPr>
          <w:rFonts w:ascii="Consolas" w:hAnsi="Consolas"/>
          <w:sz w:val="18"/>
        </w:rPr>
        <w:t>║                                    │                                       ║</w:t>
        <w:br/>
      </w:r>
      <w:r>
        <w:rPr>
          <w:rFonts w:ascii="Consolas" w:hAnsi="Consolas"/>
          <w:sz w:val="18"/>
        </w:rPr>
        <w:t>║                                    ▼                                       ║</w:t>
        <w:br/>
      </w:r>
      <w:r>
        <w:rPr>
          <w:rFonts w:ascii="Consolas" w:hAnsi="Consolas"/>
          <w:sz w:val="18"/>
        </w:rPr>
        <w:t>║  ┌─────────────────────────────────────────────────────────────────────┐  ║</w:t>
        <w:br/>
      </w:r>
      <w:r>
        <w:rPr>
          <w:rFonts w:ascii="Consolas" w:hAnsi="Consolas"/>
          <w:sz w:val="18"/>
        </w:rPr>
        <w:t>║  │  ESCALÓN 2: CANNABIS MEDICINAL (lo que NO es cáñamo industrial)    │  ║</w:t>
        <w:br/>
      </w:r>
      <w:r>
        <w:rPr>
          <w:rFonts w:ascii="Consolas" w:hAnsi="Consolas"/>
          <w:sz w:val="18"/>
        </w:rPr>
        <w:t>║  │                                                                      │  ║</w:t>
        <w:br/>
      </w:r>
      <w:r>
        <w:rPr>
          <w:rFonts w:ascii="Consolas" w:hAnsi="Consolas"/>
          <w:sz w:val="18"/>
        </w:rPr>
        <w:t>║  │  OBJETIVO: Licencia de MEDICAMENTOS, NO de ESTUPEFACIENTES.         │  ║</w:t>
        <w:br/>
      </w:r>
      <w:r>
        <w:rPr>
          <w:rFonts w:ascii="Consolas" w:hAnsi="Consolas"/>
          <w:sz w:val="18"/>
        </w:rPr>
        <w:t>║  │                                                                      │  ║</w:t>
        <w:br/>
      </w:r>
      <w:r>
        <w:rPr>
          <w:rFonts w:ascii="Consolas" w:hAnsi="Consolas"/>
          <w:sz w:val="18"/>
        </w:rPr>
        <w:t>║  │  ARGUMENTOS: EVANS MEDICAL + Reforma alemana 2024                  │  ║</w:t>
        <w:br/>
      </w:r>
      <w:r>
        <w:rPr>
          <w:rFonts w:ascii="Consolas" w:hAnsi="Consolas"/>
          <w:sz w:val="18"/>
        </w:rPr>
        <w:t>║  │                                                                      │  ║</w:t>
        <w:br/>
      </w:r>
      <w:r>
        <w:rPr>
          <w:rFonts w:ascii="Consolas" w:hAnsi="Consolas"/>
          <w:sz w:val="18"/>
        </w:rPr>
        <w:t>║  │  ✓ AQUÍ SÍ ENTRA EVANS MEDICAL COMO ARGUMENTO PRINCIPAL            │  ║</w:t>
        <w:br/>
      </w:r>
      <w:r>
        <w:rPr>
          <w:rFonts w:ascii="Consolas" w:hAnsi="Consolas"/>
          <w:sz w:val="18"/>
        </w:rPr>
        <w:t>║  └─────────────────────────────────────────────────────────────────────┘  ║</w:t>
        <w:br/>
      </w:r>
      <w:r>
        <w:rPr>
          <w:rFonts w:ascii="Consolas" w:hAnsi="Consolas"/>
          <w:sz w:val="18"/>
        </w:rPr>
        <w:t>║                                    │                                       ║</w:t>
        <w:br/>
      </w:r>
      <w:r>
        <w:rPr>
          <w:rFonts w:ascii="Consolas" w:hAnsi="Consolas"/>
          <w:sz w:val="18"/>
        </w:rPr>
        <w:t>║                                    ▼                                       ║</w:t>
        <w:br/>
      </w:r>
      <w:r>
        <w:rPr>
          <w:rFonts w:ascii="Consolas" w:hAnsi="Consolas"/>
          <w:sz w:val="18"/>
        </w:rPr>
        <w:t>║  ┌─────────────────────────────────────────────────────────────────────┐  ║</w:t>
        <w:br/>
      </w:r>
      <w:r>
        <w:rPr>
          <w:rFonts w:ascii="Consolas" w:hAnsi="Consolas"/>
          <w:sz w:val="18"/>
        </w:rPr>
        <w:t>║  │  REFUERZO (SUBSIDIARIO): Evans Medical para Escalón 1              │  ║</w:t>
        <w:br/>
      </w:r>
      <w:r>
        <w:rPr>
          <w:rFonts w:ascii="Consolas" w:hAnsi="Consolas"/>
          <w:sz w:val="18"/>
        </w:rPr>
        <w:t>║  │                                                                      │  ║</w:t>
        <w:br/>
      </w:r>
      <w:r>
        <w:rPr>
          <w:rFonts w:ascii="Consolas" w:hAnsi="Consolas"/>
          <w:sz w:val="18"/>
        </w:rPr>
        <w:t>║  │  SI la Administración insiste en que el cáñamo es estupefaciente,  │  ║</w:t>
        <w:br/>
      </w:r>
      <w:r>
        <w:rPr>
          <w:rFonts w:ascii="Consolas" w:hAnsi="Consolas"/>
          <w:sz w:val="18"/>
        </w:rPr>
        <w:t>║  │  ENTONCES Evans Medical también aplica aquí: 7 Estados lo          │  ║</w:t>
        <w:br/>
      </w:r>
      <w:r>
        <w:rPr>
          <w:rFonts w:ascii="Consolas" w:hAnsi="Consolas"/>
          <w:sz w:val="18"/>
        </w:rPr>
        <w:t>║  │  comercializan libremente bajo TPD.                                 │  ║</w:t>
        <w:br/>
      </w:r>
      <w:r>
        <w:rPr>
          <w:rFonts w:ascii="Consolas" w:hAnsi="Consolas"/>
          <w:sz w:val="18"/>
        </w:rPr>
        <w:t>║  └─────────────────────────────────────────────────────────────────────┘  ║</w:t>
        <w:br/>
      </w:r>
      <w:r>
        <w:rPr>
          <w:rFonts w:ascii="Consolas" w:hAnsi="Consolas"/>
          <w:sz w:val="18"/>
        </w:rPr>
        <w:t>╚═══════════════════════════════════════════════════════════════════════════╝</w:t>
        <w:br/>
      </w:r>
    </w:p>
    <w:p>
      <w:r>
        <w:t>__________________________________________________</w:t>
      </w:r>
    </w:p>
    <w:p>
      <w:pPr>
        <w:pStyle w:val="Heading1"/>
      </w:pPr>
      <w:r>
        <w:t>3.1 ESCALÓN 1: Cáñamo industrial - Producto agrícola sin licencia</w:t>
      </w:r>
    </w:p>
    <w:p>
      <w:pPr>
        <w:pStyle w:val="Heading2"/>
      </w:pPr>
      <w:r>
        <w:t>Objetivo</w:t>
      </w:r>
    </w:p>
    <w:p>
      <w:r>
        <w:t xml:space="preserve">Las flores de cáñamo industrial (&lt;1% THC, variedades certificadas) son </w:t>
      </w:r>
      <w:r>
        <w:rPr>
          <w:b/>
        </w:rPr>
        <w:t>PRODUCTO AGRÍCOLA DE LIBRE CIRCULACIÓN EN LA UE</w:t>
      </w:r>
      <w:r>
        <w:t>. No requieren licencia de estupefacientes ni de psicotrópicos.</w:t>
      </w:r>
    </w:p>
    <w:p>
      <w:pPr>
        <w:pStyle w:val="Heading2"/>
      </w:pPr>
      <w:r>
        <w:t>Argumentos principales — DERECHO DE LA UE (no CN61)</w:t>
      </w:r>
    </w:p>
    <w:p>
      <w:r>
        <w:t xml:space="preserve">1. </w:t>
      </w:r>
      <w:r>
        <w:rPr>
          <w:b/>
        </w:rPr>
        <w:t>Test de proporcionalidad (Arts. 34-36 TFUE)</w:t>
      </w:r>
      <w:r>
        <w:t>: 18+ jurisdicciones operan con 1% THC sin incidentes.</w:t>
      </w:r>
    </w:p>
    <w:p>
      <w:r>
        <w:t xml:space="preserve">2. </w:t>
      </w:r>
      <w:r>
        <w:rPr>
          <w:b/>
        </w:rPr>
        <w:t>PAC / OCM</w:t>
      </w:r>
      <w:r>
        <w:t>: Las flores de cáñamo son producto agrícola (código CN 1211 90 86). La UE las SUBVENCIONA.</w:t>
      </w:r>
    </w:p>
    <w:p>
      <w:r>
        <w:t xml:space="preserve">3. </w:t>
      </w:r>
      <w:r>
        <w:rPr>
          <w:b/>
        </w:rPr>
        <w:t>COM(2025) 553</w:t>
      </w:r>
      <w:r>
        <w:t xml:space="preserve">: La Comisión reconoce expresamente </w:t>
      </w:r>
      <w:r>
        <w:rPr>
          <w:i/>
        </w:rPr>
        <w:t>"all other parts of the hemp plant"</w:t>
      </w:r>
      <w:r>
        <w:t xml:space="preserve"> como comercializables.</w:t>
      </w:r>
    </w:p>
    <w:p>
      <w:r>
        <w:t xml:space="preserve">4. </w:t>
      </w:r>
      <w:r>
        <w:rPr>
          <w:b/>
        </w:rPr>
        <w:t>Kanavape (C-663/18)</w:t>
      </w:r>
      <w:r>
        <w:t>: Productos sin efectos psicoactivos gozan de libre circulación.</w:t>
      </w:r>
    </w:p>
    <w:p>
      <w:r>
        <w:t xml:space="preserve">5. </w:t>
      </w:r>
      <w:r>
        <w:rPr>
          <w:b/>
        </w:rPr>
        <w:t>Supresión Art. 3.1</w:t>
      </w:r>
      <w:r>
        <w:t>: El propio MAPA consiguió eliminar la declaración "todo cannabis = estupefaciente".</w:t>
      </w:r>
    </w:p>
    <w:p>
      <w:r>
        <w:t>__________________________________________________</w:t>
      </w:r>
    </w:p>
    <w:p>
      <w:pPr>
        <w:pStyle w:val="Heading1"/>
      </w:pPr>
      <w:r>
        <w:t>3.2 ESCALÓN 2: Cannabis medicinal - Licencia de medicamentos, NO estupefacientes</w:t>
      </w:r>
    </w:p>
    <w:p>
      <w:pPr>
        <w:pStyle w:val="Heading2"/>
      </w:pPr>
      <w:r>
        <w:t>Objetivo</w:t>
      </w:r>
    </w:p>
    <w:p>
      <w:r>
        <w:t xml:space="preserve">Para el cannabis que </w:t>
      </w:r>
      <w:r>
        <w:rPr>
          <w:b/>
        </w:rPr>
        <w:t>SÍ</w:t>
      </w:r>
      <w:r>
        <w:t xml:space="preserve"> es medicinal, el régimen aplicable debe ser el de </w:t>
      </w:r>
      <w:r>
        <w:rPr>
          <w:b/>
        </w:rPr>
        <w:t>MEDICAMENTOS ORDINARIOS</w:t>
      </w:r>
      <w:r>
        <w:t>, no el de estupefacientes ni psicotrópicos.</w:t>
      </w:r>
    </w:p>
    <w:p>
      <w:pPr>
        <w:pStyle w:val="Heading2"/>
      </w:pPr>
      <w:r>
        <w:t>Argumentos principales (AQUÍ SÍ entra Evans Medical)</w:t>
      </w:r>
    </w:p>
    <w:p>
      <w:r>
        <w:t xml:space="preserve">1. </w:t>
      </w:r>
      <w:r>
        <w:rPr>
          <w:b/>
        </w:rPr>
        <w:t>Reforma alemana (CanG 2024)</w:t>
      </w:r>
      <w:r>
        <w:t>: Alemania ha eliminado el cannabis de la Ley de Estupefacientes (BtMG)</w:t>
      </w:r>
    </w:p>
    <w:p>
      <w:r>
        <w:t xml:space="preserve">2. </w:t>
      </w:r>
      <w:r>
        <w:rPr>
          <w:b/>
        </w:rPr>
        <w:t>Evans Medical (C-324/93)</w:t>
      </w:r>
      <w:r>
        <w:t>: El Art. 34 TFUE aplica a estupefacientes comercializables (apt. 20); si el Convenio permite pero no obliga, abstenerse (apt. 32)</w:t>
      </w:r>
    </w:p>
    <w:p>
      <w:r>
        <w:t xml:space="preserve">3. </w:t>
      </w:r>
      <w:r>
        <w:rPr>
          <w:b/>
        </w:rPr>
        <w:t>Libre circulación (Arts. 34-36 TFUE)</w:t>
      </w:r>
      <w:r>
        <w:t>: España no puede reclasificar unilateralmente como estupefaciente lo que Alemania comercializa como medicamento ordinario</w:t>
      </w:r>
    </w:p>
    <w:p>
      <w:r>
        <w:t>__________________________________________________</w:t>
      </w:r>
    </w:p>
    <w:p>
      <w:pPr>
        <w:pStyle w:val="Title"/>
        <w:jc w:val="center"/>
      </w:pPr>
      <w:r>
        <w:t>4. DESARROLLO DEL ESCALÓN 1: CÁÑAMO INDUSTRIAL</w:t>
      </w:r>
    </w:p>
    <w:p>
      <w:pPr>
        <w:pStyle w:val="Heading1"/>
      </w:pPr>
      <w:r>
        <w:t>4.1 El test de proporcionalidad: inversión de la carga de la prueba</w:t>
      </w:r>
    </w:p>
    <w:p>
      <w:pPr>
        <w:pStyle w:val="Heading2"/>
      </w:pPr>
      <w:r>
        <w:t>La evidencia empírica: 15+ años sin problemas de desvío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Jurisdicción</w:t>
            </w:r>
          </w:p>
        </w:tc>
        <w:tc>
          <w:tcPr>
            <w:tcW w:type="dxa" w:w="2160"/>
          </w:tcPr>
          <w:p>
            <w:r>
              <w:rPr>
                <w:b/>
              </w:rPr>
              <w:t>Umbral THC</w:t>
            </w:r>
          </w:p>
        </w:tc>
        <w:tc>
          <w:tcPr>
            <w:tcW w:type="dxa" w:w="2160"/>
          </w:tcPr>
          <w:p>
            <w:r>
              <w:rPr>
                <w:b/>
              </w:rPr>
              <w:t>Vigencia</w:t>
            </w:r>
          </w:p>
        </w:tc>
        <w:tc>
          <w:tcPr>
            <w:tcW w:type="dxa" w:w="2160"/>
          </w:tcPr>
          <w:p>
            <w:r>
              <w:rPr>
                <w:b/>
              </w:rPr>
              <w:t>Incidentes de desvío</w:t>
            </w:r>
          </w:p>
        </w:tc>
      </w:tr>
      <w:tr>
        <w:tc>
          <w:tcPr>
            <w:tcW w:type="dxa" w:w="2160"/>
          </w:tcPr>
          <w:p>
            <w:r>
              <w:t>Suiza</w:t>
            </w:r>
          </w:p>
        </w:tc>
        <w:tc>
          <w:tcPr>
            <w:tcW w:type="dxa" w:w="2160"/>
          </w:tcPr>
          <w:p>
            <w:r>
              <w:t>1,0%</w:t>
            </w:r>
          </w:p>
        </w:tc>
        <w:tc>
          <w:tcPr>
            <w:tcW w:type="dxa" w:w="2160"/>
          </w:tcPr>
          <w:p>
            <w:r>
              <w:t>2011</w:t>
            </w:r>
          </w:p>
        </w:tc>
        <w:tc>
          <w:tcPr>
            <w:tcW w:type="dxa" w:w="2160"/>
          </w:tcPr>
          <w:p>
            <w:r>
              <w:t>Ninguno reportado</w:t>
            </w:r>
          </w:p>
        </w:tc>
      </w:tr>
      <w:tr>
        <w:tc>
          <w:tcPr>
            <w:tcW w:type="dxa" w:w="2160"/>
          </w:tcPr>
          <w:p>
            <w:r>
              <w:t>Luxemburgo</w:t>
            </w:r>
          </w:p>
        </w:tc>
        <w:tc>
          <w:tcPr>
            <w:tcW w:type="dxa" w:w="2160"/>
          </w:tcPr>
          <w:p>
            <w:r>
              <w:t>1,0%</w:t>
            </w:r>
          </w:p>
        </w:tc>
        <w:tc>
          <w:tcPr>
            <w:tcW w:type="dxa" w:w="2160"/>
          </w:tcPr>
          <w:p>
            <w:r>
              <w:t>2023</w:t>
            </w:r>
          </w:p>
        </w:tc>
        <w:tc>
          <w:tcPr>
            <w:tcW w:type="dxa" w:w="2160"/>
          </w:tcPr>
          <w:p>
            <w:r>
              <w:t>Ninguno reportado</w:t>
            </w:r>
          </w:p>
        </w:tc>
      </w:tr>
      <w:tr>
        <w:tc>
          <w:tcPr>
            <w:tcW w:type="dxa" w:w="2160"/>
          </w:tcPr>
          <w:p>
            <w:r>
              <w:t>Rep. Checa</w:t>
            </w:r>
          </w:p>
        </w:tc>
        <w:tc>
          <w:tcPr>
            <w:tcW w:type="dxa" w:w="2160"/>
          </w:tcPr>
          <w:p>
            <w:r>
              <w:t>1,0%</w:t>
            </w:r>
          </w:p>
        </w:tc>
        <w:tc>
          <w:tcPr>
            <w:tcW w:type="dxa" w:w="2160"/>
          </w:tcPr>
          <w:p>
            <w:r>
              <w:t>2025</w:t>
            </w:r>
          </w:p>
        </w:tc>
        <w:tc>
          <w:tcPr>
            <w:tcW w:type="dxa" w:w="2160"/>
          </w:tcPr>
          <w:p>
            <w:r>
              <w:t>Ninguno reportado</w:t>
            </w:r>
          </w:p>
        </w:tc>
      </w:tr>
      <w:tr>
        <w:tc>
          <w:tcPr>
            <w:tcW w:type="dxa" w:w="2160"/>
          </w:tcPr>
          <w:p>
            <w:r>
              <w:t>Uruguay</w:t>
            </w:r>
          </w:p>
        </w:tc>
        <w:tc>
          <w:tcPr>
            <w:tcW w:type="dxa" w:w="2160"/>
          </w:tcPr>
          <w:p>
            <w:r>
              <w:t>1,0%</w:t>
            </w:r>
          </w:p>
        </w:tc>
        <w:tc>
          <w:tcPr>
            <w:tcW w:type="dxa" w:w="2160"/>
          </w:tcPr>
          <w:p>
            <w:r>
              <w:t>2013</w:t>
            </w:r>
          </w:p>
        </w:tc>
        <w:tc>
          <w:tcPr>
            <w:tcW w:type="dxa" w:w="2160"/>
          </w:tcPr>
          <w:p>
            <w:r>
              <w:t>Ninguno reportado</w:t>
            </w:r>
          </w:p>
        </w:tc>
      </w:tr>
      <w:tr>
        <w:tc>
          <w:tcPr>
            <w:tcW w:type="dxa" w:w="2160"/>
          </w:tcPr>
          <w:p>
            <w:r>
              <w:t>Colombia</w:t>
            </w:r>
          </w:p>
        </w:tc>
        <w:tc>
          <w:tcPr>
            <w:tcW w:type="dxa" w:w="2160"/>
          </w:tcPr>
          <w:p>
            <w:r>
              <w:t>1,0%</w:t>
            </w:r>
          </w:p>
        </w:tc>
        <w:tc>
          <w:tcPr>
            <w:tcW w:type="dxa" w:w="2160"/>
          </w:tcPr>
          <w:p>
            <w:r>
              <w:t>2016</w:t>
            </w:r>
          </w:p>
        </w:tc>
        <w:tc>
          <w:tcPr>
            <w:tcW w:type="dxa" w:w="2160"/>
          </w:tcPr>
          <w:p>
            <w:r>
              <w:t>Ninguno reportado</w:t>
            </w:r>
          </w:p>
        </w:tc>
      </w:tr>
      <w:tr>
        <w:tc>
          <w:tcPr>
            <w:tcW w:type="dxa" w:w="2160"/>
          </w:tcPr>
          <w:p>
            <w:r>
              <w:t>Argentina</w:t>
            </w:r>
          </w:p>
        </w:tc>
        <w:tc>
          <w:tcPr>
            <w:tcW w:type="dxa" w:w="2160"/>
          </w:tcPr>
          <w:p>
            <w:r>
              <w:t>1,0%</w:t>
            </w:r>
          </w:p>
        </w:tc>
        <w:tc>
          <w:tcPr>
            <w:tcW w:type="dxa" w:w="2160"/>
          </w:tcPr>
          <w:p>
            <w:r>
              <w:t>2022</w:t>
            </w:r>
          </w:p>
        </w:tc>
        <w:tc>
          <w:tcPr>
            <w:tcW w:type="dxa" w:w="2160"/>
          </w:tcPr>
          <w:p>
            <w:r>
              <w:t>Ninguno reportado</w:t>
            </w:r>
          </w:p>
        </w:tc>
      </w:tr>
      <w:tr>
        <w:tc>
          <w:tcPr>
            <w:tcW w:type="dxa" w:w="2160"/>
          </w:tcPr>
          <w:p>
            <w:r>
              <w:t>Sudáfrica</w:t>
            </w:r>
          </w:p>
        </w:tc>
        <w:tc>
          <w:tcPr>
            <w:tcW w:type="dxa" w:w="2160"/>
          </w:tcPr>
          <w:p>
            <w:r>
              <w:t>2,0%</w:t>
            </w:r>
          </w:p>
        </w:tc>
        <w:tc>
          <w:tcPr>
            <w:tcW w:type="dxa" w:w="2160"/>
          </w:tcPr>
          <w:p>
            <w:r>
              <w:t>2025</w:t>
            </w:r>
          </w:p>
        </w:tc>
        <w:tc>
          <w:tcPr>
            <w:tcW w:type="dxa" w:w="2160"/>
          </w:tcPr>
          <w:p>
            <w:r>
              <w:t>Ninguno reportado</w:t>
            </w:r>
          </w:p>
        </w:tc>
      </w:tr>
    </w:tbl>
    <w:p/>
    <w:p>
      <w:r>
        <w:t>__________________________________________________</w:t>
      </w:r>
    </w:p>
    <w:p>
      <w:pPr>
        <w:pStyle w:val="Heading1"/>
      </w:pPr>
      <w:r>
        <w:t>4.2 El origen del umbral 0,3%: criterio taxonómico arbitrario</w:t>
      </w:r>
    </w:p>
    <w:p>
      <w:r/>
      <w:r>
        <w:rPr>
          <w:b/>
        </w:rPr>
        <w:t>Fuente primaria</w:t>
      </w:r>
      <w:r>
        <w:t>: Small &amp; Cronquist (1976)</w:t>
      </w:r>
    </w:p>
    <w:p>
      <w:pPr>
        <w:ind w:left="720" w:right="432"/>
      </w:pPr>
      <w:r>
        <w:rPr>
          <w:i/>
        </w:rPr>
        <w:t>"It will be noted that we arbitrarily adopt a concentration of 0.3% Δ9-THC (dry weight basis) in young, vigorous leaves of relatively mature plants as a guide to discriminating two classes of plants."</w:t>
      </w:r>
    </w:p>
    <w:p>
      <w:pPr>
        <w:pStyle w:val="Heading2"/>
      </w:pPr>
      <w:r>
        <w:t>El propio autor dice que 1% sería más adecuado</w:t>
      </w:r>
    </w:p>
    <w:p>
      <w:r/>
      <w:r>
        <w:rPr>
          <w:b/>
        </w:rPr>
        <w:t>Declaración del Dr. Small (2021)</w:t>
      </w:r>
      <w:r>
        <w:t>:</w:t>
      </w:r>
    </w:p>
    <w:p>
      <w:pPr>
        <w:ind w:left="720" w:right="432"/>
      </w:pPr>
      <w:r>
        <w:rPr>
          <w:i/>
        </w:rPr>
        <w:t>"The 0.3% criterion for THC content in the inflorescence of the plant, which I originated in 1976 on strictly taxonomic considerations, is a hindrance to the industry today."  "It is well established that the 'abuse' potential [...] in practical terms requires a concentration of approximately 1% THC."  "I have come to the opinion that 1% THC would be a more suitable criterion."</w:t>
      </w:r>
    </w:p>
    <w:p>
      <w:r>
        <w:t>__________________________________________________</w:t>
      </w:r>
    </w:p>
    <w:p>
      <w:pPr>
        <w:pStyle w:val="Heading1"/>
      </w:pPr>
      <w:r>
        <w:t>4.3 Kanavape (C-663/18): el precedente de libre circulación</w:t>
      </w:r>
    </w:p>
    <w:p>
      <w:pPr>
        <w:ind w:left="720" w:right="432"/>
      </w:pPr>
      <w:r>
        <w:rPr>
          <w:i/>
        </w:rPr>
        <w:t>"El CBD controvertido no parece tener efectos psicotrópicos ni efectos nocivos para la salud humana [...]. Por consiguiente, no puede considerarse un «estupefaciente»." — TJUE C-663/18, apartado 72</w:t>
      </w:r>
    </w:p>
    <w:p>
      <w:r>
        <w:t>__________________________________________________</w:t>
      </w:r>
    </w:p>
    <w:p>
      <w:pPr>
        <w:pStyle w:val="Heading1"/>
      </w:pPr>
      <w:r>
        <w:t>4.4 La Nueva PAC y la OCM: el marco jurídico de la UE</w:t>
      </w:r>
    </w:p>
    <w:p>
      <w:pPr>
        <w:pStyle w:val="Heading2"/>
      </w:pPr>
      <w:r>
        <w:t>Considerando 21 de COM(2025) 553:</w:t>
      </w:r>
    </w:p>
    <w:p>
      <w:pPr>
        <w:ind w:left="720" w:right="432"/>
      </w:pPr>
      <w:r>
        <w:rPr>
          <w:i/>
        </w:rPr>
        <w:t>"Non-psychoactive products as cannabidiol derived from hemp varieties with a low Δ9-tetrahydrocannabinol content are not to be considered narcotic drugs under these conventions."</w:t>
      </w:r>
    </w:p>
    <w:p>
      <w:r/>
      <w:r>
        <w:rPr>
          <w:b/>
        </w:rPr>
        <w:t>La propia Comisión Europea dice</w:t>
      </w:r>
      <w:r>
        <w:t xml:space="preserve">: productos no psicoactivos de cáñamo </w:t>
      </w:r>
      <w:r>
        <w:rPr>
          <w:b/>
        </w:rPr>
        <w:t>NO son estupefacientes</w:t>
      </w:r>
      <w:r>
        <w:t>.</w:t>
      </w:r>
    </w:p>
    <w:p>
      <w:r>
        <w:t>__________________________________________________</w:t>
      </w:r>
    </w:p>
    <w:p>
      <w:pPr>
        <w:pStyle w:val="Title"/>
        <w:jc w:val="center"/>
      </w:pPr>
      <w:r>
        <w:t>5. DESARROLLO DEL ESCALÓN 2: CANNABIS MEDICINAL</w:t>
      </w:r>
    </w:p>
    <w:p>
      <w:pPr>
        <w:pStyle w:val="Heading1"/>
      </w:pPr>
      <w:r>
        <w:t>5.1 La reforma alemana de 27 de marzo de 2024</w:t>
      </w:r>
    </w:p>
    <w:p>
      <w:r>
        <w:t xml:space="preserve">El </w:t>
      </w:r>
      <w:r>
        <w:rPr>
          <w:b/>
        </w:rPr>
        <w:t>Cannabisgesetz (CanG)</w:t>
      </w:r>
      <w:r>
        <w:t xml:space="preserve"> alemán </w:t>
      </w:r>
      <w:r>
        <w:rPr>
          <w:b/>
        </w:rPr>
        <w:t>ELIMINA EL CANNABIS DE LA LEY DE ESTUPEFACIENTES ALEMANA (BtMG)</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Elemento</w:t>
            </w:r>
          </w:p>
        </w:tc>
        <w:tc>
          <w:tcPr>
            <w:tcW w:type="dxa" w:w="2880"/>
          </w:tcPr>
          <w:p>
            <w:r>
              <w:rPr>
                <w:b/>
              </w:rPr>
              <w:t>Antes (BtMG)</w:t>
            </w:r>
          </w:p>
        </w:tc>
        <w:tc>
          <w:tcPr>
            <w:tcW w:type="dxa" w:w="2880"/>
          </w:tcPr>
          <w:p>
            <w:r>
              <w:rPr>
                <w:b/>
              </w:rPr>
              <w:t>Después (CanG 2024)</w:t>
            </w:r>
          </w:p>
        </w:tc>
      </w:tr>
      <w:tr>
        <w:tc>
          <w:tcPr>
            <w:tcW w:type="dxa" w:w="2880"/>
          </w:tcPr>
          <w:p>
            <w:r>
              <w:t>Cannabis (marihuana, plantas)</w:t>
            </w:r>
          </w:p>
        </w:tc>
        <w:tc>
          <w:tcPr>
            <w:tcW w:type="dxa" w:w="2880"/>
          </w:tcPr>
          <w:p>
            <w:r>
              <w:t>Anlage I BtMG = Estupefaciente</w:t>
            </w:r>
          </w:p>
        </w:tc>
        <w:tc>
          <w:tcPr>
            <w:tcW w:type="dxa" w:w="2880"/>
          </w:tcPr>
          <w:p>
            <w:r>
              <w:t>ELIMINADO de Anlage I</w:t>
            </w:r>
          </w:p>
        </w:tc>
      </w:tr>
      <w:tr>
        <w:tc>
          <w:tcPr>
            <w:tcW w:type="dxa" w:w="2880"/>
          </w:tcPr>
          <w:p>
            <w:r>
              <w:t>Cannabis medicinal</w:t>
            </w:r>
          </w:p>
        </w:tc>
        <w:tc>
          <w:tcPr>
            <w:tcW w:type="dxa" w:w="2880"/>
          </w:tcPr>
          <w:p>
            <w:r>
              <w:t>Anlage III BtMG</w:t>
            </w:r>
          </w:p>
        </w:tc>
        <w:tc>
          <w:tcPr>
            <w:tcW w:type="dxa" w:w="2880"/>
          </w:tcPr>
          <w:p>
            <w:r>
              <w:t>ELIMINADO - ahora en MedCanG</w:t>
            </w:r>
          </w:p>
        </w:tc>
      </w:tr>
      <w:tr>
        <w:tc>
          <w:tcPr>
            <w:tcW w:type="dxa" w:w="2880"/>
          </w:tcPr>
          <w:p>
            <w:r>
              <w:t>Receta de estupefacientes (BtM-Rezept)</w:t>
            </w:r>
          </w:p>
        </w:tc>
        <w:tc>
          <w:tcPr>
            <w:tcW w:type="dxa" w:w="2880"/>
          </w:tcPr>
          <w:p>
            <w:r>
              <w:t>Obligatoria para cannabis</w:t>
            </w:r>
          </w:p>
        </w:tc>
        <w:tc>
          <w:tcPr>
            <w:tcW w:type="dxa" w:w="2880"/>
          </w:tcPr>
          <w:p>
            <w:r>
              <w:t>NO REQUERIDA</w:t>
            </w:r>
          </w:p>
        </w:tc>
      </w:tr>
    </w:tbl>
    <w:p/>
    <w:p>
      <w:r>
        <w:t>__________________________________________________</w:t>
      </w:r>
    </w:p>
    <w:p>
      <w:pPr>
        <w:pStyle w:val="Heading1"/>
      </w:pPr>
      <w:r>
        <w:t>5.2 Evans Medical: El argumento nuclear</w:t>
      </w:r>
    </w:p>
    <w:p>
      <w:pPr>
        <w:pStyle w:val="Heading2"/>
      </w:pPr>
      <w:r>
        <w:t>El principio jurisprudencial correcto</w:t>
      </w:r>
    </w:p>
    <w:p>
      <w:r/>
      <w:r>
        <w:rPr>
          <w:b/>
        </w:rPr>
        <w:t>Evans Medical (C-324/93), apartado 20:</w:t>
      </w:r>
      <w:r/>
    </w:p>
    <w:p>
      <w:pPr>
        <w:ind w:left="720" w:right="432"/>
      </w:pPr>
      <w:r>
        <w:rPr>
          <w:i/>
        </w:rPr>
        <w:t>"Los bienes legalmente transportados a través de una frontera para ser objeto de transacciones comerciales están sujetos al artículo 30 del Tratado [actual Art. 34 TFUE], independientemente de la naturaleza de dichas transacciones."</w:t>
      </w:r>
    </w:p>
    <w:p>
      <w:r/>
      <w:r>
        <w:rPr>
          <w:b/>
        </w:rPr>
        <w:t>Evans Medical (C-324/93), apartado 32:</w:t>
      </w:r>
      <w:r/>
    </w:p>
    <w:p>
      <w:pPr>
        <w:ind w:left="720" w:right="432"/>
      </w:pPr>
      <w:r>
        <w:rPr>
          <w:i/>
        </w:rPr>
        <w:t>"Cuando un Convenio internacional permite que un Estado miembro adopte una medida que es contraria al Derecho comunitario, pero sin obligarle, el Estado miembro debe abstenerse de adoptar dicha medida."</w:t>
      </w:r>
    </w:p>
    <w:p>
      <w:r/>
      <w:r>
        <w:rPr>
          <w:b/>
        </w:rPr>
        <w:t>Evans Medical (C-324/93), apartado 38:</w:t>
      </w:r>
      <w:r/>
    </w:p>
    <w:p>
      <w:pPr>
        <w:ind w:left="720" w:right="432"/>
      </w:pPr>
      <w:r>
        <w:rPr>
          <w:i/>
        </w:rPr>
        <w:t>"No puede aplicarse la excepción del artículo 36 a una normativa o práctica nacional cuando la salud o la vida de las personas puedan protegerse de manera igualmente eficaz mediante medidas menos restrictivas."</w:t>
      </w:r>
    </w:p>
    <w:p>
      <w:r>
        <w:t>__________________________________________________</w:t>
      </w:r>
    </w:p>
    <w:p>
      <w:pPr>
        <w:pStyle w:val="Heading1"/>
      </w:pPr>
      <w:r>
        <w:t>5.3 Aplicación al Art. 3 del RD español</w:t>
      </w:r>
    </w:p>
    <w:p>
      <w:pPr>
        <w:pStyle w:val="Heading2"/>
      </w:pPr>
      <w:r>
        <w:t>Silogismo jurídico</w:t>
      </w:r>
    </w:p>
    <w:p>
      <w:pPr>
        <w:ind w:left="432"/>
      </w:pPr>
      <w:r>
        <w:rPr>
          <w:rFonts w:ascii="Consolas" w:hAnsi="Consolas"/>
          <w:sz w:val="18"/>
        </w:rPr>
        <w:t>╔═══════════════════════════════════════════════════════════════════════════╗</w:t>
        <w:br/>
      </w:r>
      <w:r>
        <w:rPr>
          <w:rFonts w:ascii="Consolas" w:hAnsi="Consolas"/>
          <w:sz w:val="18"/>
        </w:rPr>
        <w:t>║              SILOGISMO JURÍDICO - ESCALÓN 2                               ║</w:t>
        <w:br/>
      </w:r>
      <w:r>
        <w:rPr>
          <w:rFonts w:ascii="Consolas" w:hAnsi="Consolas"/>
          <w:sz w:val="18"/>
        </w:rPr>
        <w:t>╠═══════════════════════════════════════════════════════════════════════════╣</w:t>
        <w:br/>
      </w:r>
      <w:r>
        <w:rPr>
          <w:rFonts w:ascii="Consolas" w:hAnsi="Consolas"/>
          <w:sz w:val="18"/>
        </w:rPr>
        <w:t>║                                                                            ║</w:t>
        <w:br/>
      </w:r>
      <w:r>
        <w:rPr>
          <w:rFonts w:ascii="Consolas" w:hAnsi="Consolas"/>
          <w:sz w:val="18"/>
        </w:rPr>
        <w:t>║  PREMISA MAYOR (Evans Medical, apt. 32):                                  ║</w:t>
        <w:br/>
      </w:r>
      <w:r>
        <w:rPr>
          <w:rFonts w:ascii="Consolas" w:hAnsi="Consolas"/>
          <w:sz w:val="18"/>
        </w:rPr>
        <w:t>║  "Cuando un Convenio internacional PERMITE que un Estado miembro adopte   ║</w:t>
        <w:br/>
      </w:r>
      <w:r>
        <w:rPr>
          <w:rFonts w:ascii="Consolas" w:hAnsi="Consolas"/>
          <w:sz w:val="18"/>
        </w:rPr>
        <w:t>║   una medida contraria al Derecho UE, pero SIN OBLIGARLE, el Estado       ║</w:t>
        <w:br/>
      </w:r>
      <w:r>
        <w:rPr>
          <w:rFonts w:ascii="Consolas" w:hAnsi="Consolas"/>
          <w:sz w:val="18"/>
        </w:rPr>
        <w:t>║   miembro debe ABSTENERSE de adoptar dicha medida."                       ║</w:t>
        <w:br/>
      </w:r>
      <w:r>
        <w:rPr>
          <w:rFonts w:ascii="Consolas" w:hAnsi="Consolas"/>
          <w:sz w:val="18"/>
        </w:rPr>
        <w:t>║                                                                            ║</w:t>
        <w:br/>
      </w:r>
      <w:r>
        <w:rPr>
          <w:rFonts w:ascii="Consolas" w:hAnsi="Consolas"/>
          <w:sz w:val="18"/>
        </w:rPr>
        <w:t>║  PREMISA MENOR (Reforma alemana):                                         ║</w:t>
        <w:br/>
      </w:r>
      <w:r>
        <w:rPr>
          <w:rFonts w:ascii="Consolas" w:hAnsi="Consolas"/>
          <w:sz w:val="18"/>
        </w:rPr>
        <w:t>║  Alemania comercializa cannabis medicinal (incluso con THC alto)          ║</w:t>
        <w:br/>
      </w:r>
      <w:r>
        <w:rPr>
          <w:rFonts w:ascii="Consolas" w:hAnsi="Consolas"/>
          <w:sz w:val="18"/>
        </w:rPr>
        <w:t>║  como medicamento ORDINARIO, sin clasificación de estupefaciente          ║</w:t>
        <w:br/>
      </w:r>
      <w:r>
        <w:rPr>
          <w:rFonts w:ascii="Consolas" w:hAnsi="Consolas"/>
          <w:sz w:val="18"/>
        </w:rPr>
        <w:t>║  ni psicotrópico, desde el 1 de abril de 2024.                            ║</w:t>
        <w:br/>
      </w:r>
      <w:r>
        <w:rPr>
          <w:rFonts w:ascii="Consolas" w:hAnsi="Consolas"/>
          <w:sz w:val="18"/>
        </w:rPr>
        <w:t>║                                                                            ║</w:t>
        <w:br/>
      </w:r>
      <w:r>
        <w:rPr>
          <w:rFonts w:ascii="Consolas" w:hAnsi="Consolas"/>
          <w:sz w:val="18"/>
        </w:rPr>
        <w:t>║  CONCLUSIÓN:                                                               ║</w:t>
        <w:br/>
      </w:r>
      <w:r>
        <w:rPr>
          <w:rFonts w:ascii="Consolas" w:hAnsi="Consolas"/>
          <w:sz w:val="18"/>
        </w:rPr>
        <w:t>║  El Art. 3 del RD (≥0,2% THC = psicotrópico) es NULO por vulnerar        ║</w:t>
        <w:br/>
      </w:r>
      <w:r>
        <w:rPr>
          <w:rFonts w:ascii="Consolas" w:hAnsi="Consolas"/>
          <w:sz w:val="18"/>
        </w:rPr>
        <w:t>║  la libre circulación de mercancías (Arts. 34-36 TFUE).                   ║</w:t>
        <w:br/>
      </w:r>
      <w:r>
        <w:rPr>
          <w:rFonts w:ascii="Consolas" w:hAnsi="Consolas"/>
          <w:sz w:val="18"/>
        </w:rPr>
        <w:t>╚═══════════════════════════════════════════════════════════════════════════╝</w:t>
        <w:br/>
      </w:r>
    </w:p>
    <w:p>
      <w:r>
        <w:t>__________________________________________________</w:t>
      </w:r>
    </w:p>
    <w:p>
      <w:pPr>
        <w:pStyle w:val="Heading1"/>
      </w:pPr>
      <w:r>
        <w:t>5.4 NUEVO: Caso virtual ilustrativo para la magistrada</w:t>
      </w:r>
    </w:p>
    <w:p>
      <w:r>
        <w:t>Para facilitar la comprensión del Tribunal, proponemos el siguiente caso hipotético:</w:t>
      </w:r>
    </w:p>
    <w:p>
      <w:pPr>
        <w:ind w:left="720" w:right="432"/>
      </w:pPr>
      <w:r>
        <w:rPr>
          <w:i/>
        </w:rPr>
        <w:t>Señoría, imagine que un operador alemán, con licencia de medicamentos en Alemania, desea importar flores de cáñamo industrial (THC 0,5%) para elaborar preparados estandarizados bajo el marco de este RD.  Pregunta 1: ¿Esas flores son estupefaciente? Si la respuesta es SÍ, entonces el Art. 34 TFUE está siendo vulnerado porque esas mismas flores circulan libremente en Alemania.  Pregunta 2: ¿Qué licencia necesita? ¿La de estupefacientes o la de medicamentos? Evans Medical dice que si el producto puede comercializarse legalmente bajo la Convención de 1961, goza de libre circulación.  La contradicción es evidente: España no puede mantener una clasificación más restrictiva que la que exige la Convención cuando otros Estados miembros demuestran que no es necesaria.</w:t>
      </w:r>
    </w:p>
    <w:p>
      <w:pPr>
        <w:pStyle w:val="Heading2"/>
      </w:pPr>
      <w:r>
        <w:t>Escenario práctico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En Alemania</w:t>
            </w:r>
          </w:p>
        </w:tc>
        <w:tc>
          <w:tcPr>
            <w:tcW w:type="dxa" w:w="4320"/>
          </w:tcPr>
          <w:p>
            <w:r>
              <w:rPr>
                <w:b/>
              </w:rPr>
              <w:t>En España (según Art. 3 RD)</w:t>
            </w:r>
          </w:p>
        </w:tc>
      </w:tr>
      <w:tr>
        <w:tc>
          <w:tcPr>
            <w:tcW w:type="dxa" w:w="4320"/>
          </w:tcPr>
          <w:p>
            <w:r>
              <w:t>Medicamento ordinario</w:t>
            </w:r>
          </w:p>
        </w:tc>
        <w:tc>
          <w:tcPr>
            <w:tcW w:type="dxa" w:w="4320"/>
          </w:tcPr>
          <w:p>
            <w:r>
              <w:t>"Psicotrópico" (Convenio 1971)</w:t>
            </w:r>
          </w:p>
        </w:tc>
      </w:tr>
      <w:tr>
        <w:tc>
          <w:tcPr>
            <w:tcW w:type="dxa" w:w="4320"/>
          </w:tcPr>
          <w:p>
            <w:r>
              <w:t>Sin BtM-Rezept</w:t>
            </w:r>
          </w:p>
        </w:tc>
        <w:tc>
          <w:tcPr>
            <w:tcW w:type="dxa" w:w="4320"/>
          </w:tcPr>
          <w:p>
            <w:r>
              <w:t>Receta de estupefacientes</w:t>
            </w:r>
          </w:p>
        </w:tc>
      </w:tr>
      <w:tr>
        <w:tc>
          <w:tcPr>
            <w:tcW w:type="dxa" w:w="4320"/>
          </w:tcPr>
          <w:p>
            <w:r>
              <w:t>Libre exportación UE</w:t>
            </w:r>
          </w:p>
        </w:tc>
        <w:tc>
          <w:tcPr>
            <w:tcW w:type="dxa" w:w="4320"/>
          </w:tcPr>
          <w:p>
            <w:r>
              <w:t>¿Importación prohibida?</w:t>
            </w:r>
          </w:p>
        </w:tc>
      </w:tr>
    </w:tbl>
    <w:p/>
    <w:p>
      <w:r>
        <w:t xml:space="preserve">Esta disparidad es </w:t>
      </w:r>
      <w:r>
        <w:rPr>
          <w:b/>
        </w:rPr>
        <w:t>incompatible con la libre circulación de mercancías</w:t>
      </w:r>
      <w:r>
        <w:t xml:space="preserve"> y con el principio de </w:t>
      </w:r>
      <w:r>
        <w:rPr>
          <w:b/>
        </w:rPr>
        <w:t>reconocimiento mutuo</w:t>
      </w:r>
      <w:r>
        <w:t xml:space="preserve"> (Cassis de Dijon, C-120/78).</w:t>
      </w:r>
    </w:p>
    <w:p>
      <w:r>
        <w:t>__________________________________________________</w:t>
      </w:r>
    </w:p>
    <w:p>
      <w:pPr>
        <w:pStyle w:val="Title"/>
        <w:jc w:val="center"/>
      </w:pPr>
      <w:r>
        <w:t>6. NUEVO: MOTIVO ADICIONAL — ART. 8 OFICINAS DE FARMACIA</w:t>
      </w:r>
    </w:p>
    <w:p>
      <w:pPr>
        <w:pStyle w:val="Heading1"/>
      </w:pPr>
      <w:r>
        <w:t>6.1 El problema normativo</w:t>
      </w:r>
    </w:p>
    <w:p>
      <w:r>
        <w:t xml:space="preserve">El artículo 8 del RD limita la elaboración de fórmulas magistrales tipificadas de preparados estandarizados de cannabis exclusivamente a los </w:t>
      </w:r>
      <w:r>
        <w:rPr>
          <w:b/>
        </w:rPr>
        <w:t>servicios de farmacia hospitalaria</w:t>
      </w:r>
      <w:r>
        <w:t xml:space="preserve">, excluyendo a las </w:t>
      </w:r>
      <w:r>
        <w:rPr>
          <w:b/>
        </w:rPr>
        <w:t>oficinas de farmacia</w:t>
      </w:r>
      <w:r>
        <w:t xml:space="preserve"> (farmacias comunitarias).</w:t>
      </w:r>
    </w:p>
    <w:p>
      <w:pPr>
        <w:pStyle w:val="Heading1"/>
      </w:pPr>
      <w:r>
        <w:t>6.2 Alegaciones rechazadas</w:t>
      </w:r>
    </w:p>
    <w:p>
      <w:r>
        <w:t>Durante la tramitación del RD, los siguientes alegantes solicitaron incluir oficinas de farmacia: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Alegante</w:t>
            </w:r>
          </w:p>
        </w:tc>
        <w:tc>
          <w:tcPr>
            <w:tcW w:type="dxa" w:w="2880"/>
          </w:tcPr>
          <w:p>
            <w:r>
              <w:rPr>
                <w:b/>
              </w:rPr>
              <w:t>Tipo</w:t>
            </w:r>
          </w:p>
        </w:tc>
        <w:tc>
          <w:tcPr>
            <w:tcW w:type="dxa" w:w="2880"/>
          </w:tcPr>
          <w:p>
            <w:r>
              <w:rPr>
                <w:b/>
              </w:rPr>
              <w:t>Alegación</w:t>
            </w:r>
          </w:p>
        </w:tc>
      </w:tr>
      <w:tr>
        <w:tc>
          <w:tcPr>
            <w:tcW w:type="dxa" w:w="2880"/>
          </w:tcPr>
          <w:p>
            <w:r>
              <w:t>Comunidad Foral de Navarra</w:t>
            </w:r>
          </w:p>
        </w:tc>
        <w:tc>
          <w:tcPr>
            <w:tcW w:type="dxa" w:w="2880"/>
          </w:tcPr>
          <w:p>
            <w:r>
              <w:t>CCAA</w:t>
            </w:r>
          </w:p>
        </w:tc>
        <w:tc>
          <w:tcPr>
            <w:tcW w:type="dxa" w:w="2880"/>
          </w:tcPr>
          <w:p>
            <w:r>
              <w:t>"Creemos que se debe permitir la elaboración de estas fórmulas magistrales tipificadas en las oficinas de farmacia debidamente acreditadas y permitir la elaboración por terceros."</w:t>
            </w:r>
          </w:p>
        </w:tc>
      </w:tr>
      <w:tr>
        <w:tc>
          <w:tcPr>
            <w:tcW w:type="dxa" w:w="2880"/>
          </w:tcPr>
          <w:p>
            <w:r>
              <w:t>SEFAP</w:t>
            </w:r>
          </w:p>
        </w:tc>
        <w:tc>
          <w:tcPr>
            <w:tcW w:type="dxa" w:w="2880"/>
          </w:tcPr>
          <w:p>
            <w:r>
              <w:t>Sociedad científica</w:t>
            </w:r>
          </w:p>
        </w:tc>
        <w:tc>
          <w:tcPr>
            <w:tcW w:type="dxa" w:w="2880"/>
          </w:tcPr>
          <w:p>
            <w:r>
              <w:t>Incluir dispensación en oficinas de farmacia</w:t>
            </w:r>
          </w:p>
        </w:tc>
      </w:tr>
      <w:tr>
        <w:tc>
          <w:tcPr>
            <w:tcW w:type="dxa" w:w="2880"/>
          </w:tcPr>
          <w:p>
            <w:r>
              <w:t>Consell de Col·legis Farmacèutics de Catalunya</w:t>
            </w:r>
          </w:p>
        </w:tc>
        <w:tc>
          <w:tcPr>
            <w:tcW w:type="dxa" w:w="2880"/>
          </w:tcPr>
          <w:p>
            <w:r>
              <w:t>Colegio profesional</w:t>
            </w:r>
          </w:p>
        </w:tc>
        <w:tc>
          <w:tcPr>
            <w:tcW w:type="dxa" w:w="2880"/>
          </w:tcPr>
          <w:p>
            <w:r>
              <w:t>Permitir dispensación en farmacias comunitarias</w:t>
            </w:r>
          </w:p>
        </w:tc>
      </w:tr>
      <w:tr>
        <w:tc>
          <w:tcPr>
            <w:tcW w:type="dxa" w:w="2880"/>
          </w:tcPr>
          <w:p>
            <w:r>
              <w:t>Consejo General de Colegios de Farmacéuticos</w:t>
            </w:r>
          </w:p>
        </w:tc>
        <w:tc>
          <w:tcPr>
            <w:tcW w:type="dxa" w:w="2880"/>
          </w:tcPr>
          <w:p>
            <w:r>
              <w:t>Órgano nacional</w:t>
            </w:r>
          </w:p>
        </w:tc>
        <w:tc>
          <w:tcPr>
            <w:tcW w:type="dxa" w:w="2880"/>
          </w:tcPr>
          <w:p>
            <w:r>
              <w:t>Incluir oficinas de farmacia</w:t>
            </w:r>
          </w:p>
        </w:tc>
      </w:tr>
      <w:tr>
        <w:tc>
          <w:tcPr>
            <w:tcW w:type="dxa" w:w="2880"/>
          </w:tcPr>
          <w:p>
            <w:r>
              <w:t>Colegio Oficial de Farmacéuticos de Málaga</w:t>
            </w:r>
          </w:p>
        </w:tc>
        <w:tc>
          <w:tcPr>
            <w:tcW w:type="dxa" w:w="2880"/>
          </w:tcPr>
          <w:p>
            <w:r>
              <w:t>Colegio profesional</w:t>
            </w:r>
          </w:p>
        </w:tc>
        <w:tc>
          <w:tcPr>
            <w:tcW w:type="dxa" w:w="2880"/>
          </w:tcPr>
          <w:p>
            <w:r>
              <w:t>Permitir elaboración en oficinas de farmacia</w:t>
            </w:r>
          </w:p>
        </w:tc>
      </w:tr>
      <w:tr>
        <w:tc>
          <w:tcPr>
            <w:tcW w:type="dxa" w:w="2880"/>
          </w:tcPr>
          <w:p>
            <w:r>
              <w:t>APROFARM</w:t>
            </w:r>
          </w:p>
        </w:tc>
        <w:tc>
          <w:tcPr>
            <w:tcW w:type="dxa" w:w="2880"/>
          </w:tcPr>
          <w:p>
            <w:r>
              <w:t>Asociación profesional</w:t>
            </w:r>
          </w:p>
        </w:tc>
        <w:tc>
          <w:tcPr>
            <w:tcW w:type="dxa" w:w="2880"/>
          </w:tcPr>
          <w:p>
            <w:r>
              <w:t>Mecanismo ágil para habilitar farmacias comunitarias</w:t>
            </w:r>
          </w:p>
        </w:tc>
      </w:tr>
      <w:tr>
        <w:tc>
          <w:tcPr>
            <w:tcW w:type="dxa" w:w="2880"/>
          </w:tcPr>
          <w:p>
            <w:r>
              <w:t>LASEMI</w:t>
            </w:r>
          </w:p>
        </w:tc>
        <w:tc>
          <w:tcPr>
            <w:tcW w:type="dxa" w:w="2880"/>
          </w:tcPr>
          <w:p>
            <w:r>
              <w:t>Sociedad científica</w:t>
            </w:r>
          </w:p>
        </w:tc>
        <w:tc>
          <w:tcPr>
            <w:tcW w:type="dxa" w:w="2880"/>
          </w:tcPr>
          <w:p>
            <w:r>
              <w:t>Incluir oficinas de farmacia</w:t>
            </w:r>
          </w:p>
        </w:tc>
      </w:tr>
      <w:tr>
        <w:tc>
          <w:tcPr>
            <w:tcW w:type="dxa" w:w="2880"/>
          </w:tcPr>
          <w:p>
            <w:r>
              <w:t>European Medicinal Cannabis Association</w:t>
            </w:r>
          </w:p>
        </w:tc>
        <w:tc>
          <w:tcPr>
            <w:tcW w:type="dxa" w:w="2880"/>
          </w:tcPr>
          <w:p>
            <w:r>
              <w:t>Asociación internacional</w:t>
            </w:r>
          </w:p>
        </w:tc>
        <w:tc>
          <w:tcPr>
            <w:tcW w:type="dxa" w:w="2880"/>
          </w:tcPr>
          <w:p>
            <w:r>
              <w:t>Incluir dispensación en oficinas de farmacia</w:t>
            </w:r>
          </w:p>
        </w:tc>
      </w:tr>
      <w:tr>
        <w:tc>
          <w:tcPr>
            <w:tcW w:type="dxa" w:w="2880"/>
          </w:tcPr>
          <w:p>
            <w:r>
              <w:t>Tilray Medical</w:t>
            </w:r>
          </w:p>
        </w:tc>
        <w:tc>
          <w:tcPr>
            <w:tcW w:type="dxa" w:w="2880"/>
          </w:tcPr>
          <w:p>
            <w:r>
              <w:t>Empresa</w:t>
            </w:r>
          </w:p>
        </w:tc>
        <w:tc>
          <w:tcPr>
            <w:tcW w:type="dxa" w:w="2880"/>
          </w:tcPr>
          <w:p>
            <w:r>
              <w:t>Incluir dispensación en oficinas de farmacia</w:t>
            </w:r>
          </w:p>
        </w:tc>
      </w:tr>
      <w:tr>
        <w:tc>
          <w:tcPr>
            <w:tcW w:type="dxa" w:w="2880"/>
          </w:tcPr>
          <w:p>
            <w:r>
              <w:t>Múltiples oficinas de farmacia</w:t>
            </w:r>
          </w:p>
        </w:tc>
        <w:tc>
          <w:tcPr>
            <w:tcW w:type="dxa" w:w="2880"/>
          </w:tcPr>
          <w:p>
            <w:r>
              <w:t>Particulares</w:t>
            </w:r>
          </w:p>
        </w:tc>
        <w:tc>
          <w:tcPr>
            <w:tcW w:type="dxa" w:w="2880"/>
          </w:tcPr>
          <w:p>
            <w:r>
              <w:t>Solicitan ser incluidas</w:t>
            </w:r>
          </w:p>
        </w:tc>
      </w:tr>
    </w:tbl>
    <w:p/>
    <w:p>
      <w:pPr>
        <w:pStyle w:val="Heading1"/>
      </w:pPr>
      <w:r>
        <w:t>6.3 Respuesta del Ministerio</w:t>
      </w:r>
    </w:p>
    <w:p>
      <w:pPr>
        <w:ind w:left="720" w:right="432"/>
      </w:pPr>
      <w:r>
        <w:rPr>
          <w:i/>
        </w:rPr>
        <w:t>"Las indicaciones propuestas requieren un seguimiento farmacoterapéutico, que se realiza mayoritariamente en ámbito hospitalario, por lo que se considera que limitar la elaboración y dispensación por servicios de farmacia hospitalaria está justificado."</w:t>
      </w:r>
    </w:p>
    <w:p>
      <w:pPr>
        <w:pStyle w:val="Heading1"/>
      </w:pPr>
      <w:r>
        <w:t>6.4 Argumentos jurídicos</w:t>
      </w:r>
    </w:p>
    <w:p>
      <w:pPr>
        <w:pStyle w:val="Heading2"/>
      </w:pPr>
      <w:r>
        <w:t>A) Inconsistencia con la Ley de Garantías del Medicamento</w:t>
      </w:r>
    </w:p>
    <w:p>
      <w:r>
        <w:t>El artículo 43 del Real Decreto Legislativo 1/2015 establece que las fórmulas magistrales pueden elaborarse en:</w:t>
      </w:r>
    </w:p>
    <w:p>
      <w:r>
        <w:t>- Oficinas de farmacia</w:t>
      </w:r>
    </w:p>
    <w:p>
      <w:r>
        <w:t>- Servicios farmacéuticos</w:t>
      </w:r>
    </w:p>
    <w:p>
      <w:r/>
      <w:r>
        <w:rPr>
          <w:b/>
        </w:rPr>
        <w:t>El RD crea una excepción no prevista en la ley</w:t>
      </w:r>
      <w:r>
        <w:t>: fórmulas magistrales que SOLO pueden elaborarse en hospitales.</w:t>
      </w:r>
    </w:p>
    <w:p>
      <w:r/>
      <w:r>
        <w:rPr>
          <w:b/>
        </w:rPr>
        <w:t>Problema de jerarquía normativa:</w:t>
      </w:r>
      <w:r>
        <w:t xml:space="preserve"> Un Real Decreto no puede restringir lo que la Ley permite.</w:t>
      </w:r>
    </w:p>
    <w:p>
      <w:pPr>
        <w:pStyle w:val="Heading2"/>
      </w:pPr>
      <w:r>
        <w:t>B) Desproporcionalidad</w:t>
      </w:r>
    </w:p>
    <w:p>
      <w:r>
        <w:t>El argumento de Sanidad ("seguimiento farmacoterapéutico") es débil porque:</w:t>
      </w:r>
    </w:p>
    <w:p>
      <w:r>
        <w:t xml:space="preserve">1. </w:t>
      </w:r>
      <w:r>
        <w:rPr>
          <w:b/>
        </w:rPr>
        <w:t>Precedentes:</w:t>
      </w:r>
      <w:r>
        <w:t xml:space="preserve"> Existen medicamentos de diagnóstico hospitalario que se dispensan en oficinas de farmacia (ej: antivirales, antirretrovirales)</w:t>
      </w:r>
    </w:p>
    <w:p>
      <w:r>
        <w:t xml:space="preserve">2. </w:t>
      </w:r>
      <w:r>
        <w:rPr>
          <w:b/>
        </w:rPr>
        <w:t>Equivalencia funcional:</w:t>
      </w:r>
      <w:r>
        <w:t xml:space="preserve"> Las oficinas de farmacia realizan seguimiento farmacoterapéutico de:</w:t>
      </w:r>
    </w:p>
    <w:p>
      <w:r>
        <w:t>- Medicamentos oncológicos orales</w:t>
      </w:r>
    </w:p>
    <w:p>
      <w:r>
        <w:t>- Anticoagulantes</w:t>
      </w:r>
    </w:p>
    <w:p>
      <w:r>
        <w:t>- Medicamentos para VIH</w:t>
      </w:r>
    </w:p>
    <w:p>
      <w:r>
        <w:t xml:space="preserve">3. </w:t>
      </w:r>
      <w:r>
        <w:rPr>
          <w:b/>
        </w:rPr>
        <w:t>Derecho comparado:</w:t>
      </w:r>
      <w:r>
        <w:t xml:space="preserve"> En otros Estados miembros (Alemania, Italia, Países Bajos), las farmacias comunitarias dispensan productos de cannabis medicinal.</w:t>
      </w:r>
    </w:p>
    <w:p>
      <w:pPr>
        <w:pStyle w:val="Heading2"/>
      </w:pPr>
      <w:r>
        <w:t>C) Discriminación territorial</w:t>
      </w:r>
    </w:p>
    <w:p>
      <w:r>
        <w:t>La restricción a hospitales genera:</w:t>
      </w:r>
    </w:p>
    <w:p>
      <w:r>
        <w:t>- Dificultad de acceso para pacientes rurales</w:t>
      </w:r>
    </w:p>
    <w:p>
      <w:r>
        <w:t>- Desigualdad entre CCAA con diferente densidad hospitalaria</w:t>
      </w:r>
    </w:p>
    <w:p>
      <w:r>
        <w:t>- Coste añadido para pacientes (desplazamientos, tiempo)</w:t>
      </w:r>
    </w:p>
    <w:p>
      <w:pPr>
        <w:pStyle w:val="Heading2"/>
      </w:pPr>
      <w:r>
        <w:t>D) El propio RD contempla la extensión</w:t>
      </w:r>
    </w:p>
    <w:p>
      <w:r>
        <w:t>La Disposición Adicional Tercera reconoce:</w:t>
      </w:r>
    </w:p>
    <w:p>
      <w:pPr>
        <w:ind w:left="720" w:right="432"/>
      </w:pPr>
      <w:r>
        <w:rPr>
          <w:i/>
        </w:rPr>
        <w:t>"Las condiciones de elaboración y dispensación de fórmulas magistrales tipificadas de preparados estandarizados de cannabis por oficinas de farmacia podrá ser objeto de regulación específica."</w:t>
      </w:r>
    </w:p>
    <w:p>
      <w:r/>
      <w:r>
        <w:rPr>
          <w:b/>
        </w:rPr>
        <w:t>Si fuera técnicamente imposible, ¿por qué se contempla la posibilidad futura?</w:t>
      </w:r>
      <w:r/>
    </w:p>
    <w:p>
      <w:pPr>
        <w:pStyle w:val="Heading2"/>
      </w:pPr>
      <w:r>
        <w:t>E) Contradicción interna documentada</w:t>
      </w:r>
    </w:p>
    <w:p>
      <w:r>
        <w:t>El Ministerio reconoció internamente (documento de trabajo):</w:t>
      </w:r>
    </w:p>
    <w:p>
      <w:pPr>
        <w:ind w:left="720" w:right="432"/>
      </w:pPr>
      <w:r>
        <w:rPr>
          <w:i/>
        </w:rPr>
        <w:t>"OK a vuestro argumento. Pero si consideráis que debe estar recogida la posibilidad de que las OF puedan dispensar estos preparados en un futuro se podría (valoradlo) en una disposición adicional incluir..."</w:t>
      </w:r>
    </w:p>
    <w:p>
      <w:r>
        <w:t>Esto demuestra que el Ministerio sabía que la restricción era excesiva.</w:t>
      </w:r>
    </w:p>
    <w:p>
      <w:r>
        <w:t>__________________________________________________</w:t>
      </w:r>
    </w:p>
    <w:p>
      <w:pPr>
        <w:pStyle w:val="Title"/>
        <w:jc w:val="center"/>
      </w:pPr>
      <w:r>
        <w:t>7. NUEVO: JURISPRUDENCIA APLICABLE CON APARTADOS EXACTOS</w:t>
      </w:r>
    </w:p>
    <w:p>
      <w:pPr>
        <w:pStyle w:val="Heading1"/>
      </w:pPr>
      <w:r>
        <w:t>7.1 Libre circulación y estupefacientes</w:t>
      </w:r>
    </w:p>
    <w:p>
      <w:pPr>
        <w:pStyle w:val="Heading2"/>
      </w:pPr>
      <w:r>
        <w:t>Evans Medical (C-324/93) — 28 de marzo de 1995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Apartado</w:t>
            </w:r>
          </w:p>
        </w:tc>
        <w:tc>
          <w:tcPr>
            <w:tcW w:type="dxa" w:w="2880"/>
          </w:tcPr>
          <w:p>
            <w:r>
              <w:rPr>
                <w:b/>
              </w:rPr>
              <w:t>Texto literal</w:t>
            </w:r>
          </w:p>
        </w:tc>
        <w:tc>
          <w:tcPr>
            <w:tcW w:type="dxa" w:w="2880"/>
          </w:tcPr>
          <w:p>
            <w:r>
              <w:rPr>
                <w:b/>
              </w:rPr>
              <w:t>Aplicación al caso</w:t>
            </w:r>
          </w:p>
        </w:tc>
      </w:tr>
      <w:tr>
        <w:tc>
          <w:tcPr>
            <w:tcW w:type="dxa" w:w="2880"/>
          </w:tcPr>
          <w:p>
            <w:r>
              <w:t>20</w:t>
            </w:r>
          </w:p>
        </w:tc>
        <w:tc>
          <w:tcPr>
            <w:tcW w:type="dxa" w:w="2880"/>
          </w:tcPr>
          <w:p>
            <w:r>
              <w:t>"Los bienes legalmente transportados a través de una frontera para ser objeto de transacciones comerciales están sujetos al artículo 30 del Tratado [actual Art. 34 TFUE], independientemente de la naturaleza de dichas transacciones. Por reunir dichas características, los estupefacientes a que se refiere la Convención y que pueden comercializarse con arreglo a ella están sujetos a dicha disposición."</w:t>
            </w:r>
          </w:p>
        </w:tc>
        <w:tc>
          <w:tcPr>
            <w:tcW w:type="dxa" w:w="2880"/>
          </w:tcPr>
          <w:p>
            <w:r>
              <w:t>Los estupefacientes comercializables gozan de libre circulación</w:t>
            </w:r>
          </w:p>
        </w:tc>
      </w:tr>
      <w:tr>
        <w:tc>
          <w:tcPr>
            <w:tcW w:type="dxa" w:w="2880"/>
          </w:tcPr>
          <w:p>
            <w:r>
              <w:t>32</w:t>
            </w:r>
          </w:p>
        </w:tc>
        <w:tc>
          <w:tcPr>
            <w:tcW w:type="dxa" w:w="2880"/>
          </w:tcPr>
          <w:p>
            <w:r>
              <w:t>"Cuando un Convenio internacional permite que un Estado miembro adopte una medida que es contraria al Derecho comunitario, pero sin obligarle, el Estado miembro debe abstenerse de adoptar dicha medida."</w:t>
            </w:r>
          </w:p>
        </w:tc>
        <w:tc>
          <w:tcPr>
            <w:tcW w:type="dxa" w:w="2880"/>
          </w:tcPr>
          <w:p>
            <w:r>
              <w:t>LA REGLA DE ORO: España debe abstenerse de restricciones no obligatorias</w:t>
            </w:r>
          </w:p>
        </w:tc>
      </w:tr>
      <w:tr>
        <w:tc>
          <w:tcPr>
            <w:tcW w:type="dxa" w:w="2880"/>
          </w:tcPr>
          <w:p>
            <w:r>
              <w:t>38</w:t>
            </w:r>
          </w:p>
        </w:tc>
        <w:tc>
          <w:tcPr>
            <w:tcW w:type="dxa" w:w="2880"/>
          </w:tcPr>
          <w:p>
            <w:r>
              <w:t>"No puede aplicarse la excepción del artículo 36 a una normativa o práctica nacional cuando la salud o la vida de las personas puedan protegerse de manera igualmente eficaz mediante medidas menos restrictivas."</w:t>
            </w:r>
          </w:p>
        </w:tc>
        <w:tc>
          <w:tcPr>
            <w:tcW w:type="dxa" w:w="2880"/>
          </w:tcPr>
          <w:p>
            <w:r>
              <w:t>Test de proporcionalidad: el modelo alemán MedCanG es menos restrictivo</w:t>
            </w:r>
          </w:p>
        </w:tc>
      </w:tr>
    </w:tbl>
    <w:p/>
    <w:p>
      <w:r>
        <w:t>__________________________________________________</w:t>
      </w:r>
    </w:p>
    <w:p>
      <w:pPr>
        <w:pStyle w:val="Heading2"/>
      </w:pPr>
      <w:r>
        <w:t>Comisión/Francia (C-333/08) — 28 de enero de 2010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Apartado</w:t>
            </w:r>
          </w:p>
        </w:tc>
        <w:tc>
          <w:tcPr>
            <w:tcW w:type="dxa" w:w="2880"/>
          </w:tcPr>
          <w:p>
            <w:r>
              <w:rPr>
                <w:b/>
              </w:rPr>
              <w:t>Texto literal</w:t>
            </w:r>
          </w:p>
        </w:tc>
        <w:tc>
          <w:tcPr>
            <w:tcW w:type="dxa" w:w="2880"/>
          </w:tcPr>
          <w:p>
            <w:r>
              <w:rPr>
                <w:b/>
              </w:rPr>
              <w:t>Aplicación al caso</w:t>
            </w:r>
          </w:p>
        </w:tc>
      </w:tr>
      <w:tr>
        <w:tc>
          <w:tcPr>
            <w:tcW w:type="dxa" w:w="2880"/>
          </w:tcPr>
          <w:p>
            <w:r>
              <w:t>87</w:t>
            </w:r>
          </w:p>
        </w:tc>
        <w:tc>
          <w:tcPr>
            <w:tcW w:type="dxa" w:w="2880"/>
          </w:tcPr>
          <w:p>
            <w:r>
              <w:t>"incumbe a las autoridades nacionales demostrar [...] que la comercialización de los productos de que se trata plantea un riesgo real para la salud pública que debe analizarse detenidamente"</w:t>
            </w:r>
          </w:p>
        </w:tc>
        <w:tc>
          <w:tcPr>
            <w:tcW w:type="dxa" w:w="2880"/>
          </w:tcPr>
          <w:p>
            <w:r>
              <w:t>Carga de la prueba es del Estado, no del operador</w:t>
            </w:r>
          </w:p>
        </w:tc>
      </w:tr>
      <w:tr>
        <w:tc>
          <w:tcPr>
            <w:tcW w:type="dxa" w:w="2880"/>
          </w:tcPr>
          <w:p>
            <w:r>
              <w:t>88</w:t>
            </w:r>
          </w:p>
        </w:tc>
        <w:tc>
          <w:tcPr>
            <w:tcW w:type="dxa" w:w="2880"/>
          </w:tcPr>
          <w:p>
            <w:r>
              <w:t>"Una decisión de prohibir la comercialización, que constituye el obstáculo más restrictivo, solo puede adoptarse si el riesgo real resulta suficientemente acreditado sobre la base de los datos científicos más recientes"</w:t>
            </w:r>
          </w:p>
        </w:tc>
        <w:tc>
          <w:tcPr>
            <w:tcW w:type="dxa" w:w="2880"/>
          </w:tcPr>
          <w:p>
            <w:r>
              <w:t>La prohibición es la medida MÁS RESTRICTIVA</w:t>
            </w:r>
          </w:p>
        </w:tc>
      </w:tr>
      <w:tr>
        <w:tc>
          <w:tcPr>
            <w:tcW w:type="dxa" w:w="2880"/>
          </w:tcPr>
          <w:p>
            <w:r>
              <w:t>90</w:t>
            </w:r>
          </w:p>
        </w:tc>
        <w:tc>
          <w:tcPr>
            <w:tcW w:type="dxa" w:w="2880"/>
          </w:tcPr>
          <w:p>
            <w:r>
              <w:t>"el análisis del riesgo no puede basarse en consideraciones puramente hipotéticas"</w:t>
            </w:r>
          </w:p>
        </w:tc>
        <w:tc>
          <w:tcPr>
            <w:tcW w:type="dxa" w:w="2880"/>
          </w:tcPr>
          <w:p>
            <w:r>
              <w:t>España NO ha acreditado riesgo real</w:t>
            </w:r>
          </w:p>
        </w:tc>
      </w:tr>
    </w:tbl>
    <w:p/>
    <w:p>
      <w:r>
        <w:t>__________________________________________________</w:t>
      </w:r>
    </w:p>
    <w:p>
      <w:pPr>
        <w:pStyle w:val="Heading2"/>
      </w:pPr>
      <w:r>
        <w:t>Hammarsten (C-462/01) — 16 de enero de 2003</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Apartado</w:t>
            </w:r>
          </w:p>
        </w:tc>
        <w:tc>
          <w:tcPr>
            <w:tcW w:type="dxa" w:w="2880"/>
          </w:tcPr>
          <w:p>
            <w:r>
              <w:rPr>
                <w:b/>
              </w:rPr>
              <w:t>Texto literal</w:t>
            </w:r>
          </w:p>
        </w:tc>
        <w:tc>
          <w:tcPr>
            <w:tcW w:type="dxa" w:w="2880"/>
          </w:tcPr>
          <w:p>
            <w:r>
              <w:rPr>
                <w:b/>
              </w:rPr>
              <w:t>Aplicación al caso</w:t>
            </w:r>
          </w:p>
        </w:tc>
      </w:tr>
      <w:tr>
        <w:tc>
          <w:tcPr>
            <w:tcW w:type="dxa" w:w="2880"/>
          </w:tcPr>
          <w:p>
            <w:r>
              <w:t>34</w:t>
            </w:r>
          </w:p>
        </w:tc>
        <w:tc>
          <w:tcPr>
            <w:tcW w:type="dxa" w:w="2880"/>
          </w:tcPr>
          <w:p>
            <w:r>
              <w:t>"los riesgos para la salud humana que implica el uso de estupefacientes se tuvieron en cuenta expresamente en el marco de la organización común de mercados en el sector del cáñamo"</w:t>
            </w:r>
          </w:p>
        </w:tc>
        <w:tc>
          <w:tcPr>
            <w:tcW w:type="dxa" w:w="2880"/>
          </w:tcPr>
          <w:p>
            <w:r>
              <w:t>La OCM ya contempla los riesgos de salud pública</w:t>
            </w:r>
          </w:p>
        </w:tc>
      </w:tr>
      <w:tr>
        <w:tc>
          <w:tcPr>
            <w:tcW w:type="dxa" w:w="2880"/>
          </w:tcPr>
          <w:p>
            <w:r>
              <w:t>36</w:t>
            </w:r>
          </w:p>
        </w:tc>
        <w:tc>
          <w:tcPr>
            <w:tcW w:type="dxa" w:w="2880"/>
          </w:tcPr>
          <w:p>
            <w:r>
              <w:t>"los Reglamentos [...] se oponen a una normativa nacional que tiene por efecto prohibir el cultivo y posesión del cáñamo industrial"</w:t>
            </w:r>
          </w:p>
        </w:tc>
        <w:tc>
          <w:tcPr>
            <w:tcW w:type="dxa" w:w="2880"/>
          </w:tcPr>
          <w:p>
            <w:r>
              <w:t>España NO puede prohibir el cáñamo industrial</w:t>
            </w:r>
          </w:p>
        </w:tc>
      </w:tr>
    </w:tbl>
    <w:p/>
    <w:p>
      <w:r>
        <w:t>__________________________________________________</w:t>
      </w:r>
    </w:p>
    <w:p>
      <w:pPr>
        <w:pStyle w:val="Heading1"/>
      </w:pPr>
      <w:r>
        <w:t>7.2 Clasificación de sustancias</w:t>
      </w:r>
    </w:p>
    <w:p>
      <w:pPr>
        <w:pStyle w:val="Heading2"/>
      </w:pPr>
      <w:r>
        <w:t>Comisión/Austria — Vitaminas (C-150/00)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Apartado</w:t>
            </w:r>
          </w:p>
        </w:tc>
        <w:tc>
          <w:tcPr>
            <w:tcW w:type="dxa" w:w="2880"/>
          </w:tcPr>
          <w:p>
            <w:r>
              <w:rPr>
                <w:b/>
              </w:rPr>
              <w:t>Texto literal</w:t>
            </w:r>
          </w:p>
        </w:tc>
        <w:tc>
          <w:tcPr>
            <w:tcW w:type="dxa" w:w="2880"/>
          </w:tcPr>
          <w:p>
            <w:r>
              <w:rPr>
                <w:b/>
              </w:rPr>
              <w:t>Aplicación al caso</w:t>
            </w:r>
          </w:p>
        </w:tc>
      </w:tr>
      <w:tr>
        <w:tc>
          <w:tcPr>
            <w:tcW w:type="dxa" w:w="2880"/>
          </w:tcPr>
          <w:p>
            <w:r>
              <w:t>64-66</w:t>
            </w:r>
          </w:p>
        </w:tc>
        <w:tc>
          <w:tcPr>
            <w:tcW w:type="dxa" w:w="2880"/>
          </w:tcPr>
          <w:p>
            <w:r>
              <w:t>"El hecho de que un producto contenga vitaminas no basta para calificarlo de medicamento [...] Es necesario examinar caso por caso, teniendo en cuenta la dosis del producto y las condiciones normales de empleo."</w:t>
            </w:r>
          </w:p>
        </w:tc>
        <w:tc>
          <w:tcPr>
            <w:tcW w:type="dxa" w:w="2880"/>
          </w:tcPr>
          <w:p>
            <w:r>
              <w:t>El CBD no es "farmacológico per se" — depende de la dosis</w:t>
            </w:r>
          </w:p>
        </w:tc>
      </w:tr>
    </w:tbl>
    <w:p/>
    <w:p>
      <w:r>
        <w:t>__________________________________________________</w:t>
      </w:r>
    </w:p>
    <w:p>
      <w:pPr>
        <w:pStyle w:val="Heading2"/>
      </w:pPr>
      <w:r>
        <w:t>Comisión/Alemania — Cápsulas de ajo (C-319/05)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Apartado</w:t>
            </w:r>
          </w:p>
        </w:tc>
        <w:tc>
          <w:tcPr>
            <w:tcW w:type="dxa" w:w="2880"/>
          </w:tcPr>
          <w:p>
            <w:r>
              <w:rPr>
                <w:b/>
              </w:rPr>
              <w:t>Texto literal</w:t>
            </w:r>
          </w:p>
        </w:tc>
        <w:tc>
          <w:tcPr>
            <w:tcW w:type="dxa" w:w="2880"/>
          </w:tcPr>
          <w:p>
            <w:r>
              <w:rPr>
                <w:b/>
              </w:rPr>
              <w:t>Aplicación al caso</w:t>
            </w:r>
          </w:p>
        </w:tc>
      </w:tr>
      <w:tr>
        <w:tc>
          <w:tcPr>
            <w:tcW w:type="dxa" w:w="2880"/>
          </w:tcPr>
          <w:p>
            <w:r>
              <w:t>61</w:t>
            </w:r>
          </w:p>
        </w:tc>
        <w:tc>
          <w:tcPr>
            <w:tcW w:type="dxa" w:w="2880"/>
          </w:tcPr>
          <w:p>
            <w:r>
              <w:t>"Un producto no puede considerarse un medicamento únicamente porque contiene una sustancia que, en determinada dosis, puede tener un efecto fisiológico, si esa dosis no se alcanza con el consumo normal del producto."</w:t>
            </w:r>
          </w:p>
        </w:tc>
        <w:tc>
          <w:tcPr>
            <w:tcW w:type="dxa" w:w="2880"/>
          </w:tcPr>
          <w:p>
            <w:r>
              <w:t>El formato no determina la clasificación</w:t>
            </w:r>
          </w:p>
        </w:tc>
      </w:tr>
    </w:tbl>
    <w:p/>
    <w:p>
      <w:r>
        <w:t>__________________________________________________</w:t>
      </w:r>
    </w:p>
    <w:p>
      <w:pPr>
        <w:pStyle w:val="Heading1"/>
      </w:pPr>
      <w:r>
        <w:t>7.3 Kanavape (C-663/18) — 19 de noviembre de 2020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Apartado</w:t>
            </w:r>
          </w:p>
        </w:tc>
        <w:tc>
          <w:tcPr>
            <w:tcW w:type="dxa" w:w="2880"/>
          </w:tcPr>
          <w:p>
            <w:r>
              <w:rPr>
                <w:b/>
              </w:rPr>
              <w:t>Texto literal</w:t>
            </w:r>
          </w:p>
        </w:tc>
        <w:tc>
          <w:tcPr>
            <w:tcW w:type="dxa" w:w="2880"/>
          </w:tcPr>
          <w:p>
            <w:r>
              <w:rPr>
                <w:b/>
              </w:rPr>
              <w:t>Aplicación al caso</w:t>
            </w:r>
          </w:p>
        </w:tc>
      </w:tr>
      <w:tr>
        <w:tc>
          <w:tcPr>
            <w:tcW w:type="dxa" w:w="2880"/>
          </w:tcPr>
          <w:p>
            <w:r>
              <w:t>72</w:t>
            </w:r>
          </w:p>
        </w:tc>
        <w:tc>
          <w:tcPr>
            <w:tcW w:type="dxa" w:w="2880"/>
          </w:tcPr>
          <w:p>
            <w:r>
              <w:t>"el CBD controvertido en el litigio principal no parece tener efectos psicotrópicos ni nocivos para la salud humana sobre la base de los datos científicos disponibles"</w:t>
            </w:r>
          </w:p>
        </w:tc>
        <w:tc>
          <w:tcPr>
            <w:tcW w:type="dxa" w:w="2880"/>
          </w:tcPr>
          <w:p>
            <w:r>
              <w:t>CBD no es nocivo según el TJUE</w:t>
            </w:r>
          </w:p>
        </w:tc>
      </w:tr>
      <w:tr>
        <w:tc>
          <w:tcPr>
            <w:tcW w:type="dxa" w:w="2880"/>
          </w:tcPr>
          <w:p>
            <w:r>
              <w:t>75</w:t>
            </w:r>
          </w:p>
        </w:tc>
        <w:tc>
          <w:tcPr>
            <w:tcW w:type="dxa" w:w="2880"/>
          </w:tcPr>
          <w:p>
            <w:r>
              <w:t>"sería contrario a la finalidad y al espíritu general de la Convención Única incluir [el CBD] en la definición de «estupefacientes»"</w:t>
            </w:r>
          </w:p>
        </w:tc>
        <w:tc>
          <w:tcPr>
            <w:tcW w:type="dxa" w:w="2880"/>
          </w:tcPr>
          <w:p>
            <w:r>
              <w:t>CBD no cabe en CN61</w:t>
            </w:r>
          </w:p>
        </w:tc>
      </w:tr>
      <w:tr>
        <w:tc>
          <w:tcPr>
            <w:tcW w:type="dxa" w:w="2880"/>
          </w:tcPr>
          <w:p>
            <w:r>
              <w:t>76</w:t>
            </w:r>
          </w:p>
        </w:tc>
        <w:tc>
          <w:tcPr>
            <w:tcW w:type="dxa" w:w="2880"/>
          </w:tcPr>
          <w:p>
            <w:r>
              <w:t>"el CBD controvertido no es un estupefaciente, en el sentido de la Convención Única"</w:t>
            </w:r>
          </w:p>
        </w:tc>
        <w:tc>
          <w:tcPr>
            <w:tcW w:type="dxa" w:w="2880"/>
          </w:tcPr>
          <w:p>
            <w:r>
              <w:t>Declaración definitiva del TJUE</w:t>
            </w:r>
          </w:p>
        </w:tc>
      </w:tr>
    </w:tbl>
    <w:p/>
    <w:p>
      <w:r>
        <w:t>__________________________________________________</w:t>
      </w:r>
    </w:p>
    <w:p>
      <w:pPr>
        <w:pStyle w:val="Title"/>
        <w:jc w:val="center"/>
      </w:pPr>
      <w:r>
        <w:t>8. CONCLUSIÓN Y PETITUM</w:t>
      </w:r>
    </w:p>
    <w:p>
      <w:pPr>
        <w:pStyle w:val="Heading1"/>
      </w:pPr>
      <w:r>
        <w:t>8.1 Conclusión</w:t>
      </w:r>
    </w:p>
    <w:p>
      <w:pPr>
        <w:ind w:left="432"/>
      </w:pPr>
      <w:r>
        <w:rPr>
          <w:rFonts w:ascii="Consolas" w:hAnsi="Consolas"/>
          <w:sz w:val="18"/>
        </w:rPr>
        <w:t>┌─────────────────────────────────────────────────────────────────────────┐</w:t>
        <w:br/>
      </w:r>
      <w:r>
        <w:rPr>
          <w:rFonts w:ascii="Consolas" w:hAnsi="Consolas"/>
          <w:sz w:val="18"/>
        </w:rPr>
        <w:t>│                    CONCLUSIÓN - DOS ESCALONES                            │</w:t>
        <w:br/>
      </w:r>
      <w:r>
        <w:rPr>
          <w:rFonts w:ascii="Consolas" w:hAnsi="Consolas"/>
          <w:sz w:val="18"/>
        </w:rPr>
        <w:t>├─────────────────────────────────────────────────────────────────────────┤</w:t>
        <w:br/>
      </w:r>
      <w:r>
        <w:rPr>
          <w:rFonts w:ascii="Consolas" w:hAnsi="Consolas"/>
          <w:sz w:val="18"/>
        </w:rPr>
        <w:t>│                                                                          │</w:t>
        <w:br/>
      </w:r>
      <w:r>
        <w:rPr>
          <w:rFonts w:ascii="Consolas" w:hAnsi="Consolas"/>
          <w:sz w:val="18"/>
        </w:rPr>
        <w:t>│  ESCALÓN 1: CÁÑAMO INDUSTRIAL (flores &lt;0,2-0,3% THC)                    │</w:t>
        <w:br/>
      </w:r>
      <w:r>
        <w:rPr>
          <w:rFonts w:ascii="Consolas" w:hAnsi="Consolas"/>
          <w:sz w:val="18"/>
        </w:rPr>
        <w:t>│  ─────────────────────────────────────────────────────────────────────  │</w:t>
        <w:br/>
      </w:r>
      <w:r>
        <w:rPr>
          <w:rFonts w:ascii="Consolas" w:hAnsi="Consolas"/>
          <w:sz w:val="18"/>
        </w:rPr>
        <w:t>│  • Es PRODUCTO AGRÍCOLA, no estupefaciente                              │</w:t>
        <w:br/>
      </w:r>
      <w:r>
        <w:rPr>
          <w:rFonts w:ascii="Consolas" w:hAnsi="Consolas"/>
          <w:sz w:val="18"/>
        </w:rPr>
        <w:t>│  • No requiere licencia de sustancias controladas                       │</w:t>
        <w:br/>
      </w:r>
      <w:r>
        <w:rPr>
          <w:rFonts w:ascii="Consolas" w:hAnsi="Consolas"/>
          <w:sz w:val="18"/>
        </w:rPr>
        <w:t>│  • Argumentos: PAC/OCM, Kanavape, 7 Estados TPD, supresión Art. 3.1    │</w:t>
        <w:br/>
      </w:r>
      <w:r>
        <w:rPr>
          <w:rFonts w:ascii="Consolas" w:hAnsi="Consolas"/>
          <w:sz w:val="18"/>
        </w:rPr>
        <w:t>│  • NO necesitamos Evans Medical para esto                                │</w:t>
        <w:br/>
      </w:r>
      <w:r>
        <w:rPr>
          <w:rFonts w:ascii="Consolas" w:hAnsi="Consolas"/>
          <w:sz w:val="18"/>
        </w:rPr>
        <w:t>│                                                                          │</w:t>
        <w:br/>
      </w:r>
      <w:r>
        <w:rPr>
          <w:rFonts w:ascii="Consolas" w:hAnsi="Consolas"/>
          <w:sz w:val="18"/>
        </w:rPr>
        <w:t>│  ESCALÓN 2: CANNABIS MEDICINAL (preparados con THC)                     │</w:t>
        <w:br/>
      </w:r>
      <w:r>
        <w:rPr>
          <w:rFonts w:ascii="Consolas" w:hAnsi="Consolas"/>
          <w:sz w:val="18"/>
        </w:rPr>
        <w:t>│  ─────────────────────────────────────────────────────────────────────  │</w:t>
        <w:br/>
      </w:r>
      <w:r>
        <w:rPr>
          <w:rFonts w:ascii="Consolas" w:hAnsi="Consolas"/>
          <w:sz w:val="18"/>
        </w:rPr>
        <w:t>│  • Debe regularse como MEDICAMENTO, no como estupefaciente              │</w:t>
        <w:br/>
      </w:r>
      <w:r>
        <w:rPr>
          <w:rFonts w:ascii="Consolas" w:hAnsi="Consolas"/>
          <w:sz w:val="18"/>
        </w:rPr>
        <w:t>│  • El Art. 3 del RD es NULO por vulnerar libre circulación              │</w:t>
        <w:br/>
      </w:r>
      <w:r>
        <w:rPr>
          <w:rFonts w:ascii="Consolas" w:hAnsi="Consolas"/>
          <w:sz w:val="18"/>
        </w:rPr>
        <w:t>│  • Argumento: EVANS MEDICAL + Reforma alemana 2024                      │</w:t>
        <w:br/>
      </w:r>
      <w:r>
        <w:rPr>
          <w:rFonts w:ascii="Consolas" w:hAnsi="Consolas"/>
          <w:sz w:val="18"/>
        </w:rPr>
        <w:t>│  • Alemania comercializa cannabis medicinal sin BtM-Rezept              │</w:t>
        <w:br/>
      </w:r>
      <w:r>
        <w:rPr>
          <w:rFonts w:ascii="Consolas" w:hAnsi="Consolas"/>
          <w:sz w:val="18"/>
        </w:rPr>
        <w:t>│                                                                          │</w:t>
        <w:br/>
      </w:r>
      <w:r>
        <w:rPr>
          <w:rFonts w:ascii="Consolas" w:hAnsi="Consolas"/>
          <w:sz w:val="18"/>
        </w:rPr>
        <w:t>│  HALLAZGOS CLAVE DEL EXPEDIENTE:                                         │</w:t>
        <w:br/>
      </w:r>
      <w:r>
        <w:rPr>
          <w:rFonts w:ascii="Consolas" w:hAnsi="Consolas"/>
          <w:sz w:val="18"/>
        </w:rPr>
        <w:t>│  ─────────────────────────────────────────────────────────────────────  │</w:t>
        <w:br/>
      </w:r>
      <w:r>
        <w:rPr>
          <w:rFonts w:ascii="Consolas" w:hAnsi="Consolas"/>
          <w:sz w:val="18"/>
        </w:rPr>
        <w:t>│  • El MAPA pidió suprimir Art. 3.1 ("todo cannabis = estupefaciente")  │</w:t>
        <w:br/>
      </w:r>
      <w:r>
        <w:rPr>
          <w:rFonts w:ascii="Consolas" w:hAnsi="Consolas"/>
          <w:sz w:val="18"/>
        </w:rPr>
        <w:t>│  • Sanidad ACEPTÓ la supresión                                           │</w:t>
        <w:br/>
      </w:r>
      <w:r>
        <w:rPr>
          <w:rFonts w:ascii="Consolas" w:hAnsi="Consolas"/>
          <w:sz w:val="18"/>
        </w:rPr>
        <w:t>│  • 10 contradicciones documentadas entre ministerios y documentos       │</w:t>
        <w:br/>
      </w:r>
      <w:r>
        <w:rPr>
          <w:rFonts w:ascii="Consolas" w:hAnsi="Consolas"/>
          <w:sz w:val="18"/>
        </w:rPr>
        <w:t>│  • PNL del Congreso establecía 1% THC - el RD usa 0,2%                  │</w:t>
        <w:br/>
      </w:r>
      <w:r>
        <w:rPr>
          <w:rFonts w:ascii="Consolas" w:hAnsi="Consolas"/>
          <w:sz w:val="18"/>
        </w:rPr>
        <w:t>│                                                                          │</w:t>
        <w:br/>
      </w:r>
      <w:r>
        <w:rPr>
          <w:rFonts w:ascii="Consolas" w:hAnsi="Consolas"/>
          <w:sz w:val="18"/>
        </w:rPr>
        <w:t>└─────────────────────────────────────────────────────────────────────────┘</w:t>
        <w:br/>
      </w:r>
    </w:p>
    <w:p>
      <w:r>
        <w:t>__________________________________________________</w:t>
      </w:r>
    </w:p>
    <w:p>
      <w:pPr>
        <w:pStyle w:val="Heading1"/>
      </w:pPr>
      <w:r>
        <w:t>8.2 SUPLICO (7 peticiones con lógica de dos escalones)</w:t>
      </w:r>
    </w:p>
    <w:p>
      <w:r>
        <w:t xml:space="preserve">Conforme a la técnica de </w:t>
      </w:r>
      <w:r>
        <w:rPr>
          <w:b/>
        </w:rPr>
        <w:t>sentencias interpretativas</w:t>
      </w:r>
      <w:r>
        <w:t xml:space="preserve"> admitida por el Tribunal Supremo y al amparo del Art. 71 LJCA:</w:t>
      </w:r>
    </w:p>
    <w:p>
      <w:r>
        <w:t>__________________________________________________</w:t>
      </w:r>
    </w:p>
    <w:p>
      <w:pPr>
        <w:pStyle w:val="Heading2"/>
      </w:pPr>
      <w:r>
        <w:t>PRIMERO (PRINCIPAL - ESCALÓN 1): CÁÑAMO INDUSTRIAL SIN LICENCIA</w:t>
      </w:r>
    </w:p>
    <w:p>
      <w:r/>
      <w:r>
        <w:rPr>
          <w:b/>
        </w:rPr>
        <w:t>DECLARE que</w:t>
      </w:r>
      <w:r>
        <w:t xml:space="preserve"> las flores de cáñamo industrial (código CN 1211 90 86) procedentes de variedades certificadas en el Catálogo Común de Variedades de la UE y con contenido de THC inferior al umbral establecido:</w:t>
      </w:r>
    </w:p>
    <w:p>
      <w:r>
        <w:t xml:space="preserve">a) Son </w:t>
      </w:r>
      <w:r>
        <w:rPr>
          <w:b/>
        </w:rPr>
        <w:t>PRODUCTOS AGRÍCOLAS</w:t>
      </w:r>
      <w:r>
        <w:t xml:space="preserve"> sujetos a la libre circulación de mercancías (Arts. 34-36 TFUE);</w:t>
      </w:r>
    </w:p>
    <w:p>
      <w:r>
        <w:t xml:space="preserve">b) </w:t>
      </w:r>
      <w:r>
        <w:rPr>
          <w:b/>
        </w:rPr>
        <w:t>NO constituyen estupefacientes</w:t>
      </w:r>
      <w:r>
        <w:t xml:space="preserve"> ni psicotrópicos a efectos de la Convención Única de 1961 ni del Convenio de 1971;</w:t>
      </w:r>
    </w:p>
    <w:p>
      <w:r>
        <w:t xml:space="preserve">c) </w:t>
      </w:r>
      <w:r>
        <w:rPr>
          <w:b/>
        </w:rPr>
        <w:t>NO requieren licencia de estupefacientes ni de psicotrópicos</w:t>
      </w:r>
      <w:r>
        <w:t xml:space="preserve"> para su cultivo, importación, transformación, distribución o comercialización;</w:t>
      </w:r>
    </w:p>
    <w:p>
      <w:r>
        <w:t xml:space="preserve">d) Pueden comercializarse conforme al marco regulatorio europeo aplicable (TPD, Novel Food, Cosméticos) </w:t>
      </w:r>
      <w:r>
        <w:rPr>
          <w:b/>
        </w:rPr>
        <w:t>sin licencia adicional de sustancias controladas</w:t>
      </w:r>
      <w:r>
        <w:t>.</w:t>
      </w:r>
    </w:p>
    <w:p>
      <w:r/>
      <w:r>
        <w:rPr>
          <w:b/>
        </w:rPr>
        <w:t>Fundamento</w:t>
      </w:r>
      <w:r>
        <w:t xml:space="preserve"> (SIN recurrir a Evans Medical):</w:t>
      </w:r>
    </w:p>
    <w:p>
      <w:r>
        <w:t>- Propuesta COM(2025) 553 de la Comisión Europea</w:t>
      </w:r>
    </w:p>
    <w:p>
      <w:r>
        <w:t>- Sentencia TJUE C-663/18 (Kanavape)</w:t>
      </w:r>
    </w:p>
    <w:p>
      <w:r>
        <w:t>- Siete Estados miembros comercializan flores de cáñamo bajo TPD</w:t>
      </w:r>
    </w:p>
    <w:p>
      <w:r>
        <w:t>- Supresión del Art. 3.1 del RD a petición del MAPA</w:t>
      </w:r>
    </w:p>
    <w:p>
      <w:r>
        <w:t>__________________________________________________</w:t>
      </w:r>
    </w:p>
    <w:p>
      <w:pPr>
        <w:pStyle w:val="Heading2"/>
      </w:pPr>
      <w:r>
        <w:t>SEGUNDO (PRINCIPAL - ESCALÓN 2): CANNABIS MEDICINAL = LICENCIA DE MEDICAMENTOS</w:t>
      </w:r>
    </w:p>
    <w:p>
      <w:r/>
      <w:r>
        <w:rPr>
          <w:b/>
        </w:rPr>
        <w:t>Declare NO CONFORME A DERECHO y proceda a la ANULACIÓN ÍNTEGRA del artículo 3</w:t>
      </w:r>
      <w:r>
        <w:t xml:space="preserve"> del Real Decreto, por vulnerar:</w:t>
      </w:r>
    </w:p>
    <w:p>
      <w:r>
        <w:t xml:space="preserve">a) Los </w:t>
      </w:r>
      <w:r>
        <w:rPr>
          <w:b/>
        </w:rPr>
        <w:t>artículos 34-36 TFUE</w:t>
      </w:r>
      <w:r>
        <w:t xml:space="preserve"> (libre circulación de mercancías), en conexión con </w:t>
      </w:r>
      <w:r>
        <w:rPr>
          <w:b/>
        </w:rPr>
        <w:t>Evans Medical (C-324/93)</w:t>
      </w:r>
      <w:r>
        <w:t xml:space="preserve">, </w:t>
      </w:r>
      <w:r>
        <w:rPr>
          <w:b/>
        </w:rPr>
        <w:t>Wolf (221/81)</w:t>
      </w:r>
      <w:r>
        <w:t xml:space="preserve"> y </w:t>
      </w:r>
      <w:r>
        <w:rPr>
          <w:b/>
        </w:rPr>
        <w:t>Kanavape (C-663/18)</w:t>
      </w:r>
      <w:r>
        <w:t>;</w:t>
      </w:r>
    </w:p>
    <w:p>
      <w:r>
        <w:t xml:space="preserve">b) El principio según el cual </w:t>
      </w:r>
      <w:r>
        <w:rPr>
          <w:i/>
        </w:rPr>
        <w:t>"cuando un Convenio internacional permite que un Estado miembro adopte una medida contraria al Derecho UE, pero sin obligarle, el Estado miembro debe abstenerse de adoptar dicha medida"</w:t>
      </w:r>
      <w:r>
        <w:t xml:space="preserve"> (Evans Medical apartado 32);</w:t>
      </w:r>
    </w:p>
    <w:p>
      <w:r>
        <w:t xml:space="preserve">c) La realidad de que </w:t>
      </w:r>
      <w:r>
        <w:rPr>
          <w:b/>
        </w:rPr>
        <w:t>Alemania</w:t>
      </w:r>
      <w:r>
        <w:t xml:space="preserve">, desde el </w:t>
      </w:r>
      <w:r>
        <w:rPr>
          <w:b/>
        </w:rPr>
        <w:t>CanG de 27 de marzo de 2024</w:t>
      </w:r>
      <w:r>
        <w:t>, ha eliminado el cannabis de la Ley de Estupefacientes y comercializa cannabis medicinal como medicamento ordinario;</w:t>
      </w:r>
    </w:p>
    <w:p>
      <w:r>
        <w:t xml:space="preserve">d) El </w:t>
      </w:r>
      <w:r>
        <w:rPr>
          <w:b/>
        </w:rPr>
        <w:t>principio de reconocimiento mutuo</w:t>
      </w:r>
      <w:r>
        <w:t xml:space="preserve"> (Cassis de Dijon, C-120/78).</w:t>
      </w:r>
    </w:p>
    <w:p>
      <w:r>
        <w:t>__________________________________________________</w:t>
      </w:r>
    </w:p>
    <w:p>
      <w:pPr>
        <w:pStyle w:val="Heading2"/>
      </w:pPr>
      <w:r>
        <w:t>TERCERO (SUBSIDIARIO - REFUERZO EVANS MEDICAL PARA ESCALÓN 1)</w:t>
      </w:r>
    </w:p>
    <w:p>
      <w:r>
        <w:t xml:space="preserve">Subsidiariamente, y </w:t>
      </w:r>
      <w:r>
        <w:rPr>
          <w:b/>
        </w:rPr>
        <w:t>SOLO SI el Tribunal no estimara el pedimento PRIMERO</w:t>
      </w:r>
      <w:r>
        <w:t xml:space="preserve">, </w:t>
      </w:r>
      <w:r>
        <w:rPr>
          <w:b/>
        </w:rPr>
        <w:t>DECLARE que</w:t>
      </w:r>
      <w:r>
        <w:t>:</w:t>
      </w:r>
    </w:p>
    <w:p>
      <w:r>
        <w:t xml:space="preserve">Incluso considerando que las flores de cáñamo pudieran incluirse en la definición morfológica de "cannabis" de la Convención de 1961, España </w:t>
      </w:r>
      <w:r>
        <w:rPr>
          <w:b/>
        </w:rPr>
        <w:t>NO puede prohibir su comercialización</w:t>
      </w:r>
      <w:r>
        <w:t xml:space="preserve"> aplicando Evans Medical (C-324/93, apartado 32):</w:t>
      </w:r>
    </w:p>
    <w:p>
      <w:r>
        <w:t xml:space="preserve">Dado que </w:t>
      </w:r>
      <w:r>
        <w:rPr>
          <w:b/>
        </w:rPr>
        <w:t>siete Estados miembros</w:t>
      </w:r>
      <w:r>
        <w:t xml:space="preserve"> comercializan legalmente flores de cáñamo bajo la Directiva TPD 2014/40/UE, la Convención de 1961 </w:t>
      </w:r>
      <w:r>
        <w:rPr>
          <w:b/>
        </w:rPr>
        <w:t>permite</w:t>
      </w:r>
      <w:r>
        <w:t xml:space="preserve"> pero </w:t>
      </w:r>
      <w:r>
        <w:rPr>
          <w:b/>
        </w:rPr>
        <w:t>no obliga</w:t>
      </w:r>
      <w:r>
        <w:t xml:space="preserve"> a su prohibición. España debe abstenerse.</w:t>
      </w:r>
    </w:p>
    <w:p>
      <w:r>
        <w:t>__________________________________________________</w:t>
      </w:r>
    </w:p>
    <w:p>
      <w:pPr>
        <w:pStyle w:val="Heading2"/>
      </w:pPr>
      <w:r>
        <w:t>CUARTO (DESPROPORCIONALIDAD - ART. 8 OFICINAS DE FARMACIA)</w:t>
      </w:r>
    </w:p>
    <w:p>
      <w:r/>
      <w:r>
        <w:rPr>
          <w:b/>
        </w:rPr>
        <w:t>DECLARE que</w:t>
      </w:r>
      <w:r>
        <w:t xml:space="preserve"> la restricción del artículo 8 del RD que limita la elaboración y dispensación exclusivamente a servicios de farmacia hospitalaria es </w:t>
      </w:r>
      <w:r>
        <w:rPr>
          <w:b/>
        </w:rPr>
        <w:t>DESPROPORCIONADA</w:t>
      </w:r>
      <w:r>
        <w:t xml:space="preserve"> y vulnera el principio de proporcionalidad, y en consecuencia:</w:t>
      </w:r>
    </w:p>
    <w:p>
      <w:r>
        <w:t xml:space="preserve">a) </w:t>
      </w:r>
      <w:r>
        <w:rPr>
          <w:b/>
        </w:rPr>
        <w:t>Permita</w:t>
      </w:r>
      <w:r>
        <w:t xml:space="preserve"> la elaboración y dispensación en oficinas de farmacia debidamente acreditadas;</w:t>
      </w:r>
    </w:p>
    <w:p>
      <w:r>
        <w:t xml:space="preserve">b) </w:t>
      </w:r>
      <w:r>
        <w:rPr>
          <w:b/>
        </w:rPr>
        <w:t>Alternativamente</w:t>
      </w:r>
      <w:r>
        <w:t>, establezca un calendario claro para la extensión a farmacias comunitarias conforme a la Disposición Adicional Tercera del propio RD.</w:t>
      </w:r>
    </w:p>
    <w:p>
      <w:r/>
      <w:r>
        <w:rPr>
          <w:b/>
        </w:rPr>
        <w:t>Fundamento</w:t>
      </w:r>
      <w:r>
        <w:t>:</w:t>
      </w:r>
    </w:p>
    <w:p>
      <w:r>
        <w:t>- Múltiples alegantes solicitaron inclusión de oficinas de farmacia</w:t>
      </w:r>
    </w:p>
    <w:p>
      <w:r>
        <w:t>- Comunidad Foral de Navarra alegó expresamente a favor</w:t>
      </w:r>
    </w:p>
    <w:p>
      <w:r>
        <w:t>- El propio RD (DA 3ª) contempla la posibilidad futura</w:t>
      </w:r>
    </w:p>
    <w:p>
      <w:r>
        <w:t>- Si el seguimiento farmacoterapéutico fuera obstáculo real, ¿por qué prever posibilidad futura?</w:t>
      </w:r>
    </w:p>
    <w:p>
      <w:r>
        <w:t>__________________________________________________</w:t>
      </w:r>
    </w:p>
    <w:p>
      <w:pPr>
        <w:pStyle w:val="Heading2"/>
      </w:pPr>
      <w:r>
        <w:t>QUINTO: INTERPRETACIÓN CONFORME AL DERECHO UE</w:t>
      </w:r>
    </w:p>
    <w:p>
      <w:r/>
      <w:r>
        <w:rPr>
          <w:b/>
        </w:rPr>
        <w:t>DECLARE que</w:t>
      </w:r>
      <w:r>
        <w:t>:</w:t>
      </w:r>
    </w:p>
    <w:p>
      <w:r>
        <w:t xml:space="preserve">a) Las definiciones contenidas en los artículos 2 y 3 del Real Decreto </w:t>
      </w:r>
      <w:r>
        <w:rPr>
          <w:b/>
        </w:rPr>
        <w:t>NO CONSTITUYEN base normativa</w:t>
      </w:r>
      <w:r>
        <w:t xml:space="preserve"> para actuaciones administrativas o penales fuera del ámbito estrictamente medicinal;</w:t>
      </w:r>
    </w:p>
    <w:p>
      <w:r>
        <w:t xml:space="preserve">b) El Real Decreto </w:t>
      </w:r>
      <w:r>
        <w:rPr>
          <w:b/>
        </w:rPr>
        <w:t>DEBE INTERPRETARSE de conformidad con</w:t>
      </w:r>
      <w:r>
        <w:t>:</w:t>
      </w:r>
    </w:p>
    <w:p>
      <w:r>
        <w:t xml:space="preserve">- La doctrina del TJUE en </w:t>
      </w:r>
      <w:r>
        <w:rPr>
          <w:b/>
        </w:rPr>
        <w:t>Kanavape</w:t>
      </w:r>
      <w:r>
        <w:t xml:space="preserve">, </w:t>
      </w:r>
      <w:r>
        <w:rPr>
          <w:b/>
        </w:rPr>
        <w:t>Hammarsten</w:t>
      </w:r>
      <w:r>
        <w:t xml:space="preserve"> y </w:t>
      </w:r>
      <w:r>
        <w:rPr>
          <w:b/>
        </w:rPr>
        <w:t>Evans Medical</w:t>
      </w:r>
      <w:r>
        <w:t>;</w:t>
      </w:r>
    </w:p>
    <w:p>
      <w:r>
        <w:t xml:space="preserve">- El principio de </w:t>
      </w:r>
      <w:r>
        <w:rPr>
          <w:b/>
        </w:rPr>
        <w:t>libre circulación de mercancías</w:t>
      </w:r>
      <w:r>
        <w:t xml:space="preserve"> (Arts. 34-36 TFUE);</w:t>
      </w:r>
    </w:p>
    <w:p>
      <w:r>
        <w:t xml:space="preserve">- La </w:t>
      </w:r>
      <w:r>
        <w:rPr>
          <w:b/>
        </w:rPr>
        <w:t>propuesta COM(2025) 553</w:t>
      </w:r>
      <w:r>
        <w:t xml:space="preserve"> de la Comisión Europea.</w:t>
      </w:r>
    </w:p>
    <w:p>
      <w:r>
        <w:t>__________________________________________________</w:t>
      </w:r>
    </w:p>
    <w:p>
      <w:pPr>
        <w:pStyle w:val="Heading2"/>
      </w:pPr>
      <w:r>
        <w:t>SEXTO: MEDIDAS COMPLEMENTARIAS</w:t>
      </w:r>
    </w:p>
    <w:p>
      <w:r/>
      <w:r>
        <w:rPr>
          <w:b/>
        </w:rPr>
        <w:t>REQUIERA al Gobierno de España</w:t>
      </w:r>
      <w:r>
        <w:t xml:space="preserve"> la aportación íntegra de la circular de la Junta Internacional de Fiscalización de Estupefacientes </w:t>
      </w:r>
      <w:r>
        <w:rPr>
          <w:b/>
        </w:rPr>
        <w:t>Ref.: E/INCB/NAR/C.L.20/2024</w:t>
      </w:r>
      <w:r>
        <w:t>, de 16 de diciembre de 2024.</w:t>
      </w:r>
    </w:p>
    <w:p>
      <w:r>
        <w:t>__________________________________________________</w:t>
      </w:r>
    </w:p>
    <w:p>
      <w:pPr>
        <w:pStyle w:val="Heading2"/>
      </w:pPr>
      <w:r>
        <w:t>SÉPTIMO (SUBSIDIARIO): CUESTIONES PREJUDICIALES</w:t>
      </w:r>
    </w:p>
    <w:p>
      <w:r>
        <w:t xml:space="preserve">Subsidiariamente, que se plantee </w:t>
      </w:r>
      <w:r>
        <w:rPr>
          <w:b/>
        </w:rPr>
        <w:t>cuestión prejudicial</w:t>
      </w:r>
      <w:r>
        <w:t xml:space="preserve"> al Tribunal de Justicia de la Unión Europea conforme al apartado siguiente.</w:t>
      </w:r>
    </w:p>
    <w:p>
      <w:r>
        <w:t>__________________________________________________</w:t>
      </w:r>
    </w:p>
    <w:p>
      <w:pPr>
        <w:pStyle w:val="Heading1"/>
      </w:pPr>
      <w:r>
        <w:t>8.3 NUEVO: Cuestiones prejudiciales sugeridas</w:t>
      </w:r>
    </w:p>
    <w:p>
      <w:pPr>
        <w:pStyle w:val="Heading2"/>
      </w:pPr>
      <w:r>
        <w:t>Cuestión 1 (Flores):</w:t>
      </w:r>
    </w:p>
    <w:p>
      <w:pPr>
        <w:ind w:left="720" w:right="432"/>
      </w:pPr>
      <w:r>
        <w:rPr>
          <w:i/>
        </w:rPr>
        <w:t>"¿Debe interpretarse el artículo 34 TFUE, en relación con la sentencia Evans Medical (C-324/93), en el sentido de que se opone a una normativa nacional que excluye las flores de cáñamo industrial de los preparados admitidos, cuando dichas flores se comercializan legalmente como hierbas para fumar en otros Estados miembros?"</w:t>
      </w:r>
    </w:p>
    <w:p>
      <w:pPr>
        <w:pStyle w:val="Heading2"/>
      </w:pPr>
      <w:r>
        <w:t>Cuestión 2 (Umbral THC):</w:t>
      </w:r>
    </w:p>
    <w:p>
      <w:pPr>
        <w:ind w:left="720" w:right="432"/>
      </w:pPr>
      <w:r>
        <w:rPr>
          <w:i/>
        </w:rPr>
        <w:t>"¿Debe interpretarse el artículo 34 TFUE en el sentido de que se opone a una normativa nacional que clasifica como 'psicótropo' todo preparado con THC ≥0,2%, cuando:  (a) dicho umbral procede de la PAC, no de criterios farmacológicos;  (b) la Convención de 1961 permite pero no obliga; y  (c) otros Estados miembros comercializan hasta 1% THC?"</w:t>
      </w:r>
    </w:p>
    <w:p>
      <w:pPr>
        <w:pStyle w:val="Heading2"/>
      </w:pPr>
      <w:r>
        <w:t>Cuestión 3 (CBD):</w:t>
      </w:r>
    </w:p>
    <w:p>
      <w:pPr>
        <w:ind w:left="720" w:right="432"/>
      </w:pPr>
      <w:r>
        <w:rPr>
          <w:i/>
        </w:rPr>
        <w:t>"¿Debe interpretarse la sentencia Kanavape (C-663/18) en el sentido de que se opone a una normativa nacional que atribuye 'efectos farmacológicos' al CBD sin especificar dosis, formato ni vía de administración?"</w:t>
      </w:r>
    </w:p>
    <w:p>
      <w:r>
        <w:t>__________________________________________________</w:t>
      </w:r>
    </w:p>
    <w:p>
      <w:pPr>
        <w:pStyle w:val="Title"/>
        <w:jc w:val="center"/>
      </w:pPr>
      <w:r>
        <w:t>9. ANEXO DOCUMENTAL</w:t>
      </w:r>
    </w:p>
    <w:p>
      <w:pPr>
        <w:pStyle w:val="Heading1"/>
      </w:pPr>
      <w:r>
        <w:t>A. Documentos del expediente del 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Nº</w:t>
            </w:r>
          </w:p>
        </w:tc>
        <w:tc>
          <w:tcPr>
            <w:tcW w:type="dxa" w:w="2160"/>
          </w:tcPr>
          <w:p>
            <w:r>
              <w:rPr>
                <w:b/>
              </w:rPr>
              <w:t>DOCUMENTO</w:t>
            </w:r>
          </w:p>
        </w:tc>
        <w:tc>
          <w:tcPr>
            <w:tcW w:type="dxa" w:w="2160"/>
          </w:tcPr>
          <w:p>
            <w:r>
              <w:rPr>
                <w:b/>
              </w:rPr>
              <w:t>UBICACIÓN</w:t>
            </w:r>
          </w:p>
        </w:tc>
        <w:tc>
          <w:tcPr>
            <w:tcW w:type="dxa" w:w="2160"/>
          </w:tcPr>
          <w:p>
            <w:r>
              <w:rPr>
                <w:b/>
              </w:rPr>
              <w:t>PÁGINAS CLAVE</w:t>
            </w:r>
          </w:p>
        </w:tc>
      </w:tr>
      <w:tr>
        <w:tc>
          <w:tcPr>
            <w:tcW w:type="dxa" w:w="2160"/>
          </w:tcPr>
          <w:p>
            <w:r>
              <w:t>1</w:t>
            </w:r>
          </w:p>
        </w:tc>
        <w:tc>
          <w:tcPr>
            <w:tcW w:type="dxa" w:w="2160"/>
          </w:tcPr>
          <w:p>
            <w:r>
              <w:t>RD versión final 15/07/2025</w:t>
            </w:r>
          </w:p>
        </w:tc>
        <w:tc>
          <w:tcPr>
            <w:tcW w:type="dxa" w:w="2160"/>
          </w:tcPr>
          <w:p>
            <w:r>
              <w:t>`markdown/09. RD Cannabis medicinal_rev15072025.md`</w:t>
            </w:r>
          </w:p>
        </w:tc>
        <w:tc>
          <w:tcPr>
            <w:tcW w:type="dxa" w:w="2160"/>
          </w:tcPr>
          <w:p>
            <w:r>
              <w:t>Art. 2, Art. 3</w:t>
            </w:r>
          </w:p>
        </w:tc>
      </w:tr>
      <w:tr>
        <w:tc>
          <w:tcPr>
            <w:tcW w:type="dxa" w:w="2160"/>
          </w:tcPr>
          <w:p>
            <w:r>
              <w:t>2</w:t>
            </w:r>
          </w:p>
        </w:tc>
        <w:tc>
          <w:tcPr>
            <w:tcW w:type="dxa" w:w="2160"/>
          </w:tcPr>
          <w:p>
            <w:r>
              <w:t>MAIN versión final 15/07/2025</w:t>
            </w:r>
          </w:p>
        </w:tc>
        <w:tc>
          <w:tcPr>
            <w:tcW w:type="dxa" w:w="2160"/>
          </w:tcPr>
          <w:p>
            <w:r>
              <w:t>`markdown/10. MAIN RD cannabis medicinal_rev15072025.md`</w:t>
            </w:r>
          </w:p>
        </w:tc>
        <w:tc>
          <w:tcPr>
            <w:tcW w:type="dxa" w:w="2160"/>
          </w:tcPr>
          <w:p>
            <w:r>
              <w:t>34-35, 51, 153, 159-160</w:t>
            </w:r>
          </w:p>
        </w:tc>
      </w:tr>
    </w:tbl>
    <w:p/>
    <w:p>
      <w:pPr>
        <w:pStyle w:val="Heading1"/>
      </w:pPr>
      <w:r>
        <w:t>B. Documentos de la "triple convergencia prohibicionista"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Nº</w:t>
            </w:r>
          </w:p>
        </w:tc>
        <w:tc>
          <w:tcPr>
            <w:tcW w:type="dxa" w:w="2880"/>
          </w:tcPr>
          <w:p>
            <w:r>
              <w:rPr>
                <w:b/>
              </w:rPr>
              <w:t>DOCUMENTO</w:t>
            </w:r>
          </w:p>
        </w:tc>
        <w:tc>
          <w:tcPr>
            <w:tcW w:type="dxa" w:w="2880"/>
          </w:tcPr>
          <w:p>
            <w:r>
              <w:rPr>
                <w:b/>
              </w:rPr>
              <w:t>UBICACIÓN</w:t>
            </w:r>
          </w:p>
        </w:tc>
      </w:tr>
      <w:tr>
        <w:tc>
          <w:tcPr>
            <w:tcW w:type="dxa" w:w="2880"/>
          </w:tcPr>
          <w:p>
            <w:r>
              <w:t>3</w:t>
            </w:r>
          </w:p>
        </w:tc>
        <w:tc>
          <w:tcPr>
            <w:tcW w:type="dxa" w:w="2880"/>
          </w:tcPr>
          <w:p>
            <w:r>
              <w:t>Circular Comisionado Mercado Tabacos (nov. 2020)</w:t>
            </w:r>
          </w:p>
        </w:tc>
        <w:tc>
          <w:tcPr>
            <w:tcW w:type="dxa" w:w="2880"/>
          </w:tcPr>
          <w:p>
            <w:r>
              <w:t>`contexto_actual/markdown/Circular_comisionado_tabaco_CBD.md`</w:t>
            </w:r>
          </w:p>
        </w:tc>
      </w:tr>
      <w:tr>
        <w:tc>
          <w:tcPr>
            <w:tcW w:type="dxa" w:w="2880"/>
          </w:tcPr>
          <w:p>
            <w:r>
              <w:t>4</w:t>
            </w:r>
          </w:p>
        </w:tc>
        <w:tc>
          <w:tcPr>
            <w:tcW w:type="dxa" w:w="2880"/>
          </w:tcPr>
          <w:p>
            <w:r>
              <w:t>Nota MAPA - DGPMA (dic. 2020)</w:t>
            </w:r>
          </w:p>
        </w:tc>
        <w:tc>
          <w:tcPr>
            <w:tcW w:type="dxa" w:w="2880"/>
          </w:tcPr>
          <w:p>
            <w:r>
              <w:t>`contexto_actual/markdown/Informacion_cultivo_canamo_DDGG_2020.md`</w:t>
            </w:r>
          </w:p>
        </w:tc>
      </w:tr>
      <w:tr>
        <w:tc>
          <w:tcPr>
            <w:tcW w:type="dxa" w:w="2880"/>
          </w:tcPr>
          <w:p>
            <w:r>
              <w:t>5</w:t>
            </w:r>
          </w:p>
        </w:tc>
        <w:tc>
          <w:tcPr>
            <w:tcW w:type="dxa" w:w="2880"/>
          </w:tcPr>
          <w:p>
            <w:r>
              <w:t>Instrucción Fiscalía Antidroga (jun. 2021)</w:t>
            </w:r>
          </w:p>
        </w:tc>
        <w:tc>
          <w:tcPr>
            <w:tcW w:type="dxa" w:w="2880"/>
          </w:tcPr>
          <w:p>
            <w:r>
              <w:t>`contexto_actual/markdown/Instruccion_fiscalia_canamo.md`</w:t>
            </w:r>
          </w:p>
        </w:tc>
      </w:tr>
    </w:tbl>
    <w:p/>
    <w:p>
      <w:pPr>
        <w:pStyle w:val="Heading1"/>
      </w:pPr>
      <w:r>
        <w:t>C. Normativa europea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Nº</w:t>
            </w:r>
          </w:p>
        </w:tc>
        <w:tc>
          <w:tcPr>
            <w:tcW w:type="dxa" w:w="2880"/>
          </w:tcPr>
          <w:p>
            <w:r>
              <w:rPr>
                <w:b/>
              </w:rPr>
              <w:t>DOCUMENTO</w:t>
            </w:r>
          </w:p>
        </w:tc>
        <w:tc>
          <w:tcPr>
            <w:tcW w:type="dxa" w:w="2880"/>
          </w:tcPr>
          <w:p>
            <w:r>
              <w:rPr>
                <w:b/>
              </w:rPr>
              <w:t>REFERENCIA</w:t>
            </w:r>
          </w:p>
        </w:tc>
      </w:tr>
      <w:tr>
        <w:tc>
          <w:tcPr>
            <w:tcW w:type="dxa" w:w="2880"/>
          </w:tcPr>
          <w:p>
            <w:r>
              <w:t>6</w:t>
            </w:r>
          </w:p>
        </w:tc>
        <w:tc>
          <w:tcPr>
            <w:tcW w:type="dxa" w:w="2880"/>
          </w:tcPr>
          <w:p>
            <w:r>
              <w:t>Propuesta OCM</w:t>
            </w:r>
          </w:p>
        </w:tc>
        <w:tc>
          <w:tcPr>
            <w:tcW w:type="dxa" w:w="2880"/>
          </w:tcPr>
          <w:p>
            <w:r>
              <w:t>COM(2025) 553 final</w:t>
            </w:r>
          </w:p>
        </w:tc>
      </w:tr>
      <w:tr>
        <w:tc>
          <w:tcPr>
            <w:tcW w:type="dxa" w:w="2880"/>
          </w:tcPr>
          <w:p>
            <w:r>
              <w:t>7</w:t>
            </w:r>
          </w:p>
        </w:tc>
        <w:tc>
          <w:tcPr>
            <w:tcW w:type="dxa" w:w="2880"/>
          </w:tcPr>
          <w:p>
            <w:r>
              <w:t>Propuesta PAC 2028-2034</w:t>
            </w:r>
          </w:p>
        </w:tc>
        <w:tc>
          <w:tcPr>
            <w:tcW w:type="dxa" w:w="2880"/>
          </w:tcPr>
          <w:p>
            <w:r>
              <w:t>COM(2025) 560 final</w:t>
            </w:r>
          </w:p>
        </w:tc>
      </w:tr>
      <w:tr>
        <w:tc>
          <w:tcPr>
            <w:tcW w:type="dxa" w:w="2880"/>
          </w:tcPr>
          <w:p>
            <w:r>
              <w:t>8</w:t>
            </w:r>
          </w:p>
        </w:tc>
        <w:tc>
          <w:tcPr>
            <w:tcW w:type="dxa" w:w="2880"/>
          </w:tcPr>
          <w:p>
            <w:r>
              <w:t>Resolución PE agricultura post-2027</w:t>
            </w:r>
          </w:p>
        </w:tc>
        <w:tc>
          <w:tcPr>
            <w:tcW w:type="dxa" w:w="2880"/>
          </w:tcPr>
          <w:p>
            <w:r>
              <w:t>P10_TA(2025)0189, punto 129</w:t>
            </w:r>
          </w:p>
        </w:tc>
      </w:tr>
      <w:tr>
        <w:tc>
          <w:tcPr>
            <w:tcW w:type="dxa" w:w="2880"/>
          </w:tcPr>
          <w:p>
            <w:r>
              <w:t>9</w:t>
            </w:r>
          </w:p>
        </w:tc>
        <w:tc>
          <w:tcPr>
            <w:tcW w:type="dxa" w:w="2880"/>
          </w:tcPr>
          <w:p>
            <w:r>
              <w:t>Directiva Productos del Tabaco</w:t>
            </w:r>
          </w:p>
        </w:tc>
        <w:tc>
          <w:tcPr>
            <w:tcW w:type="dxa" w:w="2880"/>
          </w:tcPr>
          <w:p>
            <w:r>
              <w:t>Directiva 2014/40/UE (TPD)</w:t>
            </w:r>
          </w:p>
        </w:tc>
      </w:tr>
    </w:tbl>
    <w:p/>
    <w:p>
      <w:pPr>
        <w:pStyle w:val="Heading1"/>
      </w:pPr>
      <w:r>
        <w:t>D. Jurisprudencia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Nº</w:t>
            </w:r>
          </w:p>
        </w:tc>
        <w:tc>
          <w:tcPr>
            <w:tcW w:type="dxa" w:w="2160"/>
          </w:tcPr>
          <w:p>
            <w:r>
              <w:rPr>
                <w:b/>
              </w:rPr>
              <w:t>SENTENCIA</w:t>
            </w:r>
          </w:p>
        </w:tc>
        <w:tc>
          <w:tcPr>
            <w:tcW w:type="dxa" w:w="2160"/>
          </w:tcPr>
          <w:p>
            <w:r>
              <w:rPr>
                <w:b/>
              </w:rPr>
              <w:t>REFERENCIA</w:t>
            </w:r>
          </w:p>
        </w:tc>
        <w:tc>
          <w:tcPr>
            <w:tcW w:type="dxa" w:w="2160"/>
          </w:tcPr>
          <w:p>
            <w:r>
              <w:rPr>
                <w:b/>
              </w:rPr>
              <w:t>APARTADOS CLAVE</w:t>
            </w:r>
          </w:p>
        </w:tc>
      </w:tr>
      <w:tr>
        <w:tc>
          <w:tcPr>
            <w:tcW w:type="dxa" w:w="2160"/>
          </w:tcPr>
          <w:p>
            <w:r>
              <w:t>10</w:t>
            </w:r>
          </w:p>
        </w:tc>
        <w:tc>
          <w:tcPr>
            <w:tcW w:type="dxa" w:w="2160"/>
          </w:tcPr>
          <w:p>
            <w:r>
              <w:t>Evans Medical</w:t>
            </w:r>
          </w:p>
        </w:tc>
        <w:tc>
          <w:tcPr>
            <w:tcW w:type="dxa" w:w="2160"/>
          </w:tcPr>
          <w:p>
            <w:r>
              <w:t>TJUE C-324/93</w:t>
            </w:r>
          </w:p>
        </w:tc>
        <w:tc>
          <w:tcPr>
            <w:tcW w:type="dxa" w:w="2160"/>
          </w:tcPr>
          <w:p>
            <w:r>
              <w:t>Apartados 20, 32, 38</w:t>
            </w:r>
          </w:p>
        </w:tc>
      </w:tr>
      <w:tr>
        <w:tc>
          <w:tcPr>
            <w:tcW w:type="dxa" w:w="2160"/>
          </w:tcPr>
          <w:p>
            <w:r>
              <w:t>11</w:t>
            </w:r>
          </w:p>
        </w:tc>
        <w:tc>
          <w:tcPr>
            <w:tcW w:type="dxa" w:w="2160"/>
          </w:tcPr>
          <w:p>
            <w:r>
              <w:t>Comisión/Francia</w:t>
            </w:r>
          </w:p>
        </w:tc>
        <w:tc>
          <w:tcPr>
            <w:tcW w:type="dxa" w:w="2160"/>
          </w:tcPr>
          <w:p>
            <w:r>
              <w:t>TJUE C-333/08</w:t>
            </w:r>
          </w:p>
        </w:tc>
        <w:tc>
          <w:tcPr>
            <w:tcW w:type="dxa" w:w="2160"/>
          </w:tcPr>
          <w:p>
            <w:r>
              <w:t>Apartados 87, 88, 90</w:t>
            </w:r>
          </w:p>
        </w:tc>
      </w:tr>
      <w:tr>
        <w:tc>
          <w:tcPr>
            <w:tcW w:type="dxa" w:w="2160"/>
          </w:tcPr>
          <w:p>
            <w:r>
              <w:t>12</w:t>
            </w:r>
          </w:p>
        </w:tc>
        <w:tc>
          <w:tcPr>
            <w:tcW w:type="dxa" w:w="2160"/>
          </w:tcPr>
          <w:p>
            <w:r>
              <w:t>Hammarsten</w:t>
            </w:r>
          </w:p>
        </w:tc>
        <w:tc>
          <w:tcPr>
            <w:tcW w:type="dxa" w:w="2160"/>
          </w:tcPr>
          <w:p>
            <w:r>
              <w:t>TJUE C-462/01</w:t>
            </w:r>
          </w:p>
        </w:tc>
        <w:tc>
          <w:tcPr>
            <w:tcW w:type="dxa" w:w="2160"/>
          </w:tcPr>
          <w:p>
            <w:r>
              <w:t>Apartados 34, 36</w:t>
            </w:r>
          </w:p>
        </w:tc>
      </w:tr>
      <w:tr>
        <w:tc>
          <w:tcPr>
            <w:tcW w:type="dxa" w:w="2160"/>
          </w:tcPr>
          <w:p>
            <w:r>
              <w:t>13</w:t>
            </w:r>
          </w:p>
        </w:tc>
        <w:tc>
          <w:tcPr>
            <w:tcW w:type="dxa" w:w="2160"/>
          </w:tcPr>
          <w:p>
            <w:r>
              <w:t>Kanavape</w:t>
            </w:r>
          </w:p>
        </w:tc>
        <w:tc>
          <w:tcPr>
            <w:tcW w:type="dxa" w:w="2160"/>
          </w:tcPr>
          <w:p>
            <w:r>
              <w:t>TJUE C-663/18</w:t>
            </w:r>
          </w:p>
        </w:tc>
        <w:tc>
          <w:tcPr>
            <w:tcW w:type="dxa" w:w="2160"/>
          </w:tcPr>
          <w:p>
            <w:r>
              <w:t>Apartados 72, 75, 76</w:t>
            </w:r>
          </w:p>
        </w:tc>
      </w:tr>
      <w:tr>
        <w:tc>
          <w:tcPr>
            <w:tcW w:type="dxa" w:w="2160"/>
          </w:tcPr>
          <w:p>
            <w:r>
              <w:t>14</w:t>
            </w:r>
          </w:p>
        </w:tc>
        <w:tc>
          <w:tcPr>
            <w:tcW w:type="dxa" w:w="2160"/>
          </w:tcPr>
          <w:p>
            <w:r>
              <w:t>Comisión/Austria (Vitaminas)</w:t>
            </w:r>
          </w:p>
        </w:tc>
        <w:tc>
          <w:tcPr>
            <w:tcW w:type="dxa" w:w="2160"/>
          </w:tcPr>
          <w:p>
            <w:r>
              <w:t>TJUE C-150/00</w:t>
            </w:r>
          </w:p>
        </w:tc>
        <w:tc>
          <w:tcPr>
            <w:tcW w:type="dxa" w:w="2160"/>
          </w:tcPr>
          <w:p>
            <w:r>
              <w:t>Apartados 64-66</w:t>
            </w:r>
          </w:p>
        </w:tc>
      </w:tr>
      <w:tr>
        <w:tc>
          <w:tcPr>
            <w:tcW w:type="dxa" w:w="2160"/>
          </w:tcPr>
          <w:p>
            <w:r>
              <w:t>15</w:t>
            </w:r>
          </w:p>
        </w:tc>
        <w:tc>
          <w:tcPr>
            <w:tcW w:type="dxa" w:w="2160"/>
          </w:tcPr>
          <w:p>
            <w:r>
              <w:t>Comisión/Alemania (Ajo)</w:t>
            </w:r>
          </w:p>
        </w:tc>
        <w:tc>
          <w:tcPr>
            <w:tcW w:type="dxa" w:w="2160"/>
          </w:tcPr>
          <w:p>
            <w:r>
              <w:t>TJUE C-319/05</w:t>
            </w:r>
          </w:p>
        </w:tc>
        <w:tc>
          <w:tcPr>
            <w:tcW w:type="dxa" w:w="2160"/>
          </w:tcPr>
          <w:p>
            <w:r>
              <w:t>Apartado 61</w:t>
            </w:r>
          </w:p>
        </w:tc>
      </w:tr>
      <w:tr>
        <w:tc>
          <w:tcPr>
            <w:tcW w:type="dxa" w:w="2160"/>
          </w:tcPr>
          <w:p>
            <w:r>
              <w:t>16</w:t>
            </w:r>
          </w:p>
        </w:tc>
        <w:tc>
          <w:tcPr>
            <w:tcW w:type="dxa" w:w="2160"/>
          </w:tcPr>
          <w:p>
            <w:r>
              <w:t>Cassis de Dijon</w:t>
            </w:r>
          </w:p>
        </w:tc>
        <w:tc>
          <w:tcPr>
            <w:tcW w:type="dxa" w:w="2160"/>
          </w:tcPr>
          <w:p>
            <w:r>
              <w:t>TJUE C-120/78</w:t>
            </w:r>
          </w:p>
        </w:tc>
        <w:tc>
          <w:tcPr>
            <w:tcW w:type="dxa" w:w="2160"/>
          </w:tcPr>
          <w:p>
            <w:r>
              <w:t>Principio reconocimiento mutuo</w:t>
            </w:r>
          </w:p>
        </w:tc>
      </w:tr>
      <w:tr>
        <w:tc>
          <w:tcPr>
            <w:tcW w:type="dxa" w:w="2160"/>
          </w:tcPr>
          <w:p>
            <w:r>
              <w:t>17</w:t>
            </w:r>
          </w:p>
        </w:tc>
        <w:tc>
          <w:tcPr>
            <w:tcW w:type="dxa" w:w="2160"/>
          </w:tcPr>
          <w:p>
            <w:r>
              <w:t>Wolf</w:t>
            </w:r>
          </w:p>
        </w:tc>
        <w:tc>
          <w:tcPr>
            <w:tcW w:type="dxa" w:w="2160"/>
          </w:tcPr>
          <w:p>
            <w:r>
              <w:t>TJUE 221/81</w:t>
            </w:r>
          </w:p>
        </w:tc>
        <w:tc>
          <w:tcPr>
            <w:tcW w:type="dxa" w:w="2160"/>
          </w:tcPr>
          <w:p>
            <w:r>
              <w:t>Circuito económico legal</w:t>
            </w:r>
          </w:p>
        </w:tc>
      </w:tr>
    </w:tbl>
    <w:p/>
    <w:p>
      <w:pPr>
        <w:pStyle w:val="Heading1"/>
      </w:pPr>
      <w:r>
        <w:t>E. Normativa alemana — PRUEBA CLAVE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Nº</w:t>
            </w:r>
          </w:p>
        </w:tc>
        <w:tc>
          <w:tcPr>
            <w:tcW w:type="dxa" w:w="2880"/>
          </w:tcPr>
          <w:p>
            <w:r>
              <w:rPr>
                <w:b/>
              </w:rPr>
              <w:t>DOCUMENTO</w:t>
            </w:r>
          </w:p>
        </w:tc>
        <w:tc>
          <w:tcPr>
            <w:tcW w:type="dxa" w:w="2880"/>
          </w:tcPr>
          <w:p>
            <w:r>
              <w:rPr>
                <w:b/>
              </w:rPr>
              <w:t>UBICACIÓN</w:t>
            </w:r>
          </w:p>
        </w:tc>
      </w:tr>
      <w:tr>
        <w:tc>
          <w:tcPr>
            <w:tcW w:type="dxa" w:w="2880"/>
          </w:tcPr>
          <w:p>
            <w:r>
              <w:t>18</w:t>
            </w:r>
          </w:p>
        </w:tc>
        <w:tc>
          <w:tcPr>
            <w:tcW w:type="dxa" w:w="2880"/>
          </w:tcPr>
          <w:p>
            <w:r>
              <w:t>Cannabisgesetz (CanG)</w:t>
            </w:r>
          </w:p>
        </w:tc>
        <w:tc>
          <w:tcPr>
            <w:tcW w:type="dxa" w:w="2880"/>
          </w:tcPr>
          <w:p>
            <w:r>
              <w:t>`markdown/Alemania_Regelungstext_CanG.md`</w:t>
            </w:r>
          </w:p>
        </w:tc>
      </w:tr>
      <w:tr>
        <w:tc>
          <w:tcPr>
            <w:tcW w:type="dxa" w:w="2880"/>
          </w:tcPr>
          <w:p>
            <w:r>
              <w:t>19</w:t>
            </w:r>
          </w:p>
        </w:tc>
        <w:tc>
          <w:tcPr>
            <w:tcW w:type="dxa" w:w="2880"/>
          </w:tcPr>
          <w:p>
            <w:r>
              <w:t>MedCanG</w:t>
            </w:r>
          </w:p>
        </w:tc>
        <w:tc>
          <w:tcPr>
            <w:tcW w:type="dxa" w:w="2880"/>
          </w:tcPr>
          <w:p>
            <w:r>
              <w:t>`markdown/Alemania_MedCanG.md`</w:t>
            </w:r>
          </w:p>
        </w:tc>
      </w:tr>
    </w:tbl>
    <w:p/>
    <w:p>
      <w:pPr>
        <w:pStyle w:val="Heading1"/>
      </w:pPr>
      <w:r>
        <w:t>F. Documentos científicos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Nº</w:t>
            </w:r>
          </w:p>
        </w:tc>
        <w:tc>
          <w:tcPr>
            <w:tcW w:type="dxa" w:w="2880"/>
          </w:tcPr>
          <w:p>
            <w:r>
              <w:rPr>
                <w:b/>
              </w:rPr>
              <w:t>DOCUMENTO</w:t>
            </w:r>
          </w:p>
        </w:tc>
        <w:tc>
          <w:tcPr>
            <w:tcW w:type="dxa" w:w="2880"/>
          </w:tcPr>
          <w:p>
            <w:r>
              <w:rPr>
                <w:b/>
              </w:rPr>
              <w:t>REFERENCIA</w:t>
            </w:r>
          </w:p>
        </w:tc>
      </w:tr>
      <w:tr>
        <w:tc>
          <w:tcPr>
            <w:tcW w:type="dxa" w:w="2880"/>
          </w:tcPr>
          <w:p>
            <w:r>
              <w:t>20</w:t>
            </w:r>
          </w:p>
        </w:tc>
        <w:tc>
          <w:tcPr>
            <w:tcW w:type="dxa" w:w="2880"/>
          </w:tcPr>
          <w:p>
            <w:r>
              <w:t>Position Paper 1% THC</w:t>
            </w:r>
          </w:p>
        </w:tc>
        <w:tc>
          <w:tcPr>
            <w:tcW w:type="dxa" w:w="2880"/>
          </w:tcPr>
          <w:p>
            <w:r>
              <w:t>`1%/final position paper/PAPER_PRINCIPAL.md`</w:t>
            </w:r>
          </w:p>
        </w:tc>
      </w:tr>
      <w:tr>
        <w:tc>
          <w:tcPr>
            <w:tcW w:type="dxa" w:w="2880"/>
          </w:tcPr>
          <w:p>
            <w:r>
              <w:t>21</w:t>
            </w:r>
          </w:p>
        </w:tc>
        <w:tc>
          <w:tcPr>
            <w:tcW w:type="dxa" w:w="2880"/>
          </w:tcPr>
          <w:p>
            <w:r>
              <w:t>EFSA CONTAM Panel (2015)</w:t>
            </w:r>
          </w:p>
        </w:tc>
        <w:tc>
          <w:tcPr>
            <w:tcW w:type="dxa" w:w="2880"/>
          </w:tcPr>
          <w:p>
            <w:r>
              <w:t>EFSA Journal 13(6):4141</w:t>
            </w:r>
          </w:p>
        </w:tc>
      </w:tr>
      <w:tr>
        <w:tc>
          <w:tcPr>
            <w:tcW w:type="dxa" w:w="2880"/>
          </w:tcPr>
          <w:p>
            <w:r>
              <w:t>22</w:t>
            </w:r>
          </w:p>
        </w:tc>
        <w:tc>
          <w:tcPr>
            <w:tcW w:type="dxa" w:w="2880"/>
          </w:tcPr>
          <w:p>
            <w:r>
              <w:t>Small (2021)</w:t>
            </w:r>
          </w:p>
        </w:tc>
        <w:tc>
          <w:tcPr>
            <w:tcW w:type="dxa" w:w="2880"/>
          </w:tcPr>
          <w:p>
            <w:r>
              <w:t>Declaración sobre criterio 1% THC</w:t>
            </w:r>
          </w:p>
        </w:tc>
      </w:tr>
    </w:tbl>
    <w:p/>
    <w:p>
      <w:r>
        <w:t>__________________________________________________</w:t>
      </w:r>
    </w:p>
    <w:p>
      <w:pPr>
        <w:pStyle w:val="Title"/>
        <w:jc w:val="center"/>
      </w:pPr>
      <w:r>
        <w:t>10. NUEVO: NOTA ESTRATÉGICA CONFIDENCIAL (PARA EL DESPACHO)</w:t>
      </w:r>
    </w:p>
    <w:p>
      <w:r>
        <w:t>__________________________________________________</w:t>
      </w:r>
    </w:p>
    <w:p>
      <w:r/>
      <w:r>
        <w:rPr>
          <w:b/>
        </w:rPr>
        <w:t>Objetivo declarado del recurso</w:t>
      </w:r>
      <w:r>
        <w:t>: Impugnar las definiciones y límites arbitrarios del RD que restringen indebidamente el mercado.</w:t>
      </w:r>
    </w:p>
    <w:p>
      <w:r/>
      <w:r>
        <w:rPr>
          <w:b/>
        </w:rPr>
        <w:t>Objetivo real (contexto para el abogado)</w:t>
      </w:r>
      <w:r>
        <w:t>: Obtener pronunciamientos judiciales que establezcan:</w:t>
      </w:r>
    </w:p>
    <w:p>
      <w:r>
        <w:t>1. Las flores de cáñamo NO son estupefacientes</w:t>
      </w:r>
    </w:p>
    <w:p>
      <w:r>
        <w:t>2. El CBD NO tiene efecto farmacológico per se</w:t>
      </w:r>
    </w:p>
    <w:p>
      <w:r>
        <w:t>3. La psicoactividad depende de DOSIS y FORMATO, no del % de THC</w:t>
      </w:r>
    </w:p>
    <w:p>
      <w:r>
        <w:t>Estos pronunciamientos allanarán el terreno para el registro de flores de CBD como "hierbas para fumar" bajo la Directiva TPD, como ya ocurre en Luxemburgo (1% THC).</w:t>
      </w:r>
    </w:p>
    <w:p>
      <w:r>
        <w:t>__________________________________________________</w:t>
      </w:r>
    </w:p>
    <w:p>
      <w:r/>
      <w:r>
        <w:rPr>
          <w:b/>
        </w:rPr>
        <w:t>Lo que NO debemos decir en el recurso:</w:t>
      </w:r>
      <w:r/>
    </w:p>
    <w:p>
      <w:r>
        <w:t>- Que el objetivo final es vender flores como hierbas para fumar</w:t>
      </w:r>
    </w:p>
    <w:p>
      <w:r>
        <w:t>- Que buscamos "legalizar" nada (ya es legal en otros EEMM)</w:t>
      </w:r>
    </w:p>
    <w:p>
      <w:r/>
      <w:r>
        <w:rPr>
          <w:b/>
        </w:rPr>
        <w:t>Lo que SÍ enfatizamos:</w:t>
      </w:r>
      <w:r/>
    </w:p>
    <w:p>
      <w:r>
        <w:t>- Coherencia con el Derecho UE</w:t>
      </w:r>
    </w:p>
    <w:p>
      <w:r>
        <w:t>- Seguridad jurídica para operadores</w:t>
      </w:r>
    </w:p>
    <w:p>
      <w:r>
        <w:t>- España es más restrictiva que lo que exige la Convención</w:t>
      </w:r>
    </w:p>
    <w:p>
      <w:r>
        <w:t>- El propio Gobierno (MAPA) reconoció la arbitrariedad</w:t>
      </w:r>
    </w:p>
    <w:p>
      <w:r>
        <w:t>__________________________________________________</w:t>
      </w:r>
    </w:p>
    <w:p>
      <w:r/>
      <w:r>
        <w:rPr>
          <w:b/>
        </w:rPr>
        <w:t>FORTALEZAS DEL RECURSO</w:t>
      </w:r>
      <w:r>
        <w:t>:</w:t>
      </w:r>
    </w:p>
    <w:p>
      <w:r>
        <w:t xml:space="preserve">1. </w:t>
      </w:r>
      <w:r>
        <w:rPr>
          <w:b/>
        </w:rPr>
        <w:t>10 contradicciones documentadas</w:t>
      </w:r>
      <w:r>
        <w:t xml:space="preserve"> entre MAPA, Sanidad, Congreso y el RD</w:t>
      </w:r>
    </w:p>
    <w:p>
      <w:r>
        <w:t xml:space="preserve">2. </w:t>
      </w:r>
      <w:r>
        <w:rPr>
          <w:b/>
        </w:rPr>
        <w:t>Jurisprudencia TJUE con apartados exactos</w:t>
      </w:r>
      <w:r>
        <w:t xml:space="preserve"> (Evans Medical 20, 32, 38; Comisión/Francia 87, 88, 90; Hammarsten 34, 36)</w:t>
      </w:r>
    </w:p>
    <w:p>
      <w:r>
        <w:t xml:space="preserve">3. </w:t>
      </w:r>
      <w:r>
        <w:rPr>
          <w:b/>
        </w:rPr>
        <w:t>Prueba empírica alemana</w:t>
      </w:r>
      <w:r>
        <w:t>: CanG 2024 demuestra que se puede comercializar sin clasificar como estupefaciente</w:t>
      </w:r>
    </w:p>
    <w:p>
      <w:r>
        <w:t xml:space="preserve">4. </w:t>
      </w:r>
      <w:r>
        <w:rPr>
          <w:b/>
        </w:rPr>
        <w:t>7 Estados miembros</w:t>
      </w:r>
      <w:r>
        <w:t xml:space="preserve"> comercializan flores bajo TPD</w:t>
      </w:r>
    </w:p>
    <w:p>
      <w:r>
        <w:t xml:space="preserve">5. </w:t>
      </w:r>
      <w:r>
        <w:rPr>
          <w:b/>
        </w:rPr>
        <w:t>El propio MAPA</w:t>
      </w:r>
      <w:r>
        <w:t xml:space="preserve"> pidió suprimir el Art. 3.1 citando jurisprudencia del TJUE</w:t>
      </w:r>
    </w:p>
    <w:p>
      <w:r>
        <w:t xml:space="preserve">6. </w:t>
      </w:r>
      <w:r>
        <w:rPr>
          <w:b/>
        </w:rPr>
        <w:t>PNL del Congreso</w:t>
      </w:r>
      <w:r>
        <w:t xml:space="preserve"> establecía 1% THC — contradicción con mandato parlamentario</w:t>
      </w:r>
    </w:p>
    <w:p>
      <w:r>
        <w:t>__________________________________________________</w:t>
      </w:r>
    </w:p>
    <w:p>
      <w:r/>
      <w:r>
        <w:rPr>
          <w:i/>
        </w:rPr>
        <w:t>Documento generado: 29/01/2026</w:t>
      </w:r>
      <w:r/>
    </w:p>
    <w:p>
      <w:r/>
      <w:r>
        <w:rPr>
          <w:i/>
        </w:rPr>
        <w:t>Versión: 3.0 - DOCUMENTO UNIFICADO FINAL</w:t>
      </w:r>
      <w:r/>
    </w:p>
    <w:p>
      <w:r/>
      <w:r>
        <w:rPr>
          <w:i/>
        </w:rPr>
        <w:t>Fuentes: Informe local v2.1 + Documentos del servidor (Vega)</w:t>
      </w:r>
      <w:r/>
    </w:p>
    <w:p>
      <w:r/>
      <w:r>
        <w:rPr>
          <w:i/>
        </w:rPr>
        <w:t>Estado: LISTO PARA REVISIÓN DEL DESPACHO</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incipal">
    <w:name w:val="TituloPrincipal"/>
    <w:pPr>
      <w:spacing w:after="240"/>
      <w:jc w:val="center"/>
    </w:pPr>
    <w:rPr>
      <w:b/>
      <w:color w:val="003366"/>
      <w:sz w:val="36"/>
    </w:rPr>
  </w:style>
  <w:style w:type="paragraph" w:customStyle="1" w:styleId="Cita">
    <w:name w:val="Cita"/>
    <w:pPr>
      <w:spacing w:before="120" w:after="120"/>
      <w:ind w:left="720" w:right="720"/>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