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position-paper"/>
    <w:p>
      <w:pPr>
        <w:pStyle w:val="Heading1"/>
      </w:pPr>
      <w:r>
        <w:t xml:space="preserve">POSITION PAPER</w:t>
      </w:r>
    </w:p>
    <w:bookmarkStart w:id="10" w:name="X66a494432ae5a7bba20dae3e2ec51d2a611517d"/>
    <w:p>
      <w:pPr>
        <w:pStyle w:val="Heading2"/>
      </w:pPr>
      <w:r>
        <w:t xml:space="preserve">Propuesta del sector del cáñamo para la PAC 2028–2034:</w:t>
      </w:r>
    </w:p>
    <w:bookmarkStart w:id="9" w:name="X4e21c70344a2a2158a17670617d1c767a95c163"/>
    <w:p>
      <w:pPr>
        <w:pStyle w:val="Heading3"/>
      </w:pPr>
      <w:r>
        <w:t xml:space="preserve">Alineación con estándares internacionales de THC</w:t>
      </w:r>
    </w:p>
    <w:p>
      <w:pPr>
        <w:pStyle w:val="FirstParagraph"/>
      </w:pPr>
      <w:r>
        <w:rPr>
          <w:b/>
          <w:bCs/>
        </w:rPr>
        <w:t xml:space="preserve">Cannabis Hub — Enero 2026</w:t>
      </w:r>
    </w:p>
    <w:p>
      <w:r>
        <w:pict>
          <v:rect style="width:0;height:1.5pt" o:hralign="center" o:hrstd="t" o:hr="t"/>
        </w:pict>
      </w:r>
    </w:p>
    <w:bookmarkEnd w:id="9"/>
    <w:bookmarkEnd w:id="10"/>
    <w:bookmarkStart w:id="13" w:name="executive-summary"/>
    <w:p>
      <w:pPr>
        <w:pStyle w:val="Heading2"/>
      </w:pPr>
      <w:r>
        <w:t xml:space="preserve">Executive Summary</w:t>
      </w:r>
    </w:p>
    <w:p>
      <w:pPr>
        <w:pStyle w:val="FirstParagraph"/>
      </w:pPr>
      <w:r>
        <w:rPr>
          <w:b/>
          <w:bCs/>
        </w:rPr>
        <w:t xml:space="preserve">La PAC 2028-2034 representa la última oportunidad de esta legislatura para alinear el marco europeo del cáñamo con los estándares internacionales consolidados.</w:t>
      </w:r>
    </w:p>
    <w:p>
      <w:pPr>
        <w:pStyle w:val="BodyText"/>
      </w:pPr>
      <w:r>
        <w:t xml:space="preserve">La Comisión Europea ha propuesto la nueva PAC (COM(2025) 560) [28] y la revisión de la OCM (COM(2025) 553) [29], incluyendo por primera vez flores y biomasa de cáñamo (código NC 1211 90 86) en el mercado interior. Sin embargo,</w:t>
      </w:r>
      <w:r>
        <w:t xml:space="preserve"> </w:t>
      </w:r>
      <w:r>
        <w:rPr>
          <w:b/>
          <w:bCs/>
        </w:rPr>
        <w:t xml:space="preserve">la propuesta transforma el umbral de THC de criterio de elegibilidad para ayudas a barrera de acceso al mercado</w:t>
      </w:r>
      <w:r>
        <w:t xml:space="preserve">: superar el 0,3% ya no implica perder subvenciones, sino la</w:t>
      </w:r>
      <w:r>
        <w:t xml:space="preserve"> </w:t>
      </w:r>
      <w:r>
        <w:rPr>
          <w:b/>
          <w:bCs/>
        </w:rPr>
        <w:t xml:space="preserve">prohibición de producir, comercializar e importar</w:t>
      </w:r>
      <w:r>
        <w:t xml:space="preserve">.</w:t>
      </w:r>
    </w:p>
    <w:p>
      <w:pPr>
        <w:pStyle w:val="BodyText"/>
      </w:pPr>
      <w:r>
        <w:rPr>
          <w:b/>
          <w:bCs/>
        </w:rPr>
        <w:t xml:space="preserve">El umbral del 0,3% THC fue establecido</w:t>
      </w:r>
      <w:r>
        <w:rPr>
          <w:b/>
          <w:bCs/>
        </w:rPr>
        <w:t xml:space="preserve"> </w:t>
      </w:r>
      <w:r>
        <w:rPr>
          <w:b/>
          <w:bCs/>
        </w:rPr>
        <w:t xml:space="preserve">“arbitrariamente”</w:t>
      </w:r>
      <w:r>
        <w:rPr>
          <w:b/>
          <w:bCs/>
        </w:rPr>
        <w:t xml:space="preserve">, y midiendo solamente las hojas</w:t>
      </w:r>
      <w:r>
        <w:t xml:space="preserve"> </w:t>
      </w:r>
      <w:r>
        <w:t xml:space="preserve">—omitiendo el resto de la planta, incluidas las sumidades floridas, que son precisamente las que esta nueva PAC/OCM incluye por primera vez. Su propio autor, el Dr. Ernest Small, hoy afirma:</w:t>
      </w:r>
      <w:r>
        <w:t xml:space="preserve"> </w:t>
      </w:r>
      <w:r>
        <w:rPr>
          <w:i/>
          <w:iCs/>
        </w:rPr>
        <w:t xml:space="preserve">“1% THC would be a more suitable criterion”</w:t>
      </w:r>
      <w:r>
        <w:t xml:space="preserve">.</w:t>
      </w:r>
    </w:p>
    <w:p>
      <w:pPr>
        <w:pStyle w:val="BodyText"/>
      </w:pPr>
      <w:r>
        <w:t xml:space="preserve">Europa está a punto de legislar con un dato obsoleto de 1976 que su creador ya ha desautorizado.</w:t>
      </w:r>
    </w:p>
    <w:bookmarkStart w:id="11" w:name="por-qué-el-03-requiere-revisión"/>
    <w:p>
      <w:pPr>
        <w:pStyle w:val="Heading3"/>
      </w:pPr>
      <w:r>
        <w:t xml:space="preserve">Por qué el 0,3% requiere revisión:</w:t>
      </w:r>
    </w:p>
    <w:p>
      <w:pPr>
        <w:pStyle w:val="FirstParagraph"/>
      </w:pPr>
      <w:r>
        <w:rPr>
          <w:b/>
          <w:bCs/>
        </w:rPr>
        <w:t xml:space="preserve">Europa pierde 1,3 Mt de CO₂/año:</w:t>
      </w:r>
      <w:r>
        <w:t xml:space="preserve"> </w:t>
      </w:r>
      <w:r>
        <w:t xml:space="preserve">Las variedades de cáñamo para fibra que superan el 0,3% THC —excluidas por la normativa actual— producen hasta un 663% más de biomasa que las permitidas. Si se autorizaran, capturarían 1,3 millones de toneladas adicionales de CO₂ al año (equivalente a 400.000 ha de selva amazónica).</w:t>
      </w:r>
    </w:p>
    <w:p>
      <w:pPr>
        <w:pStyle w:val="BodyText"/>
      </w:pPr>
      <w:r>
        <w:rPr>
          <w:b/>
          <w:bCs/>
        </w:rPr>
        <w:t xml:space="preserve">La Farmacopea Europea traza la línea en 1% THC:</w:t>
      </w:r>
      <w:r>
        <w:t xml:space="preserve"> </w:t>
      </w:r>
      <w:r>
        <w:t xml:space="preserve">La monografía oficial</w:t>
      </w:r>
      <w:r>
        <w:t xml:space="preserve"> </w:t>
      </w:r>
      <w:r>
        <w:rPr>
          <w:i/>
          <w:iCs/>
        </w:rPr>
        <w:t xml:space="preserve">Cannabis flos</w:t>
      </w:r>
      <w:r>
        <w:t xml:space="preserve"> </w:t>
      </w:r>
      <w:r>
        <w:t xml:space="preserve">(3028) distingue el quimiotipo CBD (≤1% THC) del quimiotipo THC (&gt;1% THC). El cáñamo industrial es, por naturaleza, cannabis de quimiotipo CBD. Si la ciencia farmacéutica europea usa el 1% como frontera, la normativa agrícola debería adoptar el mismo criterio por coherencia regulatoria.</w:t>
      </w:r>
    </w:p>
    <w:p>
      <w:pPr>
        <w:pStyle w:val="BodyText"/>
      </w:pPr>
      <w:r>
        <w:rPr>
          <w:b/>
          <w:bCs/>
        </w:rPr>
        <w:t xml:space="preserve">18+ jurisdicciones sin incidentes:</w:t>
      </w:r>
      <w:r>
        <w:t xml:space="preserve"> </w:t>
      </w:r>
      <w:r>
        <w:t xml:space="preserve">Suiza (2011), Luxemburgo (2023), R. Checa (2025), todo Mercosur, Sudáfrica (2025: 2%). El comercio intracomunitario ya funciona: operadores europeos llevan 15+ años comercializando con umbrales superiores bajo reconocimiento mutuo (doctrina Kanavape, C-663/18). El Acuerdo UE-Mercosur (enero 2026) obliga al test TBT de</w:t>
      </w:r>
      <w:r>
        <w:t xml:space="preserve"> </w:t>
      </w:r>
      <w:r>
        <w:t xml:space="preserve">“necesidad”</w:t>
      </w:r>
      <w:r>
        <w:t xml:space="preserve">: ¿cómo justificar el 0,3% cuando los socios operan con 1%?</w:t>
      </w:r>
    </w:p>
    <w:p>
      <w:pPr>
        <w:pStyle w:val="BodyText"/>
      </w:pPr>
      <w:r>
        <w:rPr>
          <w:b/>
          <w:bCs/>
        </w:rPr>
        <w:t xml:space="preserve">Doctrina Kanavape consolidada:</w:t>
      </w:r>
      <w:r>
        <w:t xml:space="preserve"> </w:t>
      </w:r>
      <w:r>
        <w:t xml:space="preserve">El principio de reconocimiento mutuo (C-663/18) garantiza desde 2020 la libre circulación de productos de cáñamo. Luxemburgo y R. Checa (Estados miembros) ya operan con 1% THC. La armonización codifica jurisprudencia existente.</w:t>
      </w:r>
    </w:p>
    <w:bookmarkEnd w:id="11"/>
    <w:bookmarkStart w:id="12" w:name="X4e0f7eb0606699f317db4bdce4c752fb8de9e2b"/>
    <w:p>
      <w:pPr>
        <w:pStyle w:val="Heading3"/>
      </w:pPr>
      <w:r>
        <w:t xml:space="preserve">En este documento, desarrollamos una convergencia de cuatro argumentos independientes que conforman una misma conclusión:</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29"/>
        <w:gridCol w:w="5590"/>
      </w:tblGrid>
      <w:tr>
        <w:trPr>
          <w:tblHeader w:val="on"/>
        </w:trPr>
        <w:tc>
          <w:tcPr/>
          <w:p>
            <w:pPr>
              <w:pStyle w:val="Compact"/>
            </w:pPr>
            <w:r>
              <w:t xml:space="preserve">Eje</w:t>
            </w:r>
          </w:p>
        </w:tc>
        <w:tc>
          <w:tcPr/>
          <w:p>
            <w:pPr>
              <w:pStyle w:val="Compact"/>
            </w:pPr>
            <w:r>
              <w:t xml:space="preserve">Conclusión</w:t>
            </w:r>
          </w:p>
        </w:tc>
      </w:tr>
      <w:tr>
        <w:tc>
          <w:tcPr/>
          <w:p>
            <w:pPr>
              <w:pStyle w:val="Compact"/>
            </w:pPr>
            <w:r>
              <w:rPr>
                <w:b/>
                <w:bCs/>
              </w:rPr>
              <w:t xml:space="preserve">Histórico</w:t>
            </w:r>
          </w:p>
        </w:tc>
        <w:tc>
          <w:tcPr/>
          <w:p>
            <w:pPr>
              <w:pStyle w:val="Compact"/>
            </w:pPr>
            <w:r>
              <w:t xml:space="preserve">El criterio 0,3% carece de base científica; su autor lo considera obsoleto (§2.1)</w:t>
            </w:r>
          </w:p>
        </w:tc>
      </w:tr>
      <w:tr>
        <w:tc>
          <w:tcPr/>
          <w:p>
            <w:pPr>
              <w:pStyle w:val="Compact"/>
            </w:pPr>
            <w:r>
              <w:rPr>
                <w:b/>
                <w:bCs/>
              </w:rPr>
              <w:t xml:space="preserve">Agronómico</w:t>
            </w:r>
          </w:p>
        </w:tc>
        <w:tc>
          <w:tcPr/>
          <w:p>
            <w:pPr>
              <w:pStyle w:val="Compact"/>
            </w:pPr>
            <w:r>
              <w:t xml:space="preserve">Las variedades de alto rendimiento y captura de CO₂ expresan THC 0,4-0,9% (§2.2)</w:t>
            </w:r>
          </w:p>
        </w:tc>
      </w:tr>
      <w:tr>
        <w:tc>
          <w:tcPr/>
          <w:p>
            <w:pPr>
              <w:pStyle w:val="Compact"/>
            </w:pPr>
            <w:r>
              <w:rPr>
                <w:b/>
                <w:bCs/>
              </w:rPr>
              <w:t xml:space="preserve">Competitividad</w:t>
            </w:r>
          </w:p>
        </w:tc>
        <w:tc>
          <w:tcPr/>
          <w:p>
            <w:pPr>
              <w:pStyle w:val="Compact"/>
            </w:pPr>
            <w:r>
              <w:t xml:space="preserve">18+ jurisdicciones y socios Mercosur operan con 1%; riesgo OMC/TBT (§2.3)</w:t>
            </w:r>
          </w:p>
        </w:tc>
      </w:tr>
      <w:tr>
        <w:tc>
          <w:tcPr/>
          <w:p>
            <w:pPr>
              <w:pStyle w:val="Compact"/>
            </w:pPr>
            <w:r>
              <w:rPr>
                <w:b/>
                <w:bCs/>
              </w:rPr>
              <w:t xml:space="preserve">Salud pública</w:t>
            </w:r>
          </w:p>
        </w:tc>
        <w:tc>
          <w:tcPr/>
          <w:p>
            <w:pPr>
              <w:pStyle w:val="Compact"/>
            </w:pPr>
            <w:r>
              <w:t xml:space="preserve">Márgenes de seguridad ×8-17 confirman ausencia de efectos psicoactivos (§2.4)</w:t>
            </w:r>
          </w:p>
        </w:tc>
      </w:tr>
    </w:tbl>
    <w:p>
      <w:r>
        <w:pict>
          <v:rect style="width:0;height:1.5pt" o:hralign="center" o:hrstd="t" o:hr="t"/>
        </w:pict>
      </w:r>
    </w:p>
    <w:p>
      <w:pPr>
        <w:pStyle w:val="FirstParagraph"/>
      </w:pPr>
      <w:r>
        <w:rPr>
          <w:b/>
          <w:bCs/>
        </w:rPr>
        <w:t xml:space="preserve">Propuesta de enmienda</w:t>
      </w:r>
      <w:r>
        <w:t xml:space="preserve">: Sustituir</w:t>
      </w:r>
      <w:r>
        <w:t xml:space="preserve"> </w:t>
      </w:r>
      <w:r>
        <w:rPr>
          <w:b/>
          <w:bCs/>
        </w:rPr>
        <w:t xml:space="preserve">“0,3%”</w:t>
      </w:r>
      <w:r>
        <w:t xml:space="preserve"> </w:t>
      </w:r>
      <w:r>
        <w:t xml:space="preserve">por</w:t>
      </w:r>
      <w:r>
        <w:t xml:space="preserve"> </w:t>
      </w:r>
      <w:r>
        <w:rPr>
          <w:b/>
          <w:bCs/>
        </w:rPr>
        <w:t xml:space="preserve">“1,0%”</w:t>
      </w:r>
      <w:r>
        <w:t xml:space="preserve"> </w:t>
      </w:r>
      <w:r>
        <w:t xml:space="preserve">en los Artículos 5 PAC, 147 ter, 147 quater y 189 OCM.</w:t>
      </w:r>
    </w:p>
    <w:p>
      <w:pPr>
        <w:pStyle w:val="BodyText"/>
      </w:pPr>
      <w:r>
        <w:t xml:space="preserve">Una enmienda de dos caracteres que alinea Europa con la ciencia, la práctica internacional y las propias instituciones que ya han trazado esta línea.</w:t>
      </w:r>
    </w:p>
    <w:p>
      <w:r>
        <w:pict>
          <v:rect style="width:0;height:1.5pt" o:hralign="center" o:hrstd="t" o:hr="t"/>
        </w:pict>
      </w:r>
    </w:p>
    <w:bookmarkEnd w:id="12"/>
    <w:bookmarkEnd w:id="13"/>
    <w:bookmarkStart w:id="14" w:name="índice-detallado"/>
    <w:p>
      <w:pPr>
        <w:pStyle w:val="Heading2"/>
      </w:pPr>
      <w:r>
        <w:t xml:space="preserve">Índice detallado</w:t>
      </w:r>
    </w:p>
    <w:p>
      <w:pPr>
        <w:pStyle w:val="Compact"/>
        <w:numPr>
          <w:ilvl w:val="0"/>
          <w:numId w:val="1001"/>
        </w:numPr>
      </w:pPr>
      <w:hyperlink w:anchor="Xb7cc035336e5a378c269783be014e50029d2f81">
        <w:r>
          <w:rPr>
            <w:rStyle w:val="Hyperlink"/>
          </w:rPr>
          <w:t xml:space="preserve">Momentum Institucional</w:t>
        </w:r>
      </w:hyperlink>
    </w:p>
    <w:p>
      <w:pPr>
        <w:pStyle w:val="Compact"/>
        <w:numPr>
          <w:ilvl w:val="1"/>
          <w:numId w:val="1002"/>
        </w:numPr>
      </w:pPr>
      <w:r>
        <w:t xml:space="preserve">1.1</w:t>
      </w:r>
      <w:r>
        <w:t xml:space="preserve"> </w:t>
      </w:r>
      <w:hyperlink w:anchor="X6933b5900f4b7dea206579167dfa14bdcd8c917">
        <w:r>
          <w:rPr>
            <w:rStyle w:val="Hyperlink"/>
          </w:rPr>
          <w:t xml:space="preserve">Posición del Parlamento Europeo (septiembre 2025)</w:t>
        </w:r>
      </w:hyperlink>
    </w:p>
    <w:p>
      <w:pPr>
        <w:pStyle w:val="Compact"/>
        <w:numPr>
          <w:ilvl w:val="1"/>
          <w:numId w:val="1002"/>
        </w:numPr>
      </w:pPr>
      <w:r>
        <w:t xml:space="preserve">1.2</w:t>
      </w:r>
      <w:r>
        <w:t xml:space="preserve"> </w:t>
      </w:r>
      <w:hyperlink w:anchor="X10976842e173ca7404a1734a0de5e9af82a8fc8">
        <w:r>
          <w:rPr>
            <w:rStyle w:val="Hyperlink"/>
          </w:rPr>
          <w:t xml:space="preserve">Convergencia multinivel: Estados miembros y parlamentos nacionales</w:t>
        </w:r>
      </w:hyperlink>
    </w:p>
    <w:p>
      <w:pPr>
        <w:pStyle w:val="Compact"/>
        <w:numPr>
          <w:ilvl w:val="0"/>
          <w:numId w:val="1001"/>
        </w:numPr>
      </w:pPr>
      <w:hyperlink w:anchor="X68e299f9b374e79a200c975e059823b59e9e750">
        <w:r>
          <w:rPr>
            <w:rStyle w:val="Hyperlink"/>
          </w:rPr>
          <w:t xml:space="preserve">Justificación del umbral propuesto</w:t>
        </w:r>
      </w:hyperlink>
    </w:p>
    <w:p>
      <w:pPr>
        <w:pStyle w:val="Compact"/>
        <w:numPr>
          <w:ilvl w:val="1"/>
          <w:numId w:val="1003"/>
        </w:numPr>
      </w:pPr>
      <w:r>
        <w:t xml:space="preserve">2.1</w:t>
      </w:r>
      <w:r>
        <w:t xml:space="preserve"> </w:t>
      </w:r>
      <w:hyperlink w:anchor="X40709fd9a4d3fd0bc5f42aae89a517ca8b10303">
        <w:r>
          <w:rPr>
            <w:rStyle w:val="Hyperlink"/>
          </w:rPr>
          <w:t xml:space="preserve">Revisión histórica del umbral</w:t>
        </w:r>
      </w:hyperlink>
    </w:p>
    <w:p>
      <w:pPr>
        <w:pStyle w:val="Compact"/>
        <w:numPr>
          <w:ilvl w:val="1"/>
          <w:numId w:val="1003"/>
        </w:numPr>
      </w:pPr>
      <w:r>
        <w:t xml:space="preserve">2.2</w:t>
      </w:r>
      <w:r>
        <w:t xml:space="preserve"> </w:t>
      </w:r>
      <w:hyperlink w:anchor="X24c4f81544708a8ab7845278dddb598069e59a7">
        <w:r>
          <w:rPr>
            <w:rStyle w:val="Hyperlink"/>
          </w:rPr>
          <w:t xml:space="preserve">Rendimiento agronómico y adaptación climática</w:t>
        </w:r>
      </w:hyperlink>
    </w:p>
    <w:p>
      <w:pPr>
        <w:pStyle w:val="Compact"/>
        <w:numPr>
          <w:ilvl w:val="1"/>
          <w:numId w:val="1003"/>
        </w:numPr>
      </w:pPr>
      <w:r>
        <w:t xml:space="preserve">2.3</w:t>
      </w:r>
      <w:r>
        <w:t xml:space="preserve"> </w:t>
      </w:r>
      <w:hyperlink w:anchor="Xd20d6b8cf566352389cda87f8913d38a9a3b974">
        <w:r>
          <w:rPr>
            <w:rStyle w:val="Hyperlink"/>
          </w:rPr>
          <w:t xml:space="preserve">Competitividad internacional del sector</w:t>
        </w:r>
      </w:hyperlink>
    </w:p>
    <w:p>
      <w:pPr>
        <w:pStyle w:val="Compact"/>
        <w:numPr>
          <w:ilvl w:val="1"/>
          <w:numId w:val="1003"/>
        </w:numPr>
      </w:pPr>
      <w:r>
        <w:t xml:space="preserve">2.4</w:t>
      </w:r>
      <w:r>
        <w:t xml:space="preserve"> </w:t>
      </w:r>
      <w:hyperlink w:anchor="Xa4eb89ea6238ef3b632e6b44ebfa9220f959f40">
        <w:r>
          <w:rPr>
            <w:rStyle w:val="Hyperlink"/>
          </w:rPr>
          <w:t xml:space="preserve">Seguridad y salud pública</w:t>
        </w:r>
      </w:hyperlink>
    </w:p>
    <w:p>
      <w:pPr>
        <w:pStyle w:val="Compact"/>
        <w:numPr>
          <w:ilvl w:val="0"/>
          <w:numId w:val="1001"/>
        </w:numPr>
      </w:pPr>
      <w:hyperlink w:anchor="Xf55baa4aa56dcd130da92e0d6cbf273d432aaea">
        <w:r>
          <w:rPr>
            <w:rStyle w:val="Hyperlink"/>
          </w:rPr>
          <w:t xml:space="preserve">Conclusión y Propuesta de Enmienda</w:t>
        </w:r>
      </w:hyperlink>
    </w:p>
    <w:p>
      <w:pPr>
        <w:pStyle w:val="Compact"/>
        <w:numPr>
          <w:ilvl w:val="0"/>
          <w:numId w:val="1001"/>
        </w:numPr>
      </w:pPr>
      <w:hyperlink w:anchor="bibliografía">
        <w:r>
          <w:rPr>
            <w:rStyle w:val="Hyperlink"/>
          </w:rPr>
          <w:t xml:space="preserve">Bibliografía</w:t>
        </w:r>
      </w:hyperlink>
    </w:p>
    <w:p>
      <w:pPr>
        <w:pStyle w:val="FirstParagraph"/>
      </w:pPr>
      <w:r>
        <w:rPr>
          <w:b/>
          <w:bCs/>
        </w:rPr>
        <w:t xml:space="preserve">Anexos técnicos:</w:t>
      </w:r>
      <w:r>
        <w:t xml:space="preserve"> </w:t>
      </w:r>
      <w:r>
        <w:t xml:space="preserve">- Anexo A: Metodología farmacocinética</w:t>
      </w:r>
      <w:r>
        <w:t xml:space="preserve"> </w:t>
      </w:r>
      <w:r>
        <w:t xml:space="preserve">- Anexo B: Evidencia agronómica detallada</w:t>
      </w:r>
      <w:r>
        <w:t xml:space="preserve"> </w:t>
      </w:r>
      <w:r>
        <w:t xml:space="preserve">- Anexo C: Comparativa internacional detallada</w:t>
      </w:r>
      <w:r>
        <w:t xml:space="preserve"> </w:t>
      </w:r>
      <w:r>
        <w:t xml:space="preserve">- Anexo D: Fundamento jurídico</w:t>
      </w:r>
    </w:p>
    <w:p>
      <w:r>
        <w:pict>
          <v:rect style="width:0;height:1.5pt" o:hralign="center" o:hrstd="t" o:hr="t"/>
        </w:pict>
      </w:r>
    </w:p>
    <w:bookmarkEnd w:id="14"/>
    <w:bookmarkEnd w:id="15"/>
    <w:bookmarkStart w:id="25" w:name="momentum-institucional"/>
    <w:p>
      <w:pPr>
        <w:pStyle w:val="Heading1"/>
      </w:pPr>
      <w:r>
        <w:t xml:space="preserve">1. MOMENTUM INSTITUCIONAL</w:t>
      </w:r>
    </w:p>
    <w:bookmarkStart w:id="16" w:name="Xd54ccdc7c5fbc7b4a4fcf6236bc6a3ced65610d"/>
    <w:p>
      <w:pPr>
        <w:pStyle w:val="Heading2"/>
      </w:pPr>
      <w:r>
        <w:t xml:space="preserve">1.1 Posición del Parlamento Europeo (septiembre 2025)</w:t>
      </w:r>
    </w:p>
    <w:p>
      <w:pPr>
        <w:pStyle w:val="FirstParagraph"/>
      </w:pPr>
      <w:r>
        <w:t xml:space="preserve">La Resolución del PE sobre agricultura y PAC post-2027 (P10_TA(2025)0189, punto 129) [30] marca un hito institucional europeo:</w:t>
      </w:r>
    </w:p>
    <w:p>
      <w:pPr>
        <w:pStyle w:val="BlockText"/>
      </w:pPr>
      <w:r>
        <w:rPr>
          <w:i/>
          <w:iCs/>
        </w:rPr>
        <w:t xml:space="preserve">“Destaca la importancia de confirmar explícitamente la legalidad del cultivo, la recolección, la transformación y la comercialización de</w:t>
      </w:r>
      <w:r>
        <w:rPr>
          <w:i/>
          <w:iCs/>
        </w:rPr>
        <w:t xml:space="preserve"> </w:t>
      </w:r>
      <w:r>
        <w:rPr>
          <w:b/>
          <w:bCs/>
          <w:i/>
          <w:iCs/>
        </w:rPr>
        <w:t xml:space="preserve">todas las partes de la planta de cáñamo</w:t>
      </w:r>
      <w:r>
        <w:rPr>
          <w:i/>
          <w:iCs/>
        </w:rPr>
        <w:t xml:space="preserve"> </w:t>
      </w:r>
      <w:r>
        <w:rPr>
          <w:i/>
          <w:iCs/>
        </w:rPr>
        <w:t xml:space="preserve">[…]; señala que el cultivo del cáñamo requiere relativamente pocos insumos, especialmente fertilizantes, productos fitosanitarios y agua; hace hincapié en que también contribuye a la salud del suelo y a la biodiversidad […]; pide a la Comisión que establezca un umbral común a escala de la Unión del</w:t>
      </w:r>
      <w:r>
        <w:rPr>
          <w:i/>
          <w:iCs/>
        </w:rPr>
        <w:t xml:space="preserve"> </w:t>
      </w:r>
      <w:r>
        <w:rPr>
          <w:b/>
          <w:bCs/>
          <w:i/>
          <w:iCs/>
        </w:rPr>
        <w:t xml:space="preserve">0,5% de tetrahidrocannabinol (THC)</w:t>
      </w:r>
      <w:r>
        <w:rPr>
          <w:i/>
          <w:iCs/>
        </w:rPr>
        <w:t xml:space="preserve">”</w:t>
      </w:r>
      <w:r>
        <w:rPr>
          <w:i/>
          <w:iCs/>
        </w:rPr>
        <w:t xml:space="preserve">.</w:t>
      </w:r>
    </w:p>
    <w:p>
      <w:pPr>
        <w:pStyle w:val="FirstParagraph"/>
      </w:pPr>
      <w:r>
        <w:t xml:space="preserve">El Parlamento Europeo reconoce la necesidad de elevar el umbral y de habilitar</w:t>
      </w:r>
      <w:r>
        <w:t xml:space="preserve"> </w:t>
      </w:r>
      <w:r>
        <w:rPr>
          <w:b/>
          <w:bCs/>
        </w:rPr>
        <w:t xml:space="preserve">todas las partes de la planta</w:t>
      </w:r>
      <w:r>
        <w:t xml:space="preserve">. Su propuesta del 0,5% representa un avance significativo respecto al 0,3% actual, pero</w:t>
      </w:r>
      <w:r>
        <w:t xml:space="preserve"> </w:t>
      </w:r>
      <w:r>
        <w:rPr>
          <w:b/>
          <w:bCs/>
        </w:rPr>
        <w:t xml:space="preserve">no alcanza el nivel de necesidad</w:t>
      </w:r>
      <w:r>
        <w:t xml:space="preserve"> </w:t>
      </w:r>
      <w:r>
        <w:t xml:space="preserve">que la evidencia científica, la práctica internacional y la convergencia de Estados miembros justifican.</w:t>
      </w:r>
    </w:p>
    <w:p>
      <w:pPr>
        <w:pStyle w:val="BodyText"/>
      </w:pPr>
      <w:r>
        <w:t xml:space="preserve">Los mismos argumentos que sustentan el 0,5% —proporcionalidad, realidades agronómicas, competitividad, mercado interior— conducen lógicamente al</w:t>
      </w:r>
      <w:r>
        <w:t xml:space="preserve"> </w:t>
      </w:r>
      <w:r>
        <w:rPr>
          <w:b/>
          <w:bCs/>
        </w:rPr>
        <w:t xml:space="preserve">1%</w:t>
      </w:r>
      <w:r>
        <w:t xml:space="preserve">, respaldado por el bloque internacional que ya operan con este estándar sin problemas de orden público.</w:t>
      </w:r>
    </w:p>
    <w:p>
      <w:r>
        <w:pict>
          <v:rect style="width:0;height:1.5pt" o:hralign="center" o:hrstd="t" o:hr="t"/>
        </w:pict>
      </w:r>
    </w:p>
    <w:bookmarkEnd w:id="16"/>
    <w:bookmarkStart w:id="24" w:name="X6deab6352dbde1e4a296a6dd0badc2c0fb36fd9"/>
    <w:p>
      <w:pPr>
        <w:pStyle w:val="Heading2"/>
      </w:pPr>
      <w:r>
        <w:t xml:space="preserve">1.2 Convergencia multinivel: Estados miembros y parlamentos nacionales</w:t>
      </w:r>
    </w:p>
    <w:p>
      <w:pPr>
        <w:pStyle w:val="FirstParagraph"/>
      </w:pPr>
      <w:r>
        <w:t xml:space="preserve">El movimiento hacia umbrales más realistas no es una propuesta aislada del sector, sino una</w:t>
      </w:r>
      <w:r>
        <w:t xml:space="preserve"> </w:t>
      </w:r>
      <w:r>
        <w:rPr>
          <w:b/>
          <w:bCs/>
        </w:rPr>
        <w:t xml:space="preserve">tendencia consolidada entre Estados miembros y parlamentos nacionales</w:t>
      </w:r>
      <w:r>
        <w:t xml:space="preserve">:</w:t>
      </w:r>
    </w:p>
    <w:bookmarkStart w:id="17" w:name="luxemburgo-estado-miembro"/>
    <w:p>
      <w:pPr>
        <w:pStyle w:val="Heading3"/>
      </w:pPr>
      <w:r>
        <w:t xml:space="preserve">Luxemburgo (Estado miembro)</w:t>
      </w:r>
    </w:p>
    <w:p>
      <w:pPr>
        <w:pStyle w:val="FirstParagraph"/>
      </w:pPr>
      <w:r>
        <w:t xml:space="preserve">Desde 2023, Luxemburgo permite la importación a la Unión Europea y comercialización de productos de cáñamo industrial con hasta</w:t>
      </w:r>
      <w:r>
        <w:t xml:space="preserve"> </w:t>
      </w:r>
      <w:r>
        <w:rPr>
          <w:b/>
          <w:bCs/>
        </w:rPr>
        <w:t xml:space="preserve">1% THC</w:t>
      </w:r>
      <w:r>
        <w:t xml:space="preserve">[51]. Estos productos están registrados oficialmente en el portal EU-CEG y se enmarcan en la Directiva 2014/40/UE [57].</w:t>
      </w:r>
    </w:p>
    <w:bookmarkEnd w:id="17"/>
    <w:bookmarkStart w:id="18" w:name="república-checa-estado-miembro"/>
    <w:p>
      <w:pPr>
        <w:pStyle w:val="Heading3"/>
      </w:pPr>
      <w:r>
        <w:t xml:space="preserve">República Checa (Estado miembro)</w:t>
      </w:r>
    </w:p>
    <w:p>
      <w:pPr>
        <w:pStyle w:val="FirstParagraph"/>
      </w:pPr>
      <w:r>
        <w:t xml:space="preserve">La República Checa adoptó el umbral de</w:t>
      </w:r>
      <w:r>
        <w:t xml:space="preserve"> </w:t>
      </w:r>
      <w:r>
        <w:rPr>
          <w:b/>
          <w:bCs/>
        </w:rPr>
        <w:t xml:space="preserve">1% THC</w:t>
      </w:r>
      <w:r>
        <w:t xml:space="preserve"> </w:t>
      </w:r>
      <w:r>
        <w:t xml:space="preserve">mediante el Act Col. 166/2024 [56], permitiendo así la introducción de cáñamo industrial con este nivel en el mercado interior europeo. Además, ha establecido acuerdos bilaterales con Uruguay para importación de cáñamo industrial.</w:t>
      </w:r>
    </w:p>
    <w:bookmarkEnd w:id="18"/>
    <w:bookmarkStart w:id="19" w:name="italia"/>
    <w:p>
      <w:pPr>
        <w:pStyle w:val="Heading3"/>
      </w:pPr>
      <w:r>
        <w:t xml:space="preserve">Italia</w:t>
      </w:r>
    </w:p>
    <w:p>
      <w:pPr>
        <w:pStyle w:val="FirstParagraph"/>
      </w:pPr>
      <w:r>
        <w:t xml:space="preserve">Desde 2016, Italia opera con un umbral de tolerancia del</w:t>
      </w:r>
      <w:r>
        <w:t xml:space="preserve"> </w:t>
      </w:r>
      <w:r>
        <w:rPr>
          <w:b/>
          <w:bCs/>
        </w:rPr>
        <w:t xml:space="preserve">0,6% THC</w:t>
      </w:r>
      <w:r>
        <w:t xml:space="preserve"> </w:t>
      </w:r>
      <w:r>
        <w:t xml:space="preserve">(Legge 242/2016) [52], reconociendo la variabilidad natural del cultivo y protegiendo al agricultor de pérdidas injustificadas.</w:t>
      </w:r>
    </w:p>
    <w:bookmarkEnd w:id="19"/>
    <w:bookmarkStart w:id="21" w:name="Xad8473c6927ef05a74b5a0f1d5c7c137ae309b6"/>
    <w:p>
      <w:pPr>
        <w:pStyle w:val="Heading3"/>
      </w:pPr>
      <w:r>
        <w:t xml:space="preserve">Implicación jurídica: reconocimiento mutuo</w:t>
      </w:r>
    </w:p>
    <w:p>
      <w:pPr>
        <w:pStyle w:val="FirstParagraph"/>
      </w:pPr>
      <w:r>
        <w:t xml:space="preserve">Al ser Luxemburgo, República Checa e Italia</w:t>
      </w:r>
      <w:r>
        <w:t xml:space="preserve"> </w:t>
      </w:r>
      <w:r>
        <w:rPr>
          <w:b/>
          <w:bCs/>
        </w:rPr>
        <w:t xml:space="preserve">Estados miembros de pleno derecho</w:t>
      </w:r>
      <w:r>
        <w:t xml:space="preserve">, los productos de cáñamo legalmente comercializados en sus mercados —con umbrales de hasta 1% THC—</w:t>
      </w:r>
      <w:r>
        <w:t xml:space="preserve"> </w:t>
      </w:r>
      <w:r>
        <w:rPr>
          <w:b/>
          <w:bCs/>
        </w:rPr>
        <w:t xml:space="preserve">deben circular libremente</w:t>
      </w:r>
      <w:r>
        <w:t xml:space="preserve"> </w:t>
      </w:r>
      <w:r>
        <w:t xml:space="preserve">en el resto de la Unión conforme al principio de reconocimiento mutuo (Reglamento (UE) 2019/515 [79], Artículo 4) y la doctrina</w:t>
      </w:r>
      <w:r>
        <w:t xml:space="preserve"> </w:t>
      </w:r>
      <w:r>
        <w:rPr>
          <w:b/>
          <w:bCs/>
        </w:rPr>
        <w:t xml:space="preserve">Kanavape</w:t>
      </w:r>
      <w:r>
        <w:t xml:space="preserve"> </w:t>
      </w:r>
      <w:r>
        <w:t xml:space="preserve">(C-663/18) [39]. El 1% THC no es una propuesta teórica:</w:t>
      </w:r>
      <w:r>
        <w:t xml:space="preserve"> </w:t>
      </w:r>
      <w:r>
        <w:rPr>
          <w:b/>
          <w:bCs/>
        </w:rPr>
        <w:t xml:space="preserve">ya es derecho vigente en el mercado interior</w:t>
      </w:r>
      <w:r>
        <w:t xml:space="preserve">.</w:t>
      </w:r>
    </w:p>
    <w:p>
      <w:pPr>
        <w:pStyle w:val="BlockText"/>
      </w:pPr>
      <w:r>
        <w:t xml:space="preserve">Ver</w:t>
      </w:r>
      <w:r>
        <w:t xml:space="preserve"> </w:t>
      </w:r>
      <w:hyperlink r:id="rId20">
        <w:r>
          <w:rPr>
            <w:rStyle w:val="Hyperlink"/>
            <w:b/>
            <w:bCs/>
          </w:rPr>
          <w:t xml:space="preserve">Anexo D</w:t>
        </w:r>
      </w:hyperlink>
      <w:r>
        <w:t xml:space="preserve"> </w:t>
      </w:r>
      <w:r>
        <w:t xml:space="preserve">para el desarrollo jurídico completo del principio de reconocimiento mutuo y la doctrina Kanavape.</w:t>
      </w:r>
    </w:p>
    <w:bookmarkEnd w:id="21"/>
    <w:bookmarkStart w:id="22" w:name="españa-mandato-parlamentario"/>
    <w:p>
      <w:pPr>
        <w:pStyle w:val="Heading3"/>
      </w:pPr>
      <w:r>
        <w:t xml:space="preserve">España — Mandato parlamentario</w:t>
      </w:r>
    </w:p>
    <w:p>
      <w:pPr>
        <w:pStyle w:val="FirstParagraph"/>
      </w:pPr>
      <w:r>
        <w:t xml:space="preserve">El 25 de enero de 2023, el Congreso de los Diputados tramitó la</w:t>
      </w:r>
      <w:r>
        <w:t xml:space="preserve"> </w:t>
      </w:r>
      <w:r>
        <w:rPr>
          <w:b/>
          <w:bCs/>
        </w:rPr>
        <w:t xml:space="preserve">Proposición No de Ley 161/004332</w:t>
      </w:r>
      <w:r>
        <w:t xml:space="preserve"> </w:t>
      </w:r>
      <w:r>
        <w:t xml:space="preserve">[34] en la Comisión de Agricultura, Pesca y Alimentación. El punto 3 de la PNL establece:</w:t>
      </w:r>
    </w:p>
    <w:p>
      <w:pPr>
        <w:pStyle w:val="BlockText"/>
      </w:pPr>
      <w:r>
        <w:rPr>
          <w:i/>
          <w:iCs/>
        </w:rPr>
        <w:t xml:space="preserve">«Establecer en una futura regulación del cannabis no psicoactivo la limitación del porcentaje de THC al</w:t>
      </w:r>
      <w:r>
        <w:rPr>
          <w:i/>
          <w:iCs/>
        </w:rPr>
        <w:t xml:space="preserve"> </w:t>
      </w:r>
      <w:r>
        <w:rPr>
          <w:b/>
          <w:bCs/>
          <w:i/>
          <w:iCs/>
        </w:rPr>
        <w:t xml:space="preserve">1%</w:t>
      </w:r>
      <w:r>
        <w:rPr>
          <w:i/>
          <w:iCs/>
        </w:rPr>
        <w:t xml:space="preserve">, asegurando de esta forma la ausencia de efectos estupefacientes, así como un mayor rendimiento de los cultivos y su sostenibilidad conforme al</w:t>
      </w:r>
      <w:r>
        <w:rPr>
          <w:i/>
          <w:iCs/>
        </w:rPr>
        <w:t xml:space="preserve"> </w:t>
      </w:r>
      <w:r>
        <w:rPr>
          <w:b/>
          <w:bCs/>
          <w:i/>
          <w:iCs/>
        </w:rPr>
        <w:t xml:space="preserve">Pacto Verde Europeo</w:t>
      </w:r>
      <w:r>
        <w:rPr>
          <w:i/>
          <w:iCs/>
        </w:rPr>
        <w:t xml:space="preserve">; algo que, de no hacerse, obligaría a operar en este mercado con una</w:t>
      </w:r>
      <w:r>
        <w:rPr>
          <w:i/>
          <w:iCs/>
        </w:rPr>
        <w:t xml:space="preserve"> </w:t>
      </w:r>
      <w:r>
        <w:rPr>
          <w:b/>
          <w:bCs/>
          <w:i/>
          <w:iCs/>
        </w:rPr>
        <w:t xml:space="preserve">desventaja clara</w:t>
      </w:r>
      <w:r>
        <w:rPr>
          <w:i/>
          <w:iCs/>
        </w:rPr>
        <w:t xml:space="preserve"> </w:t>
      </w:r>
      <w:r>
        <w:rPr>
          <w:i/>
          <w:iCs/>
        </w:rPr>
        <w:t xml:space="preserve">respecto de otros países de nuestro entorno.»</w:t>
      </w:r>
    </w:p>
    <w:p>
      <w:pPr>
        <w:pStyle w:val="FirstParagraph"/>
      </w:pPr>
      <w:r>
        <w:t xml:space="preserve">Este mandato parlamentario español</w:t>
      </w:r>
      <w:r>
        <w:t xml:space="preserve"> </w:t>
      </w:r>
      <w:r>
        <w:rPr>
          <w:b/>
          <w:bCs/>
        </w:rPr>
        <w:t xml:space="preserve">anticipa en más de dos años</w:t>
      </w:r>
      <w:r>
        <w:t xml:space="preserve"> </w:t>
      </w:r>
      <w:r>
        <w:t xml:space="preserve">la posición del Parlamento Europeo y constituye un precedente relevante para la armonización europea.</w:t>
      </w:r>
    </w:p>
    <w:bookmarkEnd w:id="22"/>
    <w:bookmarkStart w:id="23" w:name="conclusión"/>
    <w:p>
      <w:pPr>
        <w:pStyle w:val="Heading3"/>
      </w:pPr>
      <w:r>
        <w:t xml:space="preserve">Conclusión</w:t>
      </w:r>
    </w:p>
    <w:p>
      <w:pPr>
        <w:pStyle w:val="FirstParagraph"/>
      </w:pPr>
      <w:r>
        <w:t xml:space="preserve">Esta convergencia multinivel —Parlamento Europeo, Estados miembros y parlamentos nacionales— refleja una realidad agronómica y comercial que la regulación europea debe reconocer y armonizar. El umbral del</w:t>
      </w:r>
      <w:r>
        <w:t xml:space="preserve"> </w:t>
      </w:r>
      <w:r>
        <w:rPr>
          <w:b/>
          <w:bCs/>
        </w:rPr>
        <w:t xml:space="preserve">1% THC</w:t>
      </w:r>
      <w:r>
        <w:t xml:space="preserve"> </w:t>
      </w:r>
      <w:r>
        <w:t xml:space="preserve">emerge como el punto de equilibrio validado por la práctica.</w:t>
      </w:r>
    </w:p>
    <w:p>
      <w:r>
        <w:pict>
          <v:rect style="width:0;height:1.5pt" o:hralign="center" o:hrstd="t" o:hr="t"/>
        </w:pict>
      </w:r>
    </w:p>
    <w:bookmarkEnd w:id="23"/>
    <w:bookmarkEnd w:id="24"/>
    <w:bookmarkEnd w:id="25"/>
    <w:bookmarkStart w:id="51" w:name="justificación-del-umbral-propuesto"/>
    <w:p>
      <w:pPr>
        <w:pStyle w:val="Heading1"/>
      </w:pPr>
      <w:r>
        <w:t xml:space="preserve">2. JUSTIFICACIÓN DEL UMBRAL PROPUESTO</w:t>
      </w:r>
    </w:p>
    <w:p>
      <w:pPr>
        <w:pStyle w:val="FirstParagraph"/>
      </w:pPr>
      <w:r>
        <w:t xml:space="preserve">A continuación se desarrolla la evidencia científica, histórica, política y de salud pública que sustenta la propuesta del umbral del 1% THC.</w:t>
      </w:r>
    </w:p>
    <w:p>
      <w:r>
        <w:pict>
          <v:rect style="width:0;height:1.5pt" o:hralign="center" o:hrstd="t" o:hr="t"/>
        </w:pict>
      </w:r>
    </w:p>
    <w:bookmarkStart w:id="26" w:name="revisión-histórica-del-umbral"/>
    <w:p>
      <w:pPr>
        <w:pStyle w:val="Heading2"/>
      </w:pPr>
      <w:r>
        <w:t xml:space="preserve">2.1 REVISIÓN HISTÓRICA DEL UMBRAL</w:t>
      </w:r>
    </w:p>
    <w:p>
      <w:pPr>
        <w:pStyle w:val="FirstParagraph"/>
      </w:pPr>
      <w:r>
        <w:t xml:space="preserve">El umbral del 0,3% de THC para cáñamo industrial en la Unión Europea se estableció en 1984 mediante el Reglamento (CEE) 1430/82 y 619/71 modificados [53]. Sin embargo,</w:t>
      </w:r>
      <w:r>
        <w:t xml:space="preserve"> </w:t>
      </w:r>
      <w:r>
        <w:rPr>
          <w:b/>
          <w:bCs/>
        </w:rPr>
        <w:t xml:space="preserve">no existe documentación que justifique la elección de esta cifra</w:t>
      </w:r>
      <w:r>
        <w:t xml:space="preserve"> </w:t>
      </w:r>
      <w:r>
        <w:t xml:space="preserve">ni los criterios técnicos o científicos que la sustentaron.</w:t>
      </w:r>
    </w:p>
    <w:p>
      <w:pPr>
        <w:pStyle w:val="BodyText"/>
      </w:pPr>
      <w:r>
        <w:t xml:space="preserve">La única referencia científica contemporánea que establece el 0,3% como punto de corte es la clasificación taxonómica del</w:t>
      </w:r>
      <w:r>
        <w:t xml:space="preserve"> </w:t>
      </w:r>
      <w:r>
        <w:rPr>
          <w:b/>
          <w:bCs/>
        </w:rPr>
        <w:t xml:space="preserve">Dr. Ernest Small</w:t>
      </w:r>
      <w:r>
        <w:t xml:space="preserve"> </w:t>
      </w:r>
      <w:r>
        <w:t xml:space="preserve">[1], lo que sugiere que fue la fuente adoptada por el legislador europeo. El análisis de este trabajo resulta determinante.</w:t>
      </w:r>
    </w:p>
    <w:p>
      <w:pPr>
        <w:pStyle w:val="BodyText"/>
      </w:pPr>
      <w:r>
        <w:t xml:space="preserve">Small &amp; Cronquist utilizaron plantas cultivadas en Ottawa a partir de semillas lituanas para diferenciar cáñamo de marihuana. En su estudio señalaron:</w:t>
      </w:r>
    </w:p>
    <w:p>
      <w:pPr>
        <w:pStyle w:val="BlockText"/>
      </w:pPr>
      <w:r>
        <w:rPr>
          <w:i/>
          <w:iCs/>
        </w:rPr>
        <w:t xml:space="preserve">“It will be noted that we</w:t>
      </w:r>
      <w:r>
        <w:rPr>
          <w:i/>
          <w:iCs/>
        </w:rPr>
        <w:t xml:space="preserve"> </w:t>
      </w:r>
      <w:r>
        <w:rPr>
          <w:b/>
          <w:bCs/>
          <w:i/>
          <w:iCs/>
        </w:rPr>
        <w:t xml:space="preserve">arbitrarily adopt</w:t>
      </w:r>
      <w:r>
        <w:rPr>
          <w:i/>
          <w:iCs/>
        </w:rPr>
        <w:t xml:space="preserve"> </w:t>
      </w:r>
      <w:r>
        <w:rPr>
          <w:i/>
          <w:iCs/>
        </w:rPr>
        <w:t xml:space="preserve">a concentration of 0.3% Δ9-THC (dry weight basis) in</w:t>
      </w:r>
      <w:r>
        <w:rPr>
          <w:i/>
          <w:iCs/>
        </w:rPr>
        <w:t xml:space="preserve"> </w:t>
      </w:r>
      <w:r>
        <w:rPr>
          <w:b/>
          <w:bCs/>
          <w:i/>
          <w:iCs/>
        </w:rPr>
        <w:t xml:space="preserve">young, vigorous leaves</w:t>
      </w:r>
      <w:r>
        <w:rPr>
          <w:i/>
          <w:iCs/>
        </w:rPr>
        <w:t xml:space="preserve"> </w:t>
      </w:r>
      <w:r>
        <w:rPr>
          <w:i/>
          <w:iCs/>
        </w:rPr>
        <w:t xml:space="preserve">of relatively mature plants as a</w:t>
      </w:r>
      <w:r>
        <w:rPr>
          <w:i/>
          <w:iCs/>
        </w:rPr>
        <w:t xml:space="preserve"> </w:t>
      </w:r>
      <w:r>
        <w:rPr>
          <w:b/>
          <w:bCs/>
          <w:i/>
          <w:iCs/>
        </w:rPr>
        <w:t xml:space="preserve">guide to discriminating two classes of plants</w:t>
      </w:r>
      <w:r>
        <w:rPr>
          <w:i/>
          <w:iCs/>
        </w:rPr>
        <w:t xml:space="preserve">.”</w:t>
      </w:r>
      <w:r>
        <w:t xml:space="preserve"> </w:t>
      </w:r>
      <w:r>
        <w:t xml:space="preserve">— Taxon 25(4): 408</w:t>
      </w:r>
    </w:p>
    <w:p>
      <w:pPr>
        <w:pStyle w:val="FirstParagraph"/>
      </w:pPr>
      <w:r>
        <w:t xml:space="preserve">De esta cita fundacional se desprenden dos elementos relevantes. En primer lugar, los propios autores reconocen que el criterio fue adoptado</w:t>
      </w:r>
      <w:r>
        <w:t xml:space="preserve"> </w:t>
      </w:r>
      <w:r>
        <w:rPr>
          <w:b/>
          <w:bCs/>
        </w:rPr>
        <w:t xml:space="preserve">de forma arbitraria</w:t>
      </w:r>
      <w:r>
        <w:t xml:space="preserve">, sin fundamentación toxicológica. En segundo lugar, el umbral se midió en</w:t>
      </w:r>
      <w:r>
        <w:t xml:space="preserve"> </w:t>
      </w:r>
      <w:r>
        <w:rPr>
          <w:b/>
          <w:bCs/>
        </w:rPr>
        <w:t xml:space="preserve">hojas jóvenes</w:t>
      </w:r>
      <w:r>
        <w:t xml:space="preserve"> </w:t>
      </w:r>
      <w:r>
        <w:t xml:space="preserve">de cáñamo lituano en invernadero canadiense —no en flores, donde las concentraciones son, segun los autores, mucho superiores, ni en condiciones de campo europeas.</w:t>
      </w:r>
    </w:p>
    <w:p>
      <w:pPr>
        <w:pStyle w:val="BodyText"/>
      </w:pPr>
      <w:r>
        <w:t xml:space="preserve">El propio Dr. Small confirmó en 2021 [2] que el criterio se estableció</w:t>
      </w:r>
      <w:r>
        <w:t xml:space="preserve"> </w:t>
      </w:r>
      <w:r>
        <w:rPr>
          <w:i/>
          <w:iCs/>
        </w:rPr>
        <w:t xml:space="preserve">“on strictly taxonomic considerations”</w:t>
      </w:r>
      <w:r>
        <w:t xml:space="preserve"> </w:t>
      </w:r>
      <w:r>
        <w:t xml:space="preserve">y que actualmente constituye</w:t>
      </w:r>
      <w:r>
        <w:t xml:space="preserve"> </w:t>
      </w:r>
      <w:r>
        <w:rPr>
          <w:i/>
          <w:iCs/>
        </w:rPr>
        <w:t xml:space="preserve">“a hindrance to the industry”</w:t>
      </w:r>
      <w:r>
        <w:t xml:space="preserve">. Su conclusión es inequívoca: el potencial real de abuso</w:t>
      </w:r>
      <w:r>
        <w:t xml:space="preserve"> </w:t>
      </w:r>
      <w:r>
        <w:rPr>
          <w:i/>
          <w:iCs/>
        </w:rPr>
        <w:t xml:space="preserve">“requires a concentration of approximately 1% THC”</w:t>
      </w:r>
      <w:r>
        <w:t xml:space="preserve">, por lo que</w:t>
      </w:r>
      <w:r>
        <w:t xml:space="preserve"> </w:t>
      </w:r>
      <w:r>
        <w:rPr>
          <w:b/>
          <w:bCs/>
        </w:rPr>
        <w:t xml:space="preserve">“1% THC would be a more suitable criterion”</w:t>
      </w:r>
      <w:r>
        <w:t xml:space="preserve">.</w:t>
      </w:r>
    </w:p>
    <w:p>
      <w:pPr>
        <w:pStyle w:val="BodyText"/>
      </w:pPr>
      <w:r>
        <w:t xml:space="preserve">Tras cinco décadas de avances genéticos y cambios climáticos, la evidencia científica respalda esta revisión.</w:t>
      </w:r>
    </w:p>
    <w:p>
      <w:r>
        <w:pict>
          <v:rect style="width:0;height:1.5pt" o:hralign="center" o:hrstd="t" o:hr="t"/>
        </w:pict>
      </w:r>
    </w:p>
    <w:bookmarkEnd w:id="26"/>
    <w:bookmarkStart w:id="28" w:name="X5917541186640d528f5dd9b0b59bfd29207edda"/>
    <w:p>
      <w:pPr>
        <w:pStyle w:val="Heading2"/>
      </w:pPr>
      <w:r>
        <w:t xml:space="preserve">2.2 RENDIMIENTO AGRONÓMICO Y ADAPTACIÓN CLIMÁTICA</w:t>
      </w:r>
    </w:p>
    <w:p>
      <w:pPr>
        <w:pStyle w:val="FirstParagraph"/>
      </w:pPr>
      <w:r>
        <w:t xml:space="preserve">La evidencia científica documenta una</w:t>
      </w:r>
      <w:r>
        <w:t xml:space="preserve"> </w:t>
      </w:r>
      <w:r>
        <w:rPr>
          <w:b/>
          <w:bCs/>
        </w:rPr>
        <w:t xml:space="preserve">correlación directa entre rendimiento de fibra y contenido de cannabinoides</w:t>
      </w:r>
      <w:r>
        <w:t xml:space="preserve"> </w:t>
      </w:r>
      <w:r>
        <w:t xml:space="preserve">[6-10]. La biosíntesis de cannabinoides y la acumulación de biomasa comparten rutas metabólicas: las plantas más vigorosas producen simultáneamente más fibra y más THC.</w:t>
      </w:r>
      <w:r>
        <w:t xml:space="preserve"> </w:t>
      </w:r>
      <w:r>
        <w:rPr>
          <w:b/>
          <w:bCs/>
        </w:rPr>
        <w:t xml:space="preserve">Restringir el THC implica restringir el rendimiento.</w:t>
      </w:r>
    </w:p>
    <w:p>
      <w:pPr>
        <w:pStyle w:val="BodyText"/>
      </w:pPr>
      <w:r>
        <w:t xml:space="preserve">El umbral del 0,3% excluye precisamente las variedades más productivas. Las jurisdicciones con umbrales más altos acceden a germoplasma de élite que multiplica la producción:</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15"/>
        <w:gridCol w:w="812"/>
        <w:gridCol w:w="913"/>
        <w:gridCol w:w="1624"/>
        <w:gridCol w:w="2233"/>
        <w:gridCol w:w="1320"/>
      </w:tblGrid>
      <w:tr>
        <w:trPr>
          <w:tblHeader w:val="on"/>
        </w:trPr>
        <w:tc>
          <w:tcPr/>
          <w:p>
            <w:pPr>
              <w:pStyle w:val="Compact"/>
            </w:pPr>
            <w:r>
              <w:t xml:space="preserve">Variedad</w:t>
            </w:r>
          </w:p>
        </w:tc>
        <w:tc>
          <w:tcPr/>
          <w:p>
            <w:pPr>
              <w:pStyle w:val="Compact"/>
            </w:pPr>
            <w:r>
              <w:t xml:space="preserve">Origen</w:t>
            </w:r>
          </w:p>
        </w:tc>
        <w:tc>
          <w:tcPr/>
          <w:p>
            <w:pPr>
              <w:pStyle w:val="Compact"/>
            </w:pPr>
            <w:r>
              <w:t xml:space="preserve">THC (%)</w:t>
            </w:r>
          </w:p>
        </w:tc>
        <w:tc>
          <w:tcPr/>
          <w:p>
            <w:pPr>
              <w:pStyle w:val="Compact"/>
            </w:pPr>
            <w:r>
              <w:t xml:space="preserve">Biomasa (t/ha)</w:t>
            </w:r>
          </w:p>
        </w:tc>
        <w:tc>
          <w:tcPr/>
          <w:p>
            <w:pPr>
              <w:pStyle w:val="Compact"/>
            </w:pPr>
            <w:r>
              <w:t xml:space="preserve">CO₂ capturado (kg/ha)</w:t>
            </w:r>
          </w:p>
        </w:tc>
        <w:tc>
          <w:tcPr/>
          <w:p>
            <w:pPr>
              <w:pStyle w:val="Compact"/>
            </w:pPr>
            <w:r>
              <w:t xml:space="preserve">vs baseline</w:t>
            </w:r>
          </w:p>
        </w:tc>
      </w:tr>
      <w:tr>
        <w:tc>
          <w:tcPr/>
          <w:p>
            <w:pPr>
              <w:pStyle w:val="Compact"/>
            </w:pPr>
            <w:r>
              <w:t xml:space="preserve">Futura 75</w:t>
            </w:r>
          </w:p>
        </w:tc>
        <w:tc>
          <w:tcPr/>
          <w:p>
            <w:pPr>
              <w:pStyle w:val="Compact"/>
            </w:pPr>
            <w:r>
              <w:t xml:space="preserve">Francia (monoica)</w:t>
            </w:r>
          </w:p>
        </w:tc>
        <w:tc>
          <w:tcPr/>
          <w:p>
            <w:pPr>
              <w:pStyle w:val="Compact"/>
            </w:pPr>
            <w:r>
              <w:t xml:space="preserve">&lt;0,2%</w:t>
            </w:r>
          </w:p>
        </w:tc>
        <w:tc>
          <w:tcPr/>
          <w:p>
            <w:pPr>
              <w:pStyle w:val="Compact"/>
            </w:pPr>
            <w:r>
              <w:t xml:space="preserve">4,60</w:t>
            </w:r>
          </w:p>
        </w:tc>
        <w:tc>
          <w:tcPr/>
          <w:p>
            <w:pPr>
              <w:pStyle w:val="Compact"/>
            </w:pPr>
            <w:r>
              <w:t xml:space="preserve">7.500</w:t>
            </w:r>
          </w:p>
        </w:tc>
        <w:tc>
          <w:tcPr/>
          <w:p>
            <w:pPr>
              <w:pStyle w:val="Compact"/>
            </w:pPr>
            <w:r>
              <w:rPr>
                <w:i/>
                <w:iCs/>
              </w:rPr>
              <w:t xml:space="preserve">baseline</w:t>
            </w:r>
          </w:p>
        </w:tc>
      </w:tr>
      <w:tr>
        <w:tc>
          <w:tcPr/>
          <w:p>
            <w:pPr>
              <w:pStyle w:val="Compact"/>
            </w:pPr>
            <w:r>
              <w:t xml:space="preserve">Fedora 17</w:t>
            </w:r>
          </w:p>
        </w:tc>
        <w:tc>
          <w:tcPr/>
          <w:p>
            <w:pPr>
              <w:pStyle w:val="Compact"/>
            </w:pPr>
            <w:r>
              <w:t xml:space="preserve">Francia (monoica)</w:t>
            </w:r>
          </w:p>
        </w:tc>
        <w:tc>
          <w:tcPr/>
          <w:p>
            <w:pPr>
              <w:pStyle w:val="Compact"/>
            </w:pPr>
            <w:r>
              <w:t xml:space="preserve">&lt;0,2%</w:t>
            </w:r>
          </w:p>
        </w:tc>
        <w:tc>
          <w:tcPr/>
          <w:p>
            <w:pPr>
              <w:pStyle w:val="Compact"/>
            </w:pPr>
            <w:r>
              <w:t xml:space="preserve">4,35</w:t>
            </w:r>
          </w:p>
        </w:tc>
        <w:tc>
          <w:tcPr/>
          <w:p>
            <w:pPr>
              <w:pStyle w:val="Compact"/>
            </w:pPr>
            <w:r>
              <w:t xml:space="preserve">7.000</w:t>
            </w:r>
          </w:p>
        </w:tc>
        <w:tc>
          <w:tcPr/>
          <w:p>
            <w:pPr>
              <w:pStyle w:val="Compact"/>
            </w:pPr>
            <w:r>
              <w:t xml:space="preserve">−5%</w:t>
            </w:r>
          </w:p>
        </w:tc>
      </w:tr>
      <w:tr>
        <w:tc>
          <w:tcPr/>
          <w:p>
            <w:pPr>
              <w:pStyle w:val="Compact"/>
            </w:pPr>
            <w:r>
              <w:rPr>
                <w:b/>
                <w:bCs/>
              </w:rPr>
              <w:t xml:space="preserve">Carmagnola</w:t>
            </w:r>
          </w:p>
        </w:tc>
        <w:tc>
          <w:tcPr/>
          <w:p>
            <w:pPr>
              <w:pStyle w:val="Compact"/>
            </w:pPr>
            <w:r>
              <w:t xml:space="preserve">Italia (dioica tradicional)</w:t>
            </w:r>
          </w:p>
        </w:tc>
        <w:tc>
          <w:tcPr/>
          <w:p>
            <w:pPr>
              <w:pStyle w:val="Compact"/>
            </w:pPr>
            <w:r>
              <w:t xml:space="preserve">0,4–0,6%</w:t>
            </w:r>
          </w:p>
        </w:tc>
        <w:tc>
          <w:tcPr/>
          <w:p>
            <w:pPr>
              <w:pStyle w:val="Compact"/>
            </w:pPr>
            <w:r>
              <w:rPr>
                <w:b/>
                <w:bCs/>
              </w:rPr>
              <w:t xml:space="preserve">8,62</w:t>
            </w:r>
          </w:p>
        </w:tc>
        <w:tc>
          <w:tcPr/>
          <w:p>
            <w:pPr>
              <w:pStyle w:val="Compact"/>
            </w:pPr>
            <w:r>
              <w:rPr>
                <w:b/>
                <w:bCs/>
              </w:rPr>
              <w:t xml:space="preserve">14.000</w:t>
            </w:r>
          </w:p>
        </w:tc>
        <w:tc>
          <w:tcPr/>
          <w:p>
            <w:pPr>
              <w:pStyle w:val="Compact"/>
            </w:pPr>
            <w:r>
              <w:rPr>
                <w:b/>
                <w:bCs/>
              </w:rPr>
              <w:t xml:space="preserve">+87%</w:t>
            </w:r>
          </w:p>
        </w:tc>
      </w:tr>
      <w:tr>
        <w:tc>
          <w:tcPr/>
          <w:p>
            <w:pPr>
              <w:pStyle w:val="Compact"/>
            </w:pPr>
            <w:r>
              <w:rPr>
                <w:b/>
                <w:bCs/>
              </w:rPr>
              <w:t xml:space="preserve">Bama</w:t>
            </w:r>
          </w:p>
        </w:tc>
        <w:tc>
          <w:tcPr/>
          <w:p>
            <w:pPr>
              <w:pStyle w:val="Compact"/>
            </w:pPr>
            <w:r>
              <w:t xml:space="preserve">China (umbral 1%)</w:t>
            </w:r>
          </w:p>
        </w:tc>
        <w:tc>
          <w:tcPr/>
          <w:p>
            <w:pPr>
              <w:pStyle w:val="Compact"/>
            </w:pPr>
            <w:r>
              <w:t xml:space="preserve">0,51%</w:t>
            </w:r>
          </w:p>
        </w:tc>
        <w:tc>
          <w:tcPr/>
          <w:p>
            <w:pPr>
              <w:pStyle w:val="Compact"/>
            </w:pPr>
            <w:r>
              <w:rPr>
                <w:b/>
                <w:bCs/>
              </w:rPr>
              <w:t xml:space="preserve">22,3</w:t>
            </w:r>
          </w:p>
        </w:tc>
        <w:tc>
          <w:tcPr/>
          <w:p>
            <w:pPr>
              <w:pStyle w:val="Compact"/>
            </w:pPr>
            <w:r>
              <w:rPr>
                <w:b/>
                <w:bCs/>
              </w:rPr>
              <w:t xml:space="preserve">36.100</w:t>
            </w:r>
          </w:p>
        </w:tc>
        <w:tc>
          <w:tcPr/>
          <w:p>
            <w:pPr>
              <w:pStyle w:val="Compact"/>
            </w:pPr>
            <w:r>
              <w:rPr>
                <w:b/>
                <w:bCs/>
              </w:rPr>
              <w:t xml:space="preserve">+385%</w:t>
            </w:r>
          </w:p>
        </w:tc>
      </w:tr>
      <w:tr>
        <w:tc>
          <w:tcPr/>
          <w:p>
            <w:pPr>
              <w:pStyle w:val="Compact"/>
            </w:pPr>
            <w:r>
              <w:rPr>
                <w:b/>
                <w:bCs/>
              </w:rPr>
              <w:t xml:space="preserve">Yuma</w:t>
            </w:r>
          </w:p>
        </w:tc>
        <w:tc>
          <w:tcPr/>
          <w:p>
            <w:pPr>
              <w:pStyle w:val="Compact"/>
            </w:pPr>
            <w:r>
              <w:t xml:space="preserve">China (umbral 1%)</w:t>
            </w:r>
          </w:p>
        </w:tc>
        <w:tc>
          <w:tcPr/>
          <w:p>
            <w:pPr>
              <w:pStyle w:val="Compact"/>
            </w:pPr>
            <w:r>
              <w:t xml:space="preserve">0,72%</w:t>
            </w:r>
          </w:p>
        </w:tc>
        <w:tc>
          <w:tcPr/>
          <w:p>
            <w:pPr>
              <w:pStyle w:val="Compact"/>
            </w:pPr>
            <w:r>
              <w:rPr>
                <w:b/>
                <w:bCs/>
              </w:rPr>
              <w:t xml:space="preserve">35,1</w:t>
            </w:r>
          </w:p>
        </w:tc>
        <w:tc>
          <w:tcPr/>
          <w:p>
            <w:pPr>
              <w:pStyle w:val="Compact"/>
            </w:pPr>
            <w:r>
              <w:rPr>
                <w:b/>
                <w:bCs/>
              </w:rPr>
              <w:t xml:space="preserve">56.900</w:t>
            </w:r>
          </w:p>
        </w:tc>
        <w:tc>
          <w:tcPr/>
          <w:p>
            <w:pPr>
              <w:pStyle w:val="Compact"/>
            </w:pPr>
            <w:r>
              <w:rPr>
                <w:b/>
                <w:bCs/>
              </w:rPr>
              <w:t xml:space="preserve">+663%</w:t>
            </w:r>
          </w:p>
        </w:tc>
      </w:tr>
    </w:tbl>
    <w:p>
      <w:pPr>
        <w:pStyle w:val="BodyText"/>
      </w:pPr>
      <w:r>
        <w:t xml:space="preserve">Las variedades actualmente dominantes en la UE —</w:t>
      </w:r>
      <w:r>
        <w:rPr>
          <w:b/>
          <w:bCs/>
        </w:rPr>
        <w:t xml:space="preserve">Futura 75</w:t>
      </w:r>
      <w:r>
        <w:t xml:space="preserve">,</w:t>
      </w:r>
      <w:r>
        <w:t xml:space="preserve"> </w:t>
      </w:r>
      <w:r>
        <w:rPr>
          <w:b/>
          <w:bCs/>
        </w:rPr>
        <w:t xml:space="preserve">Fedora 17</w:t>
      </w:r>
      <w:r>
        <w:t xml:space="preserve"> </w:t>
      </w:r>
      <w:r>
        <w:t xml:space="preserve">y otras monoicas francesas— fueron desarrolladas específicamente para cumplir umbrales ultra-bajos de THC, sacrificando rendimiento. Como muestra la tabla, la diferencia frente a variedades de alto rendimiento es</w:t>
      </w:r>
      <w:r>
        <w:t xml:space="preserve"> </w:t>
      </w:r>
      <w:r>
        <w:rPr>
          <w:b/>
          <w:bCs/>
        </w:rPr>
        <w:t xml:space="preserve">abismal</w:t>
      </w:r>
      <w:r>
        <w:t xml:space="preserve">: de +87% (Carmagnola) hasta +663% (Yuma).</w:t>
      </w:r>
    </w:p>
    <w:p>
      <w:pPr>
        <w:pStyle w:val="BodyText"/>
      </w:pPr>
      <w:r>
        <w:rPr>
          <w:b/>
          <w:bCs/>
        </w:rPr>
        <w:t xml:space="preserve">Carmagnola</w:t>
      </w:r>
      <w:r>
        <w:t xml:space="preserve">, la variedad dioica tradicional del Piamonte, produce</w:t>
      </w:r>
      <w:r>
        <w:t xml:space="preserve"> </w:t>
      </w:r>
      <w:r>
        <w:rPr>
          <w:b/>
          <w:bCs/>
        </w:rPr>
        <w:t xml:space="preserve">8,62 toneladas por hectárea</w:t>
      </w:r>
      <w:r>
        <w:t xml:space="preserve"> </w:t>
      </w:r>
      <w:r>
        <w:t xml:space="preserve">—prácticamente el doble que las monoicas francesas conformes— pero está funcionalmente excluida del mercado europeo por apenas 0,1-0,3 puntos de THC. Las variedades chinas de élite, con rendimientos de hasta</w:t>
      </w:r>
      <w:r>
        <w:t xml:space="preserve"> </w:t>
      </w:r>
      <w:r>
        <w:rPr>
          <w:b/>
          <w:bCs/>
        </w:rPr>
        <w:t xml:space="preserve">35 toneladas por hectárea</w:t>
      </w:r>
      <w:r>
        <w:t xml:space="preserve">, son directamente inaccesibles bajo el umbral actual [5,6].</w:t>
      </w:r>
    </w:p>
    <w:p>
      <w:pPr>
        <w:pStyle w:val="BodyText"/>
      </w:pPr>
      <w:r>
        <w:t xml:space="preserve">Mientras Europa optimiza para cumplimiento químico, el resto del mundo desarrolla variedades capaces de producir</w:t>
      </w:r>
      <w:r>
        <w:t xml:space="preserve"> </w:t>
      </w:r>
      <w:r>
        <w:rPr>
          <w:b/>
          <w:bCs/>
        </w:rPr>
        <w:t xml:space="preserve">×4 a ×7 más biomasa</w:t>
      </w:r>
      <w:r>
        <w:t xml:space="preserve">. Esta divergencia tiene consecuencias climáticas directas: aplicando la conversión estándar (1 kg biomasa = 1,62 kg CO₂) [60], el</w:t>
      </w:r>
      <w:r>
        <w:t xml:space="preserve"> </w:t>
      </w:r>
      <w:r>
        <w:rPr>
          <w:b/>
          <w:bCs/>
        </w:rPr>
        <w:t xml:space="preserve">coste de oportunidad es de 1,3 millones de toneladas de CO₂ anuales no capturadas</w:t>
      </w:r>
      <w:r>
        <w:t xml:space="preserve"> </w:t>
      </w:r>
      <w:r>
        <w:t xml:space="preserve">—equivalente a las emisiones de aproximadamente 300.000 automóviles europeos (asumiendo 4 t CO₂/vehículo/año según datos de la Agencia Europea de Medio Ambiente).</w:t>
      </w:r>
    </w:p>
    <w:p>
      <w:pPr>
        <w:pStyle w:val="BodyText"/>
      </w:pPr>
      <w:r>
        <w:t xml:space="preserve">Las variedades de cáñamo con mayor potencial agronómico y medioambiental expresan THC en el rango</w:t>
      </w:r>
      <w:r>
        <w:t xml:space="preserve"> </w:t>
      </w:r>
      <w:r>
        <w:rPr>
          <w:b/>
          <w:bCs/>
        </w:rPr>
        <w:t xml:space="preserve">0,4-0,9%</w:t>
      </w:r>
      <w:r>
        <w:t xml:space="preserve">, incompatibles con cualquier umbral inferior al 1,0%. Esta conclusión coincide con la del Dr. Ernest Small, autor del criterio 0,3%, quien reconoció en 2021 que</w:t>
      </w:r>
      <w:r>
        <w:t xml:space="preserve"> </w:t>
      </w:r>
      <w:r>
        <w:rPr>
          <w:i/>
          <w:iCs/>
        </w:rPr>
        <w:t xml:space="preserve">“1% THC would be a more suitable criterion”</w:t>
      </w:r>
      <w:r>
        <w:t xml:space="preserve"> </w:t>
      </w:r>
      <w:r>
        <w:t xml:space="preserve">[2].</w:t>
      </w:r>
    </w:p>
    <w:p>
      <w:pPr>
        <w:pStyle w:val="BlockText"/>
      </w:pPr>
      <w:r>
        <w:rPr>
          <w:b/>
          <w:bCs/>
        </w:rPr>
        <w:t xml:space="preserve">Metodología y datos completos en el</w:t>
      </w:r>
      <w:r>
        <w:rPr>
          <w:b/>
          <w:bCs/>
        </w:rPr>
        <w:t xml:space="preserve"> </w:t>
      </w:r>
      <w:hyperlink r:id="rId27">
        <w:r>
          <w:rPr>
            <w:rStyle w:val="Hyperlink"/>
            <w:b/>
            <w:bCs/>
          </w:rPr>
          <w:t xml:space="preserve">Anexo B</w:t>
        </w:r>
      </w:hyperlink>
      <w:r>
        <w:rPr>
          <w:b/>
          <w:bCs/>
        </w:rPr>
        <w:t xml:space="preserve">.</w:t>
      </w:r>
    </w:p>
    <w:p>
      <w:r>
        <w:pict>
          <v:rect style="width:0;height:1.5pt" o:hralign="center" o:hrstd="t" o:hr="t"/>
        </w:pict>
      </w:r>
    </w:p>
    <w:bookmarkEnd w:id="28"/>
    <w:bookmarkStart w:id="39" w:name="competitividad-internacional-del-sector"/>
    <w:p>
      <w:pPr>
        <w:pStyle w:val="Heading2"/>
      </w:pPr>
      <w:r>
        <w:t xml:space="preserve">2.3 COMPETITIVIDAD INTERNACIONAL DEL SECTOR</w:t>
      </w:r>
    </w:p>
    <w:p>
      <w:pPr>
        <w:pStyle w:val="FirstParagraph"/>
      </w:pPr>
      <w:r>
        <w:t xml:space="preserve">El</w:t>
      </w:r>
      <w:r>
        <w:t xml:space="preserve"> </w:t>
      </w:r>
      <w:r>
        <w:rPr>
          <w:b/>
          <w:bCs/>
        </w:rPr>
        <w:t xml:space="preserve">1% THC</w:t>
      </w:r>
      <w:r>
        <w:t xml:space="preserve"> </w:t>
      </w:r>
      <w:r>
        <w:t xml:space="preserve">no es una propuesta radical: es una</w:t>
      </w:r>
      <w:r>
        <w:t xml:space="preserve"> </w:t>
      </w:r>
      <w:r>
        <w:rPr>
          <w:b/>
          <w:bCs/>
        </w:rPr>
        <w:t xml:space="preserve">tendencia internacional acelerada</w:t>
      </w:r>
      <w:r>
        <w:t xml:space="preserve">. Mientras que entre 2011 y 2017 solo 5 jurisdicciones pioneras adoptaron este umbral,</w:t>
      </w:r>
      <w:r>
        <w:t xml:space="preserve"> </w:t>
      </w:r>
      <w:r>
        <w:rPr>
          <w:b/>
          <w:bCs/>
        </w:rPr>
        <w:t xml:space="preserve">en los últimos 6 años se han sumado casi 20 más</w:t>
      </w:r>
      <w:r>
        <w:t xml:space="preserve">. Solo entre 2023 y 2025, 9 países han adoptado o anunciado el 1% THC. La pregunta ya no es si el mundo convergerá hacia este estándar, sino cuánto tardará Europa en alinearse.</w:t>
      </w:r>
    </w:p>
    <w:p>
      <w:pPr>
        <w:pStyle w:val="BodyText"/>
      </w:pPr>
      <w:r>
        <w:t xml:space="preserve">El caso más avanzado es</w:t>
      </w:r>
      <w:r>
        <w:t xml:space="preserve"> </w:t>
      </w:r>
      <w:r>
        <w:rPr>
          <w:b/>
          <w:bCs/>
        </w:rPr>
        <w:t xml:space="preserve">Sudáfrica</w:t>
      </w:r>
      <w:r>
        <w:t xml:space="preserve">, que en diciembre 2025 elevó su umbral al</w:t>
      </w:r>
      <w:r>
        <w:t xml:space="preserve"> </w:t>
      </w:r>
      <w:r>
        <w:rPr>
          <w:b/>
          <w:bCs/>
        </w:rPr>
        <w:t xml:space="preserve">2,0% THC</w:t>
      </w:r>
      <w:r>
        <w:t xml:space="preserve"> </w:t>
      </w:r>
      <w:r>
        <w:t xml:space="preserve">mediante la</w:t>
      </w:r>
      <w:r>
        <w:t xml:space="preserve"> </w:t>
      </w:r>
      <w:r>
        <w:rPr>
          <w:i/>
          <w:iCs/>
        </w:rPr>
        <w:t xml:space="preserve">Cannabis for Private Purposes Act</w:t>
      </w:r>
      <w:r>
        <w:t xml:space="preserve"> </w:t>
      </w:r>
      <w:r>
        <w:t xml:space="preserve">[54], justificándolo por condiciones climáticas que aumentan naturalmente el contenido de THC y la necesidad de evitar pérdidas de cultivos (</w:t>
      </w:r>
      <w:r>
        <w:t xml:space="preserve">“hot crops”</w:t>
      </w:r>
      <w:r>
        <w:t xml:space="preserve">). Este precedente demuestra que incluso umbrales superiores al 1% son viables sin comprometer la seguridad pública.</w:t>
      </w:r>
    </w:p>
    <w:bookmarkStart w:id="29" w:name="X29814a17fd3fa54a5ea97bcf1e57d3bdc527ad0"/>
    <w:p>
      <w:pPr>
        <w:pStyle w:val="Heading3"/>
      </w:pPr>
      <w:r>
        <w:t xml:space="preserve">Convergencia con la ciencia oficial europea: la Farmacopea y el umbral del 1%</w:t>
      </w:r>
    </w:p>
    <w:p>
      <w:pPr>
        <w:pStyle w:val="FirstParagraph"/>
      </w:pPr>
      <w:r>
        <w:t xml:space="preserve">Es significativo que la</w:t>
      </w:r>
      <w:r>
        <w:t xml:space="preserve"> </w:t>
      </w:r>
      <w:r>
        <w:rPr>
          <w:b/>
          <w:bCs/>
        </w:rPr>
        <w:t xml:space="preserve">Farmacopea Europea</w:t>
      </w:r>
      <w:r>
        <w:t xml:space="preserve"> </w:t>
      </w:r>
      <w:r>
        <w:t xml:space="preserve">—autoridad científica oficial de la UE— haya establecido en su monografía</w:t>
      </w:r>
      <w:r>
        <w:t xml:space="preserve"> </w:t>
      </w:r>
      <w:r>
        <w:rPr>
          <w:i/>
          <w:iCs/>
        </w:rPr>
        <w:t xml:space="preserve">Cannabis flos</w:t>
      </w:r>
      <w:r>
        <w:t xml:space="preserve"> </w:t>
      </w:r>
      <w:r>
        <w:t xml:space="preserve">(3028) [49] una clasificación de quimiotipos que sitúa la frontera del</w:t>
      </w:r>
      <w:r>
        <w:t xml:space="preserve"> </w:t>
      </w:r>
      <w:r>
        <w:rPr>
          <w:b/>
          <w:bCs/>
        </w:rPr>
        <w:t xml:space="preserve">cannabis CBD-dominante en ≤1% THC</w:t>
      </w:r>
      <w:r>
        <w:t xml:space="preserve">:</w:t>
      </w:r>
    </w:p>
    <w:tbl>
      <w:tblPr>
        <w:tblW w:w="5000" w:type="pct"/>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Quimiotipo</w:t>
            </w:r>
          </w:p>
        </w:tc>
        <w:tc>
          <w:tcPr/>
          <w:p>
            <w:pPr>
              <w:pStyle w:val="Compact"/>
            </w:pPr>
            <w:r>
              <w:t xml:space="preserve">THC total</w:t>
            </w:r>
          </w:p>
        </w:tc>
        <w:tc>
          <w:tcPr/>
          <w:p>
            <w:pPr>
              <w:pStyle w:val="Compact"/>
            </w:pPr>
            <w:r>
              <w:t xml:space="preserve">CBD total</w:t>
            </w:r>
          </w:p>
        </w:tc>
      </w:tr>
      <w:tr>
        <w:tc>
          <w:tcPr/>
          <w:p>
            <w:pPr>
              <w:pStyle w:val="Compact"/>
            </w:pPr>
            <w:r>
              <w:rPr>
                <w:b/>
                <w:bCs/>
              </w:rPr>
              <w:t xml:space="preserve">THC-dominante</w:t>
            </w:r>
          </w:p>
        </w:tc>
        <w:tc>
          <w:tcPr/>
          <w:p>
            <w:pPr>
              <w:pStyle w:val="Compact"/>
            </w:pPr>
            <w:r>
              <w:t xml:space="preserve">mínimo 5,0%</w:t>
            </w:r>
          </w:p>
        </w:tc>
        <w:tc>
          <w:tcPr/>
          <w:p>
            <w:pPr>
              <w:pStyle w:val="Compact"/>
            </w:pPr>
            <w:r>
              <w:t xml:space="preserve">máximo 1,0%</w:t>
            </w:r>
          </w:p>
        </w:tc>
      </w:tr>
      <w:tr>
        <w:tc>
          <w:tcPr/>
          <w:p>
            <w:pPr>
              <w:pStyle w:val="Compact"/>
            </w:pPr>
            <w:r>
              <w:rPr>
                <w:b/>
                <w:bCs/>
              </w:rPr>
              <w:t xml:space="preserve">THC/CBD-intermedio</w:t>
            </w:r>
          </w:p>
        </w:tc>
        <w:tc>
          <w:tcPr/>
          <w:p>
            <w:pPr>
              <w:pStyle w:val="Compact"/>
            </w:pPr>
            <w:r>
              <w:t xml:space="preserve">mínimo 1,0%</w:t>
            </w:r>
          </w:p>
        </w:tc>
        <w:tc>
          <w:tcPr/>
          <w:p>
            <w:pPr>
              <w:pStyle w:val="Compact"/>
            </w:pPr>
            <w:r>
              <w:t xml:space="preserve">mínimo 1,0% (ratio 0,2–5,0)</w:t>
            </w:r>
          </w:p>
        </w:tc>
      </w:tr>
      <w:tr>
        <w:tc>
          <w:tcPr/>
          <w:p>
            <w:pPr>
              <w:pStyle w:val="Compact"/>
            </w:pPr>
            <w:r>
              <w:rPr>
                <w:b/>
                <w:bCs/>
              </w:rPr>
              <w:t xml:space="preserve">CBD-dominante</w:t>
            </w:r>
          </w:p>
        </w:tc>
        <w:tc>
          <w:tcPr/>
          <w:p>
            <w:pPr>
              <w:pStyle w:val="Compact"/>
            </w:pPr>
            <w:r>
              <w:rPr>
                <w:b/>
                <w:bCs/>
              </w:rPr>
              <w:t xml:space="preserve">máximo 1,0%</w:t>
            </w:r>
          </w:p>
        </w:tc>
        <w:tc>
          <w:tcPr/>
          <w:p>
            <w:pPr>
              <w:pStyle w:val="Compact"/>
            </w:pPr>
            <w:r>
              <w:t xml:space="preserve">mínimo 5,0%</w:t>
            </w:r>
          </w:p>
        </w:tc>
      </w:tr>
    </w:tbl>
    <w:p>
      <w:pPr>
        <w:pStyle w:val="BodyText"/>
      </w:pPr>
      <w:r>
        <w:t xml:space="preserve">La Farmacopea no regula marcos jurídicos ni fiscalización de estupefacientes —esa no es su función—, pero resulta llamativo que la autoridad científica oficial de la UE haya trazado la línea divisoria precisamente en el</w:t>
      </w:r>
      <w:r>
        <w:t xml:space="preserve"> </w:t>
      </w:r>
      <w:r>
        <w:rPr>
          <w:b/>
          <w:bCs/>
        </w:rPr>
        <w:t xml:space="preserve">1% THC</w:t>
      </w:r>
      <w:r>
        <w:t xml:space="preserve"> </w:t>
      </w:r>
      <w:r>
        <w:t xml:space="preserve">para clasificar el quimiotipo CBD. Una coincidencia que invita a la reflexión.</w:t>
      </w:r>
    </w:p>
    <w:p>
      <w:pPr>
        <w:pStyle w:val="BodyText"/>
      </w:pPr>
      <w:r>
        <w:t xml:space="preserve">Esta decisión podría considerarse más una</w:t>
      </w:r>
      <w:r>
        <w:t xml:space="preserve"> </w:t>
      </w:r>
      <w:r>
        <w:rPr>
          <w:b/>
          <w:bCs/>
        </w:rPr>
        <w:t xml:space="preserve">línea práctica que puramente científica</w:t>
      </w:r>
      <w:r>
        <w:t xml:space="preserve">: un punto de corte funcional para distinguir quimiotipos. Si la Farmacopea Europea —sin obligación regulatoria— sitúa la frontera en el 1%, cabe preguntarse por qué la PAC/OCM debería mantener un umbral tres veces más restrictivo.</w:t>
      </w:r>
    </w:p>
    <w:p>
      <w:pPr>
        <w:pStyle w:val="BodyText"/>
      </w:pPr>
      <w:r>
        <w:t xml:space="preserve">Más allá de la coherencia regulatoria,</w:t>
      </w:r>
      <w:r>
        <w:t xml:space="preserve"> </w:t>
      </w:r>
      <w:r>
        <w:rPr>
          <w:b/>
          <w:bCs/>
        </w:rPr>
        <w:t xml:space="preserve">alinear el umbral PAC/OCM con la monografía de la Farmacopea tendría ventajas prácticas concretas</w:t>
      </w:r>
      <w:r>
        <w:t xml:space="preserve">: los agricultores europeos que deseen cultivar cáñamo bajo estándares</w:t>
      </w:r>
      <w:r>
        <w:t xml:space="preserve"> </w:t>
      </w:r>
      <w:r>
        <w:rPr>
          <w:b/>
          <w:bCs/>
        </w:rPr>
        <w:t xml:space="preserve">GACP</w:t>
      </w:r>
      <w:r>
        <w:t xml:space="preserve"> </w:t>
      </w:r>
      <w:r>
        <w:t xml:space="preserve">(</w:t>
      </w:r>
      <w:r>
        <w:rPr>
          <w:i/>
          <w:iCs/>
        </w:rPr>
        <w:t xml:space="preserve">Good Agricultural and Collection Practices</w:t>
      </w:r>
      <w:r>
        <w:t xml:space="preserve">) para abastecer al mercado medicinal encontrarían un marco armonizado que facilita la trazabilidad y el cumplimiento normativo desde el campo hasta el producto final.</w:t>
      </w:r>
    </w:p>
    <w:p>
      <w:pPr>
        <w:pStyle w:val="BodyText"/>
      </w:pPr>
      <w:r>
        <w:t xml:space="preserve">Esta convergencia no es casual. El</w:t>
      </w:r>
      <w:r>
        <w:t xml:space="preserve"> </w:t>
      </w:r>
      <w:r>
        <w:rPr>
          <w:b/>
          <w:bCs/>
        </w:rPr>
        <w:t xml:space="preserve">1% THC</w:t>
      </w:r>
      <w:r>
        <w:t xml:space="preserve"> </w:t>
      </w:r>
      <w:r>
        <w:t xml:space="preserve">se ha consolidado como el</w:t>
      </w:r>
      <w:r>
        <w:t xml:space="preserve"> </w:t>
      </w:r>
      <w:r>
        <w:rPr>
          <w:b/>
          <w:bCs/>
        </w:rPr>
        <w:t xml:space="preserve">estándar internacional predominante</w:t>
      </w:r>
      <w:r>
        <w:t xml:space="preserve">, adoptado por más de 20 jurisdicciones en todos los continentes.</w:t>
      </w:r>
    </w:p>
    <w:bookmarkEnd w:id="29"/>
    <w:bookmarkStart w:id="33" w:name="zona-europea-y-espacio-económico"/>
    <w:p>
      <w:pPr>
        <w:pStyle w:val="Heading3"/>
      </w:pPr>
      <w:r>
        <w:t xml:space="preserve">Zona Europea y Espacio Económico</w:t>
      </w:r>
    </w:p>
    <w:bookmarkStart w:id="30" w:name="una-realidad-comercial-consolidada"/>
    <w:p>
      <w:pPr>
        <w:pStyle w:val="Heading4"/>
      </w:pPr>
      <w:r>
        <w:t xml:space="preserve">Una realidad comercial consolidada</w:t>
      </w:r>
    </w:p>
    <w:p>
      <w:pPr>
        <w:pStyle w:val="FirstParagraph"/>
      </w:pPr>
      <w:r>
        <w:t xml:space="preserve">El cáñamo industrial</w:t>
      </w:r>
      <w:r>
        <w:t xml:space="preserve"> </w:t>
      </w:r>
      <w:r>
        <w:rPr>
          <w:b/>
          <w:bCs/>
        </w:rPr>
        <w:t xml:space="preserve">ya se comercializa en la UE</w:t>
      </w:r>
      <w:r>
        <w:t xml:space="preserve"> </w:t>
      </w:r>
      <w:r>
        <w:t xml:space="preserve">con umbrales superiores al 0,3% THC. Operadores europeos llevan</w:t>
      </w:r>
      <w:r>
        <w:t xml:space="preserve"> </w:t>
      </w:r>
      <w:r>
        <w:rPr>
          <w:b/>
          <w:bCs/>
        </w:rPr>
        <w:t xml:space="preserve">más de 15 años</w:t>
      </w:r>
      <w:r>
        <w:t xml:space="preserve"> </w:t>
      </w:r>
      <w:r>
        <w:t xml:space="preserve">operando al amparo de los artículos 34-36 TFUE [38] (libre circulación de mercancías) y el principio de reconocimiento mutuo. La</w:t>
      </w:r>
      <w:r>
        <w:t xml:space="preserve"> </w:t>
      </w:r>
      <w:r>
        <w:rPr>
          <w:b/>
          <w:bCs/>
        </w:rPr>
        <w:t xml:space="preserve">doctrina Kanavape</w:t>
      </w:r>
      <w:r>
        <w:t xml:space="preserve"> </w:t>
      </w:r>
      <w:r>
        <w:t xml:space="preserve">(C-663/18) [39] confirmó en 2020 que el CBD extraído de la planta entera de cáñamo, incluidas las flores,</w:t>
      </w:r>
      <w:r>
        <w:t xml:space="preserve"> </w:t>
      </w:r>
      <w:r>
        <w:rPr>
          <w:b/>
          <w:bCs/>
        </w:rPr>
        <w:t xml:space="preserve">no es un estupefaciente</w:t>
      </w:r>
      <w:r>
        <w:t xml:space="preserve"> </w:t>
      </w:r>
      <w:r>
        <w:t xml:space="preserve">según el Derecho de la Unión —Francia modificó su legislación como consecuencia directa.</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43"/>
        <w:gridCol w:w="2233"/>
        <w:gridCol w:w="1421"/>
        <w:gridCol w:w="1421"/>
      </w:tblGrid>
      <w:tr>
        <w:trPr>
          <w:tblHeader w:val="on"/>
        </w:trPr>
        <w:tc>
          <w:tcPr/>
          <w:p>
            <w:pPr>
              <w:pStyle w:val="Compact"/>
            </w:pPr>
            <w:r>
              <w:t xml:space="preserve">Jurisdicción</w:t>
            </w:r>
          </w:p>
        </w:tc>
        <w:tc>
          <w:tcPr/>
          <w:p>
            <w:pPr>
              <w:pStyle w:val="Compact"/>
            </w:pPr>
            <w:r>
              <w:t xml:space="preserve">Umbral THC</w:t>
            </w:r>
          </w:p>
        </w:tc>
        <w:tc>
          <w:tcPr/>
          <w:p>
            <w:pPr>
              <w:pStyle w:val="Compact"/>
            </w:pPr>
            <w:r>
              <w:t xml:space="preserve">Marco</w:t>
            </w:r>
          </w:p>
        </w:tc>
        <w:tc>
          <w:tcPr/>
          <w:p>
            <w:pPr>
              <w:pStyle w:val="Compact"/>
            </w:pPr>
            <w:r>
              <w:t xml:space="preserve">Desde</w:t>
            </w:r>
          </w:p>
        </w:tc>
      </w:tr>
      <w:tr>
        <w:tc>
          <w:tcPr/>
          <w:p>
            <w:pPr>
              <w:pStyle w:val="Compact"/>
            </w:pPr>
            <w:r>
              <w:rPr>
                <w:b/>
                <w:bCs/>
              </w:rPr>
              <w:t xml:space="preserve">Suiza</w:t>
            </w:r>
          </w:p>
        </w:tc>
        <w:tc>
          <w:tcPr/>
          <w:p>
            <w:pPr>
              <w:pStyle w:val="Compact"/>
            </w:pPr>
            <w:r>
              <w:t xml:space="preserve">&lt;1,0%</w:t>
            </w:r>
          </w:p>
        </w:tc>
        <w:tc>
          <w:tcPr/>
          <w:p>
            <w:pPr>
              <w:pStyle w:val="Compact"/>
            </w:pPr>
            <w:r>
              <w:t xml:space="preserve">Ley de Estupefacientes (LStup)</w:t>
            </w:r>
          </w:p>
        </w:tc>
        <w:tc>
          <w:tcPr/>
          <w:p>
            <w:pPr>
              <w:pStyle w:val="Compact"/>
            </w:pPr>
            <w:r>
              <w:t xml:space="preserve">2011</w:t>
            </w:r>
          </w:p>
        </w:tc>
      </w:tr>
      <w:tr>
        <w:tc>
          <w:tcPr/>
          <w:p>
            <w:pPr>
              <w:pStyle w:val="Compact"/>
            </w:pPr>
            <w:r>
              <w:rPr>
                <w:b/>
                <w:bCs/>
              </w:rPr>
              <w:t xml:space="preserve">Luxemburgo</w:t>
            </w:r>
            <w:r>
              <w:t xml:space="preserve"> </w:t>
            </w:r>
            <w:r>
              <w:t xml:space="preserve">(Estado miembro)</w:t>
            </w:r>
          </w:p>
        </w:tc>
        <w:tc>
          <w:tcPr/>
          <w:p>
            <w:pPr>
              <w:pStyle w:val="Compact"/>
            </w:pPr>
            <w:r>
              <w:t xml:space="preserve">≤1,0%</w:t>
            </w:r>
          </w:p>
        </w:tc>
        <w:tc>
          <w:tcPr/>
          <w:p>
            <w:pPr>
              <w:pStyle w:val="Compact"/>
            </w:pPr>
            <w:r>
              <w:t xml:space="preserve">Tobacco Control Act</w:t>
            </w:r>
          </w:p>
        </w:tc>
        <w:tc>
          <w:tcPr/>
          <w:p>
            <w:pPr>
              <w:pStyle w:val="Compact"/>
            </w:pPr>
            <w:r>
              <w:t xml:space="preserve">2023</w:t>
            </w:r>
          </w:p>
        </w:tc>
      </w:tr>
      <w:tr>
        <w:tc>
          <w:tcPr/>
          <w:p>
            <w:pPr>
              <w:pStyle w:val="Compact"/>
            </w:pPr>
            <w:r>
              <w:rPr>
                <w:b/>
                <w:bCs/>
              </w:rPr>
              <w:t xml:space="preserve">República Checa</w:t>
            </w:r>
            <w:r>
              <w:t xml:space="preserve"> </w:t>
            </w:r>
            <w:r>
              <w:t xml:space="preserve">(Estado miembro)</w:t>
            </w:r>
          </w:p>
        </w:tc>
        <w:tc>
          <w:tcPr/>
          <w:p>
            <w:pPr>
              <w:pStyle w:val="Compact"/>
            </w:pPr>
            <w:r>
              <w:t xml:space="preserve">1,0%</w:t>
            </w:r>
          </w:p>
        </w:tc>
        <w:tc>
          <w:tcPr/>
          <w:p>
            <w:pPr>
              <w:pStyle w:val="Compact"/>
            </w:pPr>
            <w:r>
              <w:t xml:space="preserve">Act Col. 166/2024</w:t>
            </w:r>
          </w:p>
        </w:tc>
        <w:tc>
          <w:tcPr/>
          <w:p>
            <w:pPr>
              <w:pStyle w:val="Compact"/>
            </w:pPr>
            <w:r>
              <w:t xml:space="preserve">2025</w:t>
            </w:r>
          </w:p>
        </w:tc>
      </w:tr>
      <w:tr>
        <w:tc>
          <w:tcPr/>
          <w:p>
            <w:pPr>
              <w:pStyle w:val="Compact"/>
            </w:pPr>
            <w:r>
              <w:rPr>
                <w:b/>
                <w:bCs/>
              </w:rPr>
              <w:t xml:space="preserve">Italia</w:t>
            </w:r>
          </w:p>
        </w:tc>
        <w:tc>
          <w:tcPr/>
          <w:p>
            <w:pPr>
              <w:pStyle w:val="Compact"/>
            </w:pPr>
            <w:r>
              <w:t xml:space="preserve">0,6% tolerancia</w:t>
            </w:r>
          </w:p>
        </w:tc>
        <w:tc>
          <w:tcPr/>
          <w:p>
            <w:pPr>
              <w:pStyle w:val="Compact"/>
            </w:pPr>
            <w:r>
              <w:t xml:space="preserve">Legge 242/2016</w:t>
            </w:r>
          </w:p>
        </w:tc>
        <w:tc>
          <w:tcPr/>
          <w:p>
            <w:pPr>
              <w:pStyle w:val="Compact"/>
            </w:pPr>
            <w:r>
              <w:t xml:space="preserve">2016</w:t>
            </w:r>
          </w:p>
        </w:tc>
      </w:tr>
    </w:tbl>
    <w:p>
      <w:pPr>
        <w:pStyle w:val="BodyText"/>
      </w:pPr>
      <w:r>
        <w:t xml:space="preserve">Mercados activos operan también en Austria, Bélgica, Francia, Polonia, Alemania y Grecia bajo diversos marcos regulatorios nacionales.</w:t>
      </w:r>
    </w:p>
    <w:bookmarkEnd w:id="30"/>
    <w:bookmarkStart w:id="31" w:name="X02ccdd922d7b09d46f3f6a17e56addce1beab9a"/>
    <w:p>
      <w:pPr>
        <w:pStyle w:val="Heading4"/>
      </w:pPr>
      <w:r>
        <w:t xml:space="preserve">El cambio crítico: de elegibilidad a barrera comercial</w:t>
      </w:r>
    </w:p>
    <w:p>
      <w:pPr>
        <w:pStyle w:val="FirstParagraph"/>
      </w:pPr>
      <w:r>
        <w:t xml:space="preserve">Mientras la PAC anterior [33] establecía que las variedades con más de 0,3% THC simplemente no eran aptas para subvenciones,</w:t>
      </w:r>
      <w:r>
        <w:t xml:space="preserve"> </w:t>
      </w:r>
      <w:r>
        <w:rPr>
          <w:b/>
          <w:bCs/>
        </w:rPr>
        <w:t xml:space="preserve">la nueva OCM prohíbe expresamente su comercialización</w:t>
      </w:r>
      <w:r>
        <w:t xml:space="preserve"> </w:t>
      </w:r>
      <w:r>
        <w:t xml:space="preserve">en el mercado interior (Arts. 147 ter, 147 quater y 189) [29]. El umbral de THC pasa de ser un criterio de elegibilidad a convertirse en una</w:t>
      </w:r>
      <w:r>
        <w:t xml:space="preserve"> </w:t>
      </w:r>
      <w:r>
        <w:rPr>
          <w:b/>
          <w:bCs/>
        </w:rPr>
        <w:t xml:space="preserve">barrera de acceso al mercado</w:t>
      </w:r>
      <w:r>
        <w:t xml:space="preserve">. Fijar ahora el 0,3% —más restrictivo que la práctica consolidada— plantea cuestiones jurídicas relevantes en materia de</w:t>
      </w:r>
      <w:r>
        <w:t xml:space="preserve"> </w:t>
      </w:r>
      <w:r>
        <w:rPr>
          <w:b/>
          <w:bCs/>
        </w:rPr>
        <w:t xml:space="preserve">confianza legítima</w:t>
      </w:r>
      <w:r>
        <w:t xml:space="preserve"> </w:t>
      </w:r>
      <w:r>
        <w:t xml:space="preserve">(ver</w:t>
      </w:r>
      <w:r>
        <w:t xml:space="preserve"> </w:t>
      </w:r>
      <w:hyperlink r:id="rId20">
        <w:r>
          <w:rPr>
            <w:rStyle w:val="Hyperlink"/>
            <w:b/>
            <w:bCs/>
          </w:rPr>
          <w:t xml:space="preserve">Anexo D</w:t>
        </w:r>
      </w:hyperlink>
      <w:r>
        <w:t xml:space="preserve">).</w:t>
      </w:r>
    </w:p>
    <w:bookmarkEnd w:id="31"/>
    <w:bookmarkStart w:id="32" w:name="precedentes-nacionales"/>
    <w:p>
      <w:pPr>
        <w:pStyle w:val="Heading4"/>
      </w:pPr>
      <w:r>
        <w:t xml:space="preserve">Precedentes nacionales</w:t>
      </w:r>
    </w:p>
    <w:p>
      <w:pPr>
        <w:pStyle w:val="FirstParagraph"/>
      </w:pPr>
      <w:r>
        <w:t xml:space="preserve">En el propio entorno europeo, el umbral del 1% ya opera con normalidad.</w:t>
      </w:r>
      <w:r>
        <w:t xml:space="preserve"> </w:t>
      </w:r>
      <w:r>
        <w:rPr>
          <w:b/>
          <w:bCs/>
        </w:rPr>
        <w:t xml:space="preserve">Suiza</w:t>
      </w:r>
      <w:r>
        <w:t xml:space="preserve"> </w:t>
      </w:r>
      <w:r>
        <w:t xml:space="preserve">fue la pionera en 2011 [44], consolidándose como referente en genéticas y exportación de cáñamo industrial —un mercado que funciona más de 15 años sin incidentes de seguridad pública.</w:t>
      </w:r>
    </w:p>
    <w:p>
      <w:pPr>
        <w:pStyle w:val="BodyText"/>
      </w:pPr>
      <w:r>
        <w:rPr>
          <w:b/>
          <w:bCs/>
        </w:rPr>
        <w:t xml:space="preserve">Luxemburgo</w:t>
      </w:r>
      <w:r>
        <w:t xml:space="preserve">, Estado miembro de la UE, se alineó con el estándar suizo en 2023 [51].</w:t>
      </w:r>
      <w:r>
        <w:t xml:space="preserve"> </w:t>
      </w:r>
      <w:r>
        <w:rPr>
          <w:b/>
          <w:bCs/>
        </w:rPr>
        <w:t xml:space="preserve">República Checa</w:t>
      </w:r>
      <w:r>
        <w:t xml:space="preserve"> </w:t>
      </w:r>
      <w:r>
        <w:t xml:space="preserve">adoptó el mismo umbral en enero de 2025 [56], estableciendo incluso acuerdos bilaterales con Uruguay para importación.</w:t>
      </w:r>
    </w:p>
    <w:p>
      <w:pPr>
        <w:pStyle w:val="BodyText"/>
      </w:pPr>
      <w:r>
        <w:rPr>
          <w:b/>
          <w:bCs/>
        </w:rPr>
        <w:t xml:space="preserve">España</w:t>
      </w:r>
      <w:r>
        <w:t xml:space="preserve"> </w:t>
      </w:r>
      <w:r>
        <w:t xml:space="preserve">ya expresó su posición en enero de 2023 mediante la PNL 161/004332 [34], que establece el 1% como umbral adecuado —un mandato parlamentario pendiente de implementación.</w:t>
      </w:r>
      <w:r>
        <w:t xml:space="preserve"> </w:t>
      </w:r>
      <w:r>
        <w:rPr>
          <w:b/>
          <w:bCs/>
        </w:rPr>
        <w:t xml:space="preserve">Alemania</w:t>
      </w:r>
      <w:r>
        <w:t xml:space="preserve"> </w:t>
      </w:r>
      <w:r>
        <w:t xml:space="preserve">mantiene el 0,3% para cáñamo agrícola, pero sus asociaciones sectoriales reclaman la elevación desde hace tiempo; además, la monografía oficial de extractos (DAB 2020) [50] define el 1% THC como frontera funcional por debajo de la cual no se considera medicinal.</w:t>
      </w:r>
    </w:p>
    <w:bookmarkEnd w:id="32"/>
    <w:bookmarkEnd w:id="33"/>
    <w:bookmarkStart w:id="34" w:name="Xc6533f6768fba0b45e7168750c65f7665d541a1"/>
    <w:p>
      <w:pPr>
        <w:pStyle w:val="Heading3"/>
      </w:pPr>
      <w:r>
        <w:t xml:space="preserve">Bloque Mercosur y Latinoamérica: implicaciones para la política comercial europea</w:t>
      </w:r>
    </w:p>
    <w:p>
      <w:pPr>
        <w:pStyle w:val="FirstParagraph"/>
      </w:pPr>
      <w:r>
        <w:t xml:space="preserve">El bloque latinoamericano ha adoptado</w:t>
      </w:r>
      <w:r>
        <w:t xml:space="preserve"> </w:t>
      </w:r>
      <w:r>
        <w:rPr>
          <w:b/>
          <w:bCs/>
        </w:rPr>
        <w:t xml:space="preserve">mayoritariamente el 1% THC</w:t>
      </w:r>
      <w:r>
        <w:t xml:space="preserve">, con implicaciones directas para la política comercial europea tras la firma del</w:t>
      </w:r>
      <w:r>
        <w:t xml:space="preserve"> </w:t>
      </w:r>
      <w:r>
        <w:rPr>
          <w:b/>
          <w:bCs/>
        </w:rPr>
        <w:t xml:space="preserve">Acuerdo UE-Mercosur</w:t>
      </w:r>
      <w:r>
        <w:t xml:space="preserve"> </w:t>
      </w:r>
      <w:r>
        <w:t xml:space="preserve">(17 enero 2026) [58].</w:t>
      </w:r>
    </w:p>
    <w:p>
      <w:pPr>
        <w:pStyle w:val="BodyText"/>
      </w:pPr>
      <w:r>
        <w:rPr>
          <w:b/>
          <w:bCs/>
        </w:rPr>
        <w:t xml:space="preserve">Uruguay</w:t>
      </w:r>
      <w:r>
        <w:t xml:space="preserve"> </w:t>
      </w:r>
      <w:r>
        <w:t xml:space="preserve">fue el pionero regional (2013) [46], con protocolos de exportación activos hacia EEUU y Europa.</w:t>
      </w:r>
      <w:r>
        <w:t xml:space="preserve"> </w:t>
      </w:r>
      <w:r>
        <w:rPr>
          <w:b/>
          <w:bCs/>
        </w:rPr>
        <w:t xml:space="preserve">Argentina</w:t>
      </w:r>
      <w:r>
        <w:t xml:space="preserve"> </w:t>
      </w:r>
      <w:r>
        <w:t xml:space="preserve">(2022-2023) [61],</w:t>
      </w:r>
      <w:r>
        <w:t xml:space="preserve"> </w:t>
      </w:r>
      <w:r>
        <w:rPr>
          <w:b/>
          <w:bCs/>
        </w:rPr>
        <w:t xml:space="preserve">Paraguay</w:t>
      </w:r>
      <w:r>
        <w:t xml:space="preserve"> </w:t>
      </w:r>
      <w:r>
        <w:t xml:space="preserve">(2019) [62],</w:t>
      </w:r>
      <w:r>
        <w:t xml:space="preserve"> </w:t>
      </w:r>
      <w:r>
        <w:rPr>
          <w:b/>
          <w:bCs/>
        </w:rPr>
        <w:t xml:space="preserve">Chile</w:t>
      </w:r>
      <w:r>
        <w:t xml:space="preserve"> </w:t>
      </w:r>
      <w:r>
        <w:t xml:space="preserve">(2021) [63] y</w:t>
      </w:r>
      <w:r>
        <w:t xml:space="preserve"> </w:t>
      </w:r>
      <w:r>
        <w:rPr>
          <w:b/>
          <w:bCs/>
        </w:rPr>
        <w:t xml:space="preserve">Colombia</w:t>
      </w:r>
      <w:r>
        <w:t xml:space="preserve"> </w:t>
      </w:r>
      <w:r>
        <w:t xml:space="preserve">(2016-2017) [64] completan el núcleo Mercosur con el mismo estándar.</w:t>
      </w:r>
    </w:p>
    <w:p>
      <w:pPr>
        <w:pStyle w:val="BodyText"/>
      </w:pPr>
      <w:r>
        <w:t xml:space="preserve">Más allá del Mercosur, la tendencia se extiende a toda la región:</w:t>
      </w:r>
      <w:r>
        <w:t xml:space="preserve"> </w:t>
      </w:r>
      <w:r>
        <w:rPr>
          <w:b/>
          <w:bCs/>
        </w:rPr>
        <w:t xml:space="preserve">Ecuador</w:t>
      </w:r>
      <w:r>
        <w:t xml:space="preserve"> </w:t>
      </w:r>
      <w:r>
        <w:t xml:space="preserve">(2020) [65],</w:t>
      </w:r>
      <w:r>
        <w:t xml:space="preserve"> </w:t>
      </w:r>
      <w:r>
        <w:rPr>
          <w:b/>
          <w:bCs/>
        </w:rPr>
        <w:t xml:space="preserve">Perú</w:t>
      </w:r>
      <w:r>
        <w:t xml:space="preserve"> </w:t>
      </w:r>
      <w:r>
        <w:t xml:space="preserve">(2024) [66],</w:t>
      </w:r>
      <w:r>
        <w:t xml:space="preserve"> </w:t>
      </w:r>
      <w:r>
        <w:rPr>
          <w:b/>
          <w:bCs/>
        </w:rPr>
        <w:t xml:space="preserve">México</w:t>
      </w:r>
      <w:r>
        <w:t xml:space="preserve"> </w:t>
      </w:r>
      <w:r>
        <w:t xml:space="preserve">(2017) [67],</w:t>
      </w:r>
      <w:r>
        <w:t xml:space="preserve"> </w:t>
      </w:r>
      <w:r>
        <w:rPr>
          <w:b/>
          <w:bCs/>
        </w:rPr>
        <w:t xml:space="preserve">Costa Rica</w:t>
      </w:r>
      <w:r>
        <w:t xml:space="preserve"> </w:t>
      </w:r>
      <w:r>
        <w:t xml:space="preserve">(2022) [68],</w:t>
      </w:r>
      <w:r>
        <w:t xml:space="preserve"> </w:t>
      </w:r>
      <w:r>
        <w:rPr>
          <w:b/>
          <w:bCs/>
        </w:rPr>
        <w:t xml:space="preserve">Panamá</w:t>
      </w:r>
      <w:r>
        <w:t xml:space="preserve"> </w:t>
      </w:r>
      <w:r>
        <w:t xml:space="preserve">(2025) [69] y</w:t>
      </w:r>
      <w:r>
        <w:t xml:space="preserve"> </w:t>
      </w:r>
      <w:r>
        <w:rPr>
          <w:b/>
          <w:bCs/>
        </w:rPr>
        <w:t xml:space="preserve">Jamaica</w:t>
      </w:r>
      <w:r>
        <w:t xml:space="preserve"> </w:t>
      </w:r>
      <w:r>
        <w:t xml:space="preserve">(2015) [70] operan con el umbral del 1%.</w:t>
      </w:r>
    </w:p>
    <w:p>
      <w:pPr>
        <w:pStyle w:val="BodyText"/>
      </w:pPr>
      <w:r>
        <w:rPr>
          <w:b/>
          <w:bCs/>
        </w:rPr>
        <w:t xml:space="preserve">Implicación jurídica crítica</w:t>
      </w:r>
      <w:r>
        <w:t xml:space="preserve">: El Acuerdo UE-Mercosur incorpora los principios OMC de Barreras Técnicas al Comercio (Capítulo 5 TBT) [59]. El</w:t>
      </w:r>
      <w:r>
        <w:t xml:space="preserve"> </w:t>
      </w:r>
      <w:r>
        <w:rPr>
          <w:b/>
          <w:bCs/>
        </w:rPr>
        <w:t xml:space="preserve">test de</w:t>
      </w:r>
      <w:r>
        <w:rPr>
          <w:b/>
          <w:bCs/>
        </w:rPr>
        <w:t xml:space="preserve"> </w:t>
      </w:r>
      <w:r>
        <w:rPr>
          <w:b/>
          <w:bCs/>
        </w:rPr>
        <w:t xml:space="preserve">“necesidad”</w:t>
      </w:r>
      <w:r>
        <w:rPr>
          <w:b/>
          <w:bCs/>
        </w:rPr>
        <w:t xml:space="preserve"> </w:t>
      </w:r>
      <w:r>
        <w:rPr>
          <w:b/>
          <w:bCs/>
        </w:rPr>
        <w:t xml:space="preserve">del Artículo 2.2 TBT</w:t>
      </w:r>
      <w:r>
        <w:t xml:space="preserve"> </w:t>
      </w:r>
      <w:r>
        <w:t xml:space="preserve">obliga a evaluar si el umbral europeo del 0,3% es</w:t>
      </w:r>
      <w:r>
        <w:t xml:space="preserve"> </w:t>
      </w:r>
      <w:r>
        <w:rPr>
          <w:b/>
          <w:bCs/>
        </w:rPr>
        <w:t xml:space="preserve">“más restrictivo de lo necesario”</w:t>
      </w:r>
      <w:r>
        <w:t xml:space="preserve"> </w:t>
      </w:r>
      <w:r>
        <w:t xml:space="preserve">para el objetivo legítimo de distinguir cáñamo industrial de cannabis psicoactivo. Cuando todo el bloque Mercosur opera con el 1%, mantener el 0,3% constituye una barrera técnica difícilmente justificable ante la OMC.</w:t>
      </w:r>
    </w:p>
    <w:bookmarkEnd w:id="34"/>
    <w:bookmarkStart w:id="35" w:name="asia-pacífico-y-áfrica"/>
    <w:p>
      <w:pPr>
        <w:pStyle w:val="Heading3"/>
      </w:pPr>
      <w:r>
        <w:t xml:space="preserve">Asia-Pacífico y África</w:t>
      </w:r>
    </w:p>
    <w:p>
      <w:pPr>
        <w:pStyle w:val="FirstParagraph"/>
      </w:pPr>
      <w:r>
        <w:t xml:space="preserve">La convergencia hacia el 1% se extiende a todos los continentes. En</w:t>
      </w:r>
      <w:r>
        <w:t xml:space="preserve"> </w:t>
      </w:r>
      <w:r>
        <w:rPr>
          <w:b/>
          <w:bCs/>
        </w:rPr>
        <w:t xml:space="preserve">Oceanía</w:t>
      </w:r>
      <w:r>
        <w:t xml:space="preserve">,</w:t>
      </w:r>
      <w:r>
        <w:t xml:space="preserve"> </w:t>
      </w:r>
      <w:r>
        <w:rPr>
          <w:b/>
          <w:bCs/>
        </w:rPr>
        <w:t xml:space="preserve">Nueva Zelanda</w:t>
      </w:r>
      <w:r>
        <w:t xml:space="preserve"> </w:t>
      </w:r>
      <w:r>
        <w:t xml:space="preserve">(2025) [71],</w:t>
      </w:r>
      <w:r>
        <w:t xml:space="preserve"> </w:t>
      </w:r>
      <w:r>
        <w:rPr>
          <w:b/>
          <w:bCs/>
        </w:rPr>
        <w:t xml:space="preserve">Australia</w:t>
      </w:r>
      <w:r>
        <w:t xml:space="preserve"> </w:t>
      </w:r>
      <w:r>
        <w:t xml:space="preserve">[72] y</w:t>
      </w:r>
      <w:r>
        <w:t xml:space="preserve"> </w:t>
      </w:r>
      <w:r>
        <w:rPr>
          <w:b/>
          <w:bCs/>
        </w:rPr>
        <w:t xml:space="preserve">Fiyi</w:t>
      </w:r>
      <w:r>
        <w:t xml:space="preserve"> </w:t>
      </w:r>
      <w:r>
        <w:t xml:space="preserve">(2022) [73] operan con este umbral.</w:t>
      </w:r>
    </w:p>
    <w:p>
      <w:pPr>
        <w:pStyle w:val="BodyText"/>
      </w:pPr>
      <w:r>
        <w:t xml:space="preserve">En</w:t>
      </w:r>
      <w:r>
        <w:t xml:space="preserve"> </w:t>
      </w:r>
      <w:r>
        <w:rPr>
          <w:b/>
          <w:bCs/>
        </w:rPr>
        <w:t xml:space="preserve">África</w:t>
      </w:r>
      <w:r>
        <w:t xml:space="preserve">, el movimiento es particularmente significativo por tratarse de socios comerciales y vecinos directos de la UE.</w:t>
      </w:r>
      <w:r>
        <w:t xml:space="preserve"> </w:t>
      </w:r>
      <w:r>
        <w:rPr>
          <w:b/>
          <w:bCs/>
        </w:rPr>
        <w:t xml:space="preserve">Marruecos</w:t>
      </w:r>
      <w:r>
        <w:t xml:space="preserve"> </w:t>
      </w:r>
      <w:r>
        <w:t xml:space="preserve">—país vecino y socio estratégico— adoptó el 1% en 2021 [74].</w:t>
      </w:r>
      <w:r>
        <w:t xml:space="preserve"> </w:t>
      </w:r>
      <w:r>
        <w:rPr>
          <w:b/>
          <w:bCs/>
        </w:rPr>
        <w:t xml:space="preserve">Líbano</w:t>
      </w:r>
      <w:r>
        <w:t xml:space="preserve"> </w:t>
      </w:r>
      <w:r>
        <w:t xml:space="preserve">(2020) [75],</w:t>
      </w:r>
      <w:r>
        <w:t xml:space="preserve"> </w:t>
      </w:r>
      <w:r>
        <w:rPr>
          <w:b/>
          <w:bCs/>
        </w:rPr>
        <w:t xml:space="preserve">Malawi</w:t>
      </w:r>
      <w:r>
        <w:t xml:space="preserve"> </w:t>
      </w:r>
      <w:r>
        <w:t xml:space="preserve">(2020) [76] y</w:t>
      </w:r>
      <w:r>
        <w:t xml:space="preserve"> </w:t>
      </w:r>
      <w:r>
        <w:rPr>
          <w:b/>
          <w:bCs/>
        </w:rPr>
        <w:t xml:space="preserve">Zimbabue</w:t>
      </w:r>
      <w:r>
        <w:t xml:space="preserve"> </w:t>
      </w:r>
      <w:r>
        <w:t xml:space="preserve">(2023) [77] completan el panorama africano.</w:t>
      </w:r>
    </w:p>
    <w:bookmarkEnd w:id="35"/>
    <w:bookmarkStart w:id="36" w:name="X0f8f5c2d2b3481f137aa9fa7d78eaa0d4178360"/>
    <w:p>
      <w:pPr>
        <w:pStyle w:val="Heading3"/>
      </w:pPr>
      <w:r>
        <w:t xml:space="preserve">El caso chino: la naturaleza de la planta cuando no se restringe artificialmente</w:t>
      </w:r>
    </w:p>
    <w:p>
      <w:pPr>
        <w:pStyle w:val="FirstParagraph"/>
      </w:pPr>
      <w:r>
        <w:rPr>
          <w:b/>
          <w:bCs/>
        </w:rPr>
        <w:t xml:space="preserve">China</w:t>
      </w:r>
      <w:r>
        <w:t xml:space="preserve"> </w:t>
      </w:r>
      <w:r>
        <w:t xml:space="preserve">merece mención especial. Sus programas de mejoramiento genético</w:t>
      </w:r>
      <w:r>
        <w:t xml:space="preserve"> </w:t>
      </w:r>
      <w:r>
        <w:rPr>
          <w:b/>
          <w:bCs/>
        </w:rPr>
        <w:t xml:space="preserve">nunca restringieron artificialmente el THC</w:t>
      </w:r>
      <w:r>
        <w:t xml:space="preserve">, y el resultado es revelador: variedades de fibra de élite como</w:t>
      </w:r>
      <w:r>
        <w:t xml:space="preserve"> </w:t>
      </w:r>
      <w:r>
        <w:rPr>
          <w:b/>
          <w:bCs/>
        </w:rPr>
        <w:t xml:space="preserve">Bama</w:t>
      </w:r>
      <w:r>
        <w:t xml:space="preserve"> </w:t>
      </w:r>
      <w:r>
        <w:t xml:space="preserve">y</w:t>
      </w:r>
      <w:r>
        <w:t xml:space="preserve"> </w:t>
      </w:r>
      <w:r>
        <w:rPr>
          <w:b/>
          <w:bCs/>
        </w:rPr>
        <w:t xml:space="preserve">Yuma</w:t>
      </w:r>
      <w:r>
        <w:t xml:space="preserve"> </w:t>
      </w:r>
      <w:r>
        <w:t xml:space="preserve">alcanzan</w:t>
      </w:r>
      <w:r>
        <w:t xml:space="preserve"> </w:t>
      </w:r>
      <w:r>
        <w:rPr>
          <w:b/>
          <w:bCs/>
        </w:rPr>
        <w:t xml:space="preserve">22-35 toneladas por hectárea</w:t>
      </w:r>
      <w:r>
        <w:t xml:space="preserve"> </w:t>
      </w:r>
      <w:r>
        <w:t xml:space="preserve">—entre 4-7 veces superiores a las europeas— con perfiles de THC en el rango 0,5-0,7%. Los ensayos de Halker et al. (2024) [5] y Brym et al. (2020) [18] documentaron que</w:t>
      </w:r>
      <w:r>
        <w:t xml:space="preserve"> </w:t>
      </w:r>
      <w:r>
        <w:rPr>
          <w:b/>
          <w:bCs/>
        </w:rPr>
        <w:t xml:space="preserve">todas las variedades chinas de alto rendimiento superaron el 0,3%</w:t>
      </w:r>
      <w:r>
        <w:t xml:space="preserve"> </w:t>
      </w:r>
      <w:r>
        <w:t xml:space="preserve">al cultivarse hasta cosecha, concluyendo que la selección puramente agronómica conduce naturalmente al rango</w:t>
      </w:r>
      <w:r>
        <w:t xml:space="preserve"> </w:t>
      </w:r>
      <w:r>
        <w:rPr>
          <w:b/>
          <w:bCs/>
        </w:rPr>
        <w:t xml:space="preserve">0,4-0,9% THC</w:t>
      </w:r>
      <w:r>
        <w:t xml:space="preserve">. El umbral europeo del 0,3% va contra la naturaleza de la planta cuando se optimiza para rendimiento.</w:t>
      </w:r>
    </w:p>
    <w:bookmarkEnd w:id="36"/>
    <w:bookmarkStart w:id="38" w:name="X7bce34e950b0251b648deece8b39a0a77f34be8"/>
    <w:p>
      <w:pPr>
        <w:pStyle w:val="Heading3"/>
      </w:pPr>
      <w:r>
        <w:t xml:space="preserve">Conclusión: alineamiento estratégico inevitable</w:t>
      </w:r>
    </w:p>
    <w:p>
      <w:pPr>
        <w:pStyle w:val="FirstParagraph"/>
      </w:pPr>
      <w:r>
        <w:t xml:space="preserve">Este panorama evidencia que el</w:t>
      </w:r>
      <w:r>
        <w:t xml:space="preserve"> </w:t>
      </w:r>
      <w:r>
        <w:rPr>
          <w:b/>
          <w:bCs/>
        </w:rPr>
        <w:t xml:space="preserve">1% THC</w:t>
      </w:r>
      <w:r>
        <w:t xml:space="preserve"> </w:t>
      </w:r>
      <w:r>
        <w:t xml:space="preserve">representa un equilibrio maduro entre control regulatorio y viabilidad comercial, adoptado por jurisdicciones de todos los continentes que han priorizado la</w:t>
      </w:r>
      <w:r>
        <w:t xml:space="preserve"> </w:t>
      </w:r>
      <w:r>
        <w:rPr>
          <w:b/>
          <w:bCs/>
        </w:rPr>
        <w:t xml:space="preserve">competitividad sectorial sin comprometer la seguridad pública</w:t>
      </w:r>
      <w:r>
        <w:t xml:space="preserve">.</w:t>
      </w:r>
    </w:p>
    <w:p>
      <w:pPr>
        <w:pStyle w:val="BodyText"/>
      </w:pPr>
      <w:r>
        <w:t xml:space="preserve">La Unión Europea, manteniendo el umbral del 0,3%, se sitúa en una posición de</w:t>
      </w:r>
      <w:r>
        <w:t xml:space="preserve"> </w:t>
      </w:r>
      <w:r>
        <w:rPr>
          <w:b/>
          <w:bCs/>
        </w:rPr>
        <w:t xml:space="preserve">desventaja competitiva estructural</w:t>
      </w:r>
      <w:r>
        <w:t xml:space="preserve"> </w:t>
      </w:r>
      <w:r>
        <w:t xml:space="preserve">frente a productores globales que operan con márgenes regulatorios más realistas.</w:t>
      </w:r>
    </w:p>
    <w:p>
      <w:pPr>
        <w:pStyle w:val="BlockText"/>
      </w:pPr>
      <w:r>
        <w:rPr>
          <w:b/>
          <w:bCs/>
        </w:rPr>
        <w:t xml:space="preserve">La comparativa internacional detallada con marcos legales específicos se recoge en el</w:t>
      </w:r>
      <w:r>
        <w:rPr>
          <w:b/>
          <w:bCs/>
        </w:rPr>
        <w:t xml:space="preserve"> </w:t>
      </w:r>
      <w:hyperlink r:id="rId37">
        <w:r>
          <w:rPr>
            <w:rStyle w:val="Hyperlink"/>
            <w:b/>
            <w:bCs/>
          </w:rPr>
          <w:t xml:space="preserve">Anexo C</w:t>
        </w:r>
      </w:hyperlink>
      <w:r>
        <w:rPr>
          <w:b/>
          <w:bCs/>
        </w:rPr>
        <w:t xml:space="preserve">.</w:t>
      </w:r>
    </w:p>
    <w:p>
      <w:r>
        <w:pict>
          <v:rect style="width:0;height:1.5pt" o:hralign="center" o:hrstd="t" o:hr="t"/>
        </w:pict>
      </w:r>
    </w:p>
    <w:bookmarkEnd w:id="38"/>
    <w:bookmarkEnd w:id="39"/>
    <w:bookmarkStart w:id="50" w:name="seguridad-y-salud-pública"/>
    <w:p>
      <w:pPr>
        <w:pStyle w:val="Heading2"/>
      </w:pPr>
      <w:r>
        <w:t xml:space="preserve">2.4 SEGURIDAD Y SALUD PÚBLICA</w:t>
      </w:r>
    </w:p>
    <w:bookmarkStart w:id="40" w:name="X2fa126c29433b7a4bacc0c2d1de0b5ec4ecaf5a"/>
    <w:p>
      <w:pPr>
        <w:pStyle w:val="Heading3"/>
      </w:pPr>
      <w:r>
        <w:t xml:space="preserve">2.4.1 Marco de evaluación: realismo frente a teoría</w:t>
      </w:r>
    </w:p>
    <w:p>
      <w:pPr>
        <w:pStyle w:val="FirstParagraph"/>
      </w:pPr>
      <w:r>
        <w:t xml:space="preserve">Las preocupaciones sobre el potencial de abuso del cáñamo industrial son</w:t>
      </w:r>
      <w:r>
        <w:t xml:space="preserve"> </w:t>
      </w:r>
      <w:r>
        <w:rPr>
          <w:b/>
          <w:bCs/>
        </w:rPr>
        <w:t xml:space="preserve">legítimas y deben ser evaluadas rigurosamente</w:t>
      </w:r>
      <w:r>
        <w:t xml:space="preserve">. Sin embargo, esta evaluación debe realizarse de forma</w:t>
      </w:r>
      <w:r>
        <w:t xml:space="preserve"> </w:t>
      </w:r>
      <w:r>
        <w:rPr>
          <w:b/>
          <w:bCs/>
        </w:rPr>
        <w:t xml:space="preserve">realista, no teórica</w:t>
      </w:r>
      <w:r>
        <w:t xml:space="preserve">.</w:t>
      </w:r>
    </w:p>
    <w:p>
      <w:pPr>
        <w:pStyle w:val="BodyText"/>
      </w:pPr>
      <w:r>
        <w:t xml:space="preserve">El riesgo de abuso no viene determinado por la mera presencia de THC en la planta, sino por si la intoxicación es</w:t>
      </w:r>
      <w:r>
        <w:t xml:space="preserve"> </w:t>
      </w:r>
      <w:r>
        <w:rPr>
          <w:b/>
          <w:bCs/>
        </w:rPr>
        <w:t xml:space="preserve">práctica, técnica y económicamente factible</w:t>
      </w:r>
      <w:r>
        <w:t xml:space="preserve">. La evidencia científica y económica demuestra que esto</w:t>
      </w:r>
      <w:r>
        <w:t xml:space="preserve"> </w:t>
      </w:r>
      <w:r>
        <w:rPr>
          <w:b/>
          <w:bCs/>
        </w:rPr>
        <w:t xml:space="preserve">no es el caso</w:t>
      </w:r>
      <w:r>
        <w:t xml:space="preserve"> </w:t>
      </w:r>
      <w:r>
        <w:t xml:space="preserve">para el cáñamo industrial, incluso al 1% THC.</w:t>
      </w:r>
    </w:p>
    <w:bookmarkEnd w:id="40"/>
    <w:bookmarkStart w:id="41" w:name="qué-regula-este-umbral"/>
    <w:p>
      <w:pPr>
        <w:pStyle w:val="Heading3"/>
      </w:pPr>
      <w:r>
        <w:t xml:space="preserve">2.4.2 Qué regula este umbral</w:t>
      </w:r>
    </w:p>
    <w:p>
      <w:pPr>
        <w:pStyle w:val="FirstParagraph"/>
      </w:pPr>
      <w:r>
        <w:t xml:space="preserve">El umbral de</w:t>
      </w:r>
      <w:r>
        <w:t xml:space="preserve"> </w:t>
      </w:r>
      <w:r>
        <w:rPr>
          <w:b/>
          <w:bCs/>
        </w:rPr>
        <w:t xml:space="preserve">1,0% THC</w:t>
      </w:r>
      <w:r>
        <w:t xml:space="preserve"> </w:t>
      </w:r>
      <w:r>
        <w:t xml:space="preserve">propuesto opera como criterio de</w:t>
      </w:r>
      <w:r>
        <w:t xml:space="preserve"> </w:t>
      </w:r>
      <w:r>
        <w:rPr>
          <w:b/>
          <w:bCs/>
        </w:rPr>
        <w:t xml:space="preserve">clasificación de materias primas de cáñamo industrial</w:t>
      </w:r>
      <w:r>
        <w:t xml:space="preserve"> </w:t>
      </w:r>
      <w:r>
        <w:t xml:space="preserve">en el marco PAC/OCM, habilitando su cultivo, comercialización e importación dentro del mercado interior. Estas materias primas se destinan a:</w:t>
      </w:r>
    </w:p>
    <w:p>
      <w:pPr>
        <w:pStyle w:val="Compact"/>
        <w:numPr>
          <w:ilvl w:val="0"/>
          <w:numId w:val="1004"/>
        </w:numPr>
      </w:pPr>
      <w:r>
        <w:rPr>
          <w:b/>
          <w:bCs/>
        </w:rPr>
        <w:t xml:space="preserve">Usos industriales</w:t>
      </w:r>
      <w:r>
        <w:t xml:space="preserve"> </w:t>
      </w:r>
      <w:r>
        <w:t xml:space="preserve">(fibra, semilla, biomasa para transformación).</w:t>
      </w:r>
    </w:p>
    <w:p>
      <w:pPr>
        <w:pStyle w:val="Compact"/>
        <w:numPr>
          <w:ilvl w:val="0"/>
          <w:numId w:val="1004"/>
        </w:numPr>
      </w:pPr>
      <w:r>
        <w:rPr>
          <w:b/>
          <w:bCs/>
        </w:rPr>
        <w:t xml:space="preserve">Producción de productos legales</w:t>
      </w:r>
      <w:r>
        <w:t xml:space="preserve"> </w:t>
      </w:r>
      <w:r>
        <w:t xml:space="preserve">que, una vez transformados, quedan</w:t>
      </w:r>
      <w:r>
        <w:t xml:space="preserve"> </w:t>
      </w:r>
      <w:r>
        <w:rPr>
          <w:b/>
          <w:bCs/>
        </w:rPr>
        <w:t xml:space="preserve">regulados por cada Estado miembro</w:t>
      </w:r>
      <w:r>
        <w:t xml:space="preserve"> </w:t>
      </w:r>
      <w:r>
        <w:t xml:space="preserve">según el encaje que corresponda: industrial, alimentario, cosmético, medicinal u otros marcos sectoriales.</w:t>
      </w:r>
    </w:p>
    <w:p>
      <w:pPr>
        <w:pStyle w:val="FirstParagraph"/>
      </w:pPr>
      <w:r>
        <w:t xml:space="preserve">El riesgo de</w:t>
      </w:r>
      <w:r>
        <w:t xml:space="preserve"> </w:t>
      </w:r>
      <w:r>
        <w:rPr>
          <w:b/>
          <w:bCs/>
        </w:rPr>
        <w:t xml:space="preserve">desvío o mal uso</w:t>
      </w:r>
      <w:r>
        <w:t xml:space="preserve"> </w:t>
      </w:r>
      <w:r>
        <w:t xml:space="preserve">no debe gestionarse mediante un umbral artificialmente bajo que castiga al agricultor por variación agronómica o climática. El enfoque correcto es:</w:t>
      </w:r>
    </w:p>
    <w:p>
      <w:pPr>
        <w:pStyle w:val="Compact"/>
        <w:numPr>
          <w:ilvl w:val="0"/>
          <w:numId w:val="1005"/>
        </w:numPr>
      </w:pPr>
      <w:r>
        <w:rPr>
          <w:b/>
          <w:bCs/>
        </w:rPr>
        <w:t xml:space="preserve">Regulación clara</w:t>
      </w:r>
      <w:r>
        <w:t xml:space="preserve">: seguridad jurídica, trazabilidad documental y control oficial con el método armonizado UE.</w:t>
      </w:r>
    </w:p>
    <w:p>
      <w:pPr>
        <w:pStyle w:val="Compact"/>
        <w:numPr>
          <w:ilvl w:val="0"/>
          <w:numId w:val="1005"/>
        </w:numPr>
      </w:pPr>
      <w:r>
        <w:rPr>
          <w:b/>
          <w:bCs/>
        </w:rPr>
        <w:t xml:space="preserve">Proporcionalidad</w:t>
      </w:r>
      <w:r>
        <w:t xml:space="preserve">: separar el porcentaje en planta (clasificación) de la gestión específica de riesgos en producto final o conductas.</w:t>
      </w:r>
    </w:p>
    <w:p>
      <w:pPr>
        <w:pStyle w:val="FirstParagraph"/>
      </w:pPr>
      <w:r>
        <w:t xml:space="preserve">Un criterio PAC/OCM robusto (1%) combinado con una arquitectura de control efectiva protege mejor el mercado interior que un umbral frágil (0,3%) que genera litigios y pérdidas sin reducir el riesgo real de abuso.</w:t>
      </w:r>
    </w:p>
    <w:bookmarkEnd w:id="41"/>
    <w:bookmarkStart w:id="49" w:name="Xcadfd9a4e89e105d35cea4bdcd5223fb637d565"/>
    <w:p>
      <w:pPr>
        <w:pStyle w:val="Heading3"/>
      </w:pPr>
      <w:r>
        <w:t xml:space="preserve">2.4.3 Escenarios teóricos de abuso: por qué no son realistas</w:t>
      </w:r>
    </w:p>
    <w:p>
      <w:pPr>
        <w:pStyle w:val="FirstParagraph"/>
      </w:pPr>
      <w:r>
        <w:t xml:space="preserve">Para permitir el mal uso del cáñamo industrial con fines intoxicantes, el THC contenido en el material vegetal tendría que consumirse en cantidades suficientes para inducir un efecto psicoactivo. Esto podría teóricamente ocurrir de dos formas:</w:t>
      </w:r>
      <w:r>
        <w:t xml:space="preserve"> </w:t>
      </w:r>
      <w:r>
        <w:rPr>
          <w:b/>
          <w:bCs/>
        </w:rPr>
        <w:t xml:space="preserve">(a)</w:t>
      </w:r>
      <w:r>
        <w:t xml:space="preserve"> </w:t>
      </w:r>
      <w:r>
        <w:t xml:space="preserve">mediante la ingestión de productos procesados (horneados, extracción) o</w:t>
      </w:r>
      <w:r>
        <w:t xml:space="preserve"> </w:t>
      </w:r>
      <w:r>
        <w:rPr>
          <w:b/>
          <w:bCs/>
        </w:rPr>
        <w:t xml:space="preserve">(b)</w:t>
      </w:r>
      <w:r>
        <w:t xml:space="preserve"> </w:t>
      </w:r>
      <w:r>
        <w:t xml:space="preserve">mediante combustión directa (fumar o vaporizar).</w:t>
      </w:r>
    </w:p>
    <w:bookmarkStart w:id="42" w:name="X28b46d7561a36669d4a90c1718c00ffc7fe8bdc"/>
    <w:p>
      <w:pPr>
        <w:pStyle w:val="Heading4"/>
      </w:pPr>
      <w:r>
        <w:t xml:space="preserve">A. Escenario de procesado (horneado o extracción): irrelevante para este umbral</w:t>
      </w:r>
    </w:p>
    <w:p>
      <w:pPr>
        <w:pStyle w:val="FirstParagraph"/>
      </w:pPr>
      <w:r>
        <w:t xml:space="preserve">El escenario de horneado (</w:t>
      </w:r>
      <w:r>
        <w:t xml:space="preserve">“baking”</w:t>
      </w:r>
      <w:r>
        <w:t xml:space="preserve">) ha sido examinado como forma teórica de mal uso. En este caso, las flores de cáñamo industrial primero necesitarían procesarse —típicamente extrayendo cannabinoides en una grasa como mantequilla— que luego se incorporaría a productos horneados.</w:t>
      </w:r>
    </w:p>
    <w:p>
      <w:pPr>
        <w:pStyle w:val="BodyText"/>
      </w:pPr>
      <w:r>
        <w:t xml:space="preserve">Sin embargo, este método está sujeto a varios factores limitantes:</w:t>
      </w:r>
    </w:p>
    <w:p>
      <w:pPr>
        <w:pStyle w:val="Compact"/>
        <w:numPr>
          <w:ilvl w:val="0"/>
          <w:numId w:val="1006"/>
        </w:numPr>
      </w:pPr>
      <w:r>
        <w:rPr>
          <w:b/>
          <w:bCs/>
        </w:rPr>
        <w:t xml:space="preserve">Cantidad de material sustancial</w:t>
      </w:r>
      <w:r>
        <w:t xml:space="preserve"> </w:t>
      </w:r>
      <w:r>
        <w:t xml:space="preserve">para alcanzar una dosis mínima intoxicante, planteando problemas de palatabilidad, digestibilidad y aceptación.</w:t>
      </w:r>
    </w:p>
    <w:p>
      <w:pPr>
        <w:pStyle w:val="Compact"/>
        <w:numPr>
          <w:ilvl w:val="0"/>
          <w:numId w:val="1006"/>
        </w:numPr>
      </w:pPr>
      <w:r>
        <w:rPr>
          <w:b/>
          <w:bCs/>
        </w:rPr>
        <w:t xml:space="preserve">Conversión incompleta</w:t>
      </w:r>
      <w:r>
        <w:t xml:space="preserve">: la transformación del precursor no psicoactivo THCA en THC (descarboxilación) requiere condiciones específicas. Durante el horneado, más de la mitad del THC potencial puede permanecer sin convertir.</w:t>
      </w:r>
    </w:p>
    <w:p>
      <w:pPr>
        <w:pStyle w:val="Compact"/>
        <w:numPr>
          <w:ilvl w:val="0"/>
          <w:numId w:val="1006"/>
        </w:numPr>
      </w:pPr>
      <w:r>
        <w:rPr>
          <w:b/>
          <w:bCs/>
        </w:rPr>
        <w:t xml:space="preserve">Degradación térmica</w:t>
      </w:r>
      <w:r>
        <w:t xml:space="preserve">: el THC es termolábil y se degrada con calor excesivo, convirtiéndose en cannabinol (CBN), un compuesto sin efecto psicoactivo.</w:t>
      </w:r>
    </w:p>
    <w:p>
      <w:pPr>
        <w:pStyle w:val="FirstParagraph"/>
      </w:pPr>
      <w:r>
        <w:rPr>
          <w:b/>
          <w:bCs/>
        </w:rPr>
        <w:t xml:space="preserve">Observación crítica</w:t>
      </w:r>
      <w:r>
        <w:t xml:space="preserve">: Este escenario de procesado es</w:t>
      </w:r>
      <w:r>
        <w:t xml:space="preserve"> </w:t>
      </w:r>
      <w:r>
        <w:rPr>
          <w:b/>
          <w:bCs/>
        </w:rPr>
        <w:t xml:space="preserve">igualmente factible con material al 0,3% THC</w:t>
      </w:r>
      <w:r>
        <w:t xml:space="preserve"> </w:t>
      </w:r>
      <w:r>
        <w:t xml:space="preserve">que con material al 1%. Si alguien quisiera extraer cannabinoides para procesado doméstico, simplemente necesitaría más cantidad de material al 0,3% para lograr el mismo resultado. El umbral de clasificación PAC/OCM</w:t>
      </w:r>
      <w:r>
        <w:t xml:space="preserve"> </w:t>
      </w:r>
      <w:r>
        <w:rPr>
          <w:b/>
          <w:bCs/>
        </w:rPr>
        <w:t xml:space="preserve">no altera esta ecuación</w:t>
      </w:r>
      <w:r>
        <w:t xml:space="preserve">: quien tenga la intención, el equipo y el tiempo para realizar una extracción puede hacerlo con cualquier material que contenga THC.</w:t>
      </w:r>
    </w:p>
    <w:p>
      <w:pPr>
        <w:pStyle w:val="BodyText"/>
      </w:pPr>
      <w:r>
        <w:rPr>
          <w:b/>
          <w:bCs/>
        </w:rPr>
        <w:t xml:space="preserve">Argumento económico decisivo</w:t>
      </w:r>
      <w:r>
        <w:t xml:space="preserve">: Incluso asumiendo que este escenario fuera técnicamente viable,</w:t>
      </w:r>
      <w:r>
        <w:t xml:space="preserve"> </w:t>
      </w:r>
      <w:r>
        <w:rPr>
          <w:b/>
          <w:bCs/>
        </w:rPr>
        <w:t xml:space="preserve">en ningún caso constituiría una práctica atractiva para el narcotráfico</w:t>
      </w:r>
      <w:r>
        <w:t xml:space="preserve">. La extracción de THC a partir de cáñamo industrial —sea al 0,3% o al 1%— es</w:t>
      </w:r>
      <w:r>
        <w:t xml:space="preserve"> </w:t>
      </w:r>
      <w:r>
        <w:rPr>
          <w:b/>
          <w:bCs/>
        </w:rPr>
        <w:t xml:space="preserve">económicamente inviable</w:t>
      </w:r>
      <w:r>
        <w:t xml:space="preserve"> </w:t>
      </w:r>
      <w:r>
        <w:t xml:space="preserve">para el mercado negro. Un operador ilícito necesitaría procesar entre</w:t>
      </w:r>
      <w:r>
        <w:t xml:space="preserve"> </w:t>
      </w:r>
      <w:r>
        <w:rPr>
          <w:b/>
          <w:bCs/>
        </w:rPr>
        <w:t xml:space="preserve">13 y 43 veces más biomasa</w:t>
      </w:r>
      <w:r>
        <w:t xml:space="preserve"> </w:t>
      </w:r>
      <w:r>
        <w:t xml:space="preserve">para obtener la misma cantidad de THC que extraería del cannabis ilícito de alto contenido (&gt;13%) [78], que además está ampliamente disponible. El coste en materia prima, tiempo, equipo y riesgo de detección hace que esta vía sea completamente irracional desde cualquier perspectiva criminal.</w:t>
      </w:r>
    </w:p>
    <w:p>
      <w:pPr>
        <w:pStyle w:val="BodyText"/>
      </w:pPr>
      <w:r>
        <w:t xml:space="preserve">Por tanto,</w:t>
      </w:r>
      <w:r>
        <w:t xml:space="preserve"> </w:t>
      </w:r>
      <w:r>
        <w:rPr>
          <w:b/>
          <w:bCs/>
        </w:rPr>
        <w:t xml:space="preserve">el escenario de procesado no constituye un argumento válido</w:t>
      </w:r>
      <w:r>
        <w:t xml:space="preserve"> </w:t>
      </w:r>
      <w:r>
        <w:t xml:space="preserve">para mantener un umbral artificialmente bajo: es igualmente ineficiente independientemente del umbral, y quien busque THC para fines ilícitos dispone de alternativas mucho más rentables.</w:t>
      </w:r>
    </w:p>
    <w:bookmarkEnd w:id="42"/>
    <w:bookmarkStart w:id="48" w:name="Xc51bc1a080a9dc0085f2663091235db2a125ed5"/>
    <w:p>
      <w:pPr>
        <w:pStyle w:val="Heading4"/>
      </w:pPr>
      <w:r>
        <w:t xml:space="preserve">B. Escenario de combustión directa: de riesgo hipotético a realidad comercial validada</w:t>
      </w:r>
    </w:p>
    <w:p>
      <w:pPr>
        <w:pStyle w:val="FirstParagraph"/>
      </w:pPr>
      <w:r>
        <w:t xml:space="preserve">Otro escenario en el que podría existir riesgo de intoxicación —quizás de forma más ágil— sería la combustión directa del producto en forma de cigarro, dada su apariencia similar al cannabis psicoactivo tradicional.</w:t>
      </w:r>
    </w:p>
    <w:p>
      <w:pPr>
        <w:pStyle w:val="BodyText"/>
      </w:pPr>
      <w:r>
        <w:t xml:space="preserve">La pregunta clave es:</w:t>
      </w:r>
      <w:r>
        <w:t xml:space="preserve"> </w:t>
      </w:r>
      <w:r>
        <w:rPr>
          <w:b/>
          <w:bCs/>
        </w:rPr>
        <w:t xml:space="preserve">¿sería psicoactivo un producto de cáñamo industrial al 1% THC fumado?</w:t>
      </w:r>
    </w:p>
    <w:bookmarkStart w:id="43" w:name="Xb35ae96c448ac852ec035ee55dd8612de2697a2"/>
    <w:p>
      <w:pPr>
        <w:pStyle w:val="Heading5"/>
      </w:pPr>
      <w:r>
        <w:t xml:space="preserve">B.1 El precedente europeo: validación política, regulatoria y sanitaria</w:t>
      </w:r>
    </w:p>
    <w:p>
      <w:pPr>
        <w:pStyle w:val="FirstParagraph"/>
      </w:pPr>
      <w:r>
        <w:t xml:space="preserve">Si bien es un tema que debe verificarse cautelosamente con ciencia, primero debemos observar la realidad de mercado y los precedentes existentes.</w:t>
      </w:r>
    </w:p>
    <w:p>
      <w:pPr>
        <w:pStyle w:val="BodyText"/>
      </w:pPr>
      <w:r>
        <w:rPr>
          <w:b/>
          <w:bCs/>
        </w:rPr>
        <w:t xml:space="preserve">Swissmedic</w:t>
      </w:r>
      <w:r>
        <w:t xml:space="preserve">, la Agencia Suiza de Productos Terapéuticos [55], avala los productos de cáñamo &lt;1% THC inhalables como</w:t>
      </w:r>
      <w:r>
        <w:t xml:space="preserve"> </w:t>
      </w:r>
      <w:r>
        <w:rPr>
          <w:b/>
          <w:bCs/>
        </w:rPr>
        <w:t xml:space="preserve">seguros y no psicoactivos</w:t>
      </w:r>
      <w:r>
        <w:t xml:space="preserve">. Suiza permite desde 2011 [44] la venta libre de flores de cáñamo (&lt;1% THC) como sustituto del tabaco herbal, comercializadas en tiendas especializadas.</w:t>
      </w:r>
    </w:p>
    <w:p>
      <w:pPr>
        <w:pStyle w:val="BodyText"/>
      </w:pPr>
      <w:r>
        <w:rPr>
          <w:b/>
          <w:bCs/>
        </w:rPr>
        <w:t xml:space="preserve">República Checa</w:t>
      </w:r>
      <w:r>
        <w:t xml:space="preserve"> </w:t>
      </w:r>
      <w:r>
        <w:t xml:space="preserve">se alineó con el umbral suizo (</w:t>
      </w:r>
      <w:r>
        <w:rPr>
          <w:b/>
          <w:bCs/>
        </w:rPr>
        <w:t xml:space="preserve">1% THC</w:t>
      </w:r>
      <w:r>
        <w:t xml:space="preserve">) en enero de 2025 mediante el Act Col. 166/2024 [56].</w:t>
      </w:r>
      <w:r>
        <w:t xml:space="preserve"> </w:t>
      </w:r>
      <w:r>
        <w:rPr>
          <w:b/>
          <w:bCs/>
        </w:rPr>
        <w:t xml:space="preserve">Luxemburgo</w:t>
      </w:r>
      <w:r>
        <w:t xml:space="preserve">, Estado miembro, también se alineó con Suiza en 2023, permitiendo la</w:t>
      </w:r>
      <w:r>
        <w:t xml:space="preserve"> </w:t>
      </w:r>
      <w:r>
        <w:rPr>
          <w:b/>
          <w:bCs/>
        </w:rPr>
        <w:t xml:space="preserve">importación y comercialización</w:t>
      </w:r>
      <w:r>
        <w:t xml:space="preserve"> </w:t>
      </w:r>
      <w:r>
        <w:t xml:space="preserve">de productos de cáñamo industrial con hasta</w:t>
      </w:r>
      <w:r>
        <w:t xml:space="preserve"> </w:t>
      </w:r>
      <w:r>
        <w:rPr>
          <w:b/>
          <w:bCs/>
        </w:rPr>
        <w:t xml:space="preserve">1% THC</w:t>
      </w:r>
      <w:r>
        <w:t xml:space="preserve"> </w:t>
      </w:r>
      <w:r>
        <w:t xml:space="preserve">como sustitutos del tabaco [51]. Estos productos están</w:t>
      </w:r>
      <w:r>
        <w:t xml:space="preserve"> </w:t>
      </w:r>
      <w:r>
        <w:rPr>
          <w:b/>
          <w:bCs/>
        </w:rPr>
        <w:t xml:space="preserve">registrados en el portal EU-CEG</w:t>
      </w:r>
      <w:r>
        <w:t xml:space="preserve"> </w:t>
      </w:r>
      <w:r>
        <w:t xml:space="preserve">(Common Entry Gate) y se enmarcan en la</w:t>
      </w:r>
      <w:r>
        <w:t xml:space="preserve"> </w:t>
      </w:r>
      <w:r>
        <w:rPr>
          <w:b/>
          <w:bCs/>
        </w:rPr>
        <w:t xml:space="preserve">Directiva de Productos del Tabaco (TPD 2014/40/UE)</w:t>
      </w:r>
      <w:r>
        <w:t xml:space="preserve"> </w:t>
      </w:r>
      <w:r>
        <w:t xml:space="preserve">[57] europea como</w:t>
      </w:r>
      <w:r>
        <w:t xml:space="preserve"> </w:t>
      </w:r>
      <w:r>
        <w:t xml:space="preserve">“hierbas para fumar”</w:t>
      </w:r>
      <w:r>
        <w:t xml:space="preserve">.</w:t>
      </w:r>
    </w:p>
    <w:p>
      <w:pPr>
        <w:pStyle w:val="BodyText"/>
      </w:pPr>
      <w:r>
        <w:t xml:space="preserve">El encaje regulatorio de los productos de cáñamo en la TPD también se aplica en</w:t>
      </w:r>
      <w:r>
        <w:t xml:space="preserve"> </w:t>
      </w:r>
      <w:r>
        <w:rPr>
          <w:b/>
          <w:bCs/>
        </w:rPr>
        <w:t xml:space="preserve">Austria, Bélgica, Francia, Polonia, Alemania y Grecia</w:t>
      </w:r>
      <w:r>
        <w:t xml:space="preserve">.</w:t>
      </w:r>
    </w:p>
    <w:p>
      <w:pPr>
        <w:pStyle w:val="BodyText"/>
      </w:pPr>
      <w:r>
        <w:t xml:space="preserve">En los Estados miembros donde este registro no se exige formalmente, los mismos productos importados desde República Checa o Luxemburgo, con un</w:t>
      </w:r>
      <w:r>
        <w:t xml:space="preserve"> </w:t>
      </w:r>
      <w:r>
        <w:rPr>
          <w:b/>
          <w:bCs/>
        </w:rPr>
        <w:t xml:space="preserve">1% de THC</w:t>
      </w:r>
      <w:r>
        <w:t xml:space="preserve">, deben —y de hecho circulan— igualmente por el principio de</w:t>
      </w:r>
      <w:r>
        <w:t xml:space="preserve"> </w:t>
      </w:r>
      <w:r>
        <w:rPr>
          <w:b/>
          <w:bCs/>
        </w:rPr>
        <w:t xml:space="preserve">libre circulación de mercancías</w:t>
      </w:r>
      <w:r>
        <w:t xml:space="preserve"> </w:t>
      </w:r>
      <w:r>
        <w:t xml:space="preserve">(arts. 34-36 TFUE).</w:t>
      </w:r>
    </w:p>
    <w:bookmarkEnd w:id="43"/>
    <w:bookmarkStart w:id="45" w:name="X427e6ffdedc2bd2e1a1b7274f02627f3dd33253"/>
    <w:p>
      <w:pPr>
        <w:pStyle w:val="Heading5"/>
      </w:pPr>
      <w:r>
        <w:t xml:space="preserve">B.2 Confirmación farmacocinética: el 1% THC no produce efectos psicoactivos</w:t>
      </w:r>
    </w:p>
    <w:p>
      <w:pPr>
        <w:pStyle w:val="FirstParagraph"/>
      </w:pPr>
      <w:r>
        <w:t xml:space="preserve">Más allá del precedente comercial y regulatorio,</w:t>
      </w:r>
      <w:r>
        <w:t xml:space="preserve"> </w:t>
      </w:r>
      <w:r>
        <w:rPr>
          <w:b/>
          <w:bCs/>
        </w:rPr>
        <w:t xml:space="preserve">la evidencia clínica directa confirma que el cáñamo al 1% THC no produce efectos psicoactivos</w:t>
      </w:r>
      <w:r>
        <w:t xml:space="preserve">.</w:t>
      </w:r>
    </w:p>
    <w:p>
      <w:pPr>
        <w:pStyle w:val="BodyText"/>
      </w:pPr>
      <w:r>
        <w:t xml:space="preserve">Tres ensayos clínicos recientes evaluaron productos CBD-dominantes con contenidos de THC comparables o superiores al 1%:</w:t>
      </w:r>
    </w:p>
    <w:p>
      <w:pPr>
        <w:numPr>
          <w:ilvl w:val="0"/>
          <w:numId w:val="1007"/>
        </w:numPr>
      </w:pPr>
      <w:r>
        <w:rPr>
          <w:b/>
          <w:bCs/>
        </w:rPr>
        <w:t xml:space="preserve">Arkell et al. (2020)</w:t>
      </w:r>
      <w:r>
        <w:t xml:space="preserve"> </w:t>
      </w:r>
      <w:r>
        <w:t xml:space="preserve">[21], publicado en</w:t>
      </w:r>
      <w:r>
        <w:t xml:space="preserve"> </w:t>
      </w:r>
      <w:r>
        <w:rPr>
          <w:i/>
          <w:iCs/>
        </w:rPr>
        <w:t xml:space="preserve">JAMA</w:t>
      </w:r>
      <w:r>
        <w:t xml:space="preserve">, estudió cannabis vaporizado con &lt;1% THC en tests de conducción real:</w:t>
      </w:r>
      <w:r>
        <w:t xml:space="preserve"> </w:t>
      </w:r>
      <w:r>
        <w:rPr>
          <w:b/>
          <w:bCs/>
        </w:rPr>
        <w:t xml:space="preserve">sin diferencias significativas respecto a placebo</w:t>
      </w:r>
      <w:r>
        <w:t xml:space="preserve"> </w:t>
      </w:r>
      <w:r>
        <w:t xml:space="preserve">en desviación lateral ni rendimiento cognitivo.</w:t>
      </w:r>
    </w:p>
    <w:p>
      <w:pPr>
        <w:numPr>
          <w:ilvl w:val="0"/>
          <w:numId w:val="1007"/>
        </w:numPr>
      </w:pPr>
      <w:r>
        <w:rPr>
          <w:b/>
          <w:bCs/>
        </w:rPr>
        <w:t xml:space="preserve">Egloff et al. (2023)</w:t>
      </w:r>
      <w:r>
        <w:t xml:space="preserve"> </w:t>
      </w:r>
      <w:r>
        <w:t xml:space="preserve">[22], de la Universidad de Basilea, evaluó cannabis &lt;1% THC vaporizado en conductores:</w:t>
      </w:r>
      <w:r>
        <w:t xml:space="preserve"> </w:t>
      </w:r>
      <w:r>
        <w:rPr>
          <w:b/>
          <w:bCs/>
        </w:rPr>
        <w:t xml:space="preserve">ningún participante mostró deterioro de la capacidad de conducción</w:t>
      </w:r>
      <w:r>
        <w:t xml:space="preserve"> </w:t>
      </w:r>
      <w:r>
        <w:t xml:space="preserve">respecto a placebo, y las concentraciones sanguíneas de THC permanecieron muy por debajo de los umbrales legales suizos.</w:t>
      </w:r>
    </w:p>
    <w:p>
      <w:pPr>
        <w:numPr>
          <w:ilvl w:val="0"/>
          <w:numId w:val="1007"/>
        </w:numPr>
      </w:pPr>
      <w:r>
        <w:rPr>
          <w:b/>
          <w:bCs/>
        </w:rPr>
        <w:t xml:space="preserve">Spindle et al. (2020)</w:t>
      </w:r>
      <w:r>
        <w:t xml:space="preserve"> </w:t>
      </w:r>
      <w:r>
        <w:t xml:space="preserve">[23], de Johns Hopkins, administró CBD-dominante vaporizado (100 mg CBD + 3,7 mg THC):</w:t>
      </w:r>
      <w:r>
        <w:t xml:space="preserve"> </w:t>
      </w:r>
      <w:r>
        <w:rPr>
          <w:b/>
          <w:bCs/>
        </w:rPr>
        <w:t xml:space="preserve">sin deterioro cognitivo ni psicomotor</w:t>
      </w:r>
      <w:r>
        <w:t xml:space="preserve"> </w:t>
      </w:r>
      <w:r>
        <w:t xml:space="preserve">en ninguna de las tareas evaluadas.</w:t>
      </w:r>
    </w:p>
    <w:p>
      <w:pPr>
        <w:pStyle w:val="FirstParagraph"/>
      </w:pPr>
      <w:r>
        <w:t xml:space="preserve">El análisis farmacocinético corrobora estos hallazgos. Aplicando los parámetros de biodisponibilidad establecidos en literatura peer-reviewed —transferencia al humo principal del 12,6% (Sheehan et al., 2019) [13] y biodisponibilidad pulmonar del 28,7% (Naef et al., 2004) [14]—, la dosis sistémica máxima resultante de fumar 1 gramo de cáñamo al 1% THC es de aproximadamente</w:t>
      </w:r>
      <w:r>
        <w:t xml:space="preserve"> </w:t>
      </w:r>
      <w:r>
        <w:rPr>
          <w:b/>
          <w:bCs/>
        </w:rPr>
        <w:t xml:space="preserve">0,36 mg</w:t>
      </w:r>
      <w:r>
        <w:t xml:space="preserve">, es decir,</w:t>
      </w:r>
      <w:r>
        <w:t xml:space="preserve"> </w:t>
      </w:r>
      <w:r>
        <w:rPr>
          <w:b/>
          <w:bCs/>
        </w:rPr>
        <w:t xml:space="preserve">entre 8 y 17 veces inferior</w:t>
      </w:r>
      <w:r>
        <w:t xml:space="preserve"> </w:t>
      </w:r>
      <w:r>
        <w:t xml:space="preserve">al umbral documentado para efectos psicoactivos perceptibles de 3,1 mg (Perez-Reyes et al., 1972) [20] según la evaluación de EFSA (2015) [4].</w:t>
      </w:r>
    </w:p>
    <w:p>
      <w:pPr>
        <w:pStyle w:val="BodyText"/>
      </w:pPr>
      <w:r>
        <w:t xml:space="preserve">Adicionalmente, el efecto antagonista del CBD presente en el cáñamo —con ratios CBD:THC típicas de 2:1 a 17:1— modula negativamente la activación de receptores CB1, reduciendo aún más cualquier impacto potencial.</w:t>
      </w:r>
    </w:p>
    <w:p>
      <w:pPr>
        <w:pStyle w:val="BlockText"/>
      </w:pPr>
      <w:r>
        <w:rPr>
          <w:b/>
          <w:bCs/>
        </w:rPr>
        <w:t xml:space="preserve">Los cálculos detallados y metodología completa se recogen en el</w:t>
      </w:r>
      <w:r>
        <w:rPr>
          <w:b/>
          <w:bCs/>
        </w:rPr>
        <w:t xml:space="preserve"> </w:t>
      </w:r>
      <w:hyperlink r:id="rId44">
        <w:r>
          <w:rPr>
            <w:rStyle w:val="Hyperlink"/>
            <w:b/>
            <w:bCs/>
          </w:rPr>
          <w:t xml:space="preserve">Anexo A</w:t>
        </w:r>
      </w:hyperlink>
      <w:r>
        <w:rPr>
          <w:b/>
          <w:bCs/>
        </w:rPr>
        <w:t xml:space="preserve">.</w:t>
      </w:r>
    </w:p>
    <w:bookmarkEnd w:id="45"/>
    <w:bookmarkStart w:id="47" w:name="X269c10c1ec16c474f15d0430bc87d5679ca035b"/>
    <w:p>
      <w:pPr>
        <w:pStyle w:val="Heading5"/>
      </w:pPr>
      <w:r>
        <w:t xml:space="preserve">B.3 Conclusión: el 1% THC es seguro para inhalación</w:t>
      </w:r>
    </w:p>
    <w:p>
      <w:pPr>
        <w:pStyle w:val="FirstParagraph"/>
      </w:pPr>
      <w:r>
        <w:t xml:space="preserve">El escenario de combustión directa no es hipotético:</w:t>
      </w:r>
      <w:r>
        <w:t xml:space="preserve"> </w:t>
      </w:r>
      <w:r>
        <w:rPr>
          <w:b/>
          <w:bCs/>
        </w:rPr>
        <w:t xml:space="preserve">es una realidad comercial consolidada en Europa</w:t>
      </w:r>
      <w:r>
        <w:t xml:space="preserve">.</w:t>
      </w:r>
    </w:p>
    <w:p>
      <w:pPr>
        <w:pStyle w:val="BodyText"/>
      </w:pPr>
      <w:r>
        <w:rPr>
          <w:b/>
          <w:bCs/>
        </w:rPr>
        <w:t xml:space="preserve">Validación regulatoria:</w:t>
      </w:r>
      <w:r>
        <w:t xml:space="preserve"> </w:t>
      </w:r>
      <w:r>
        <w:t xml:space="preserve">- Suiza permite la venta de flores &lt;1% THC como sustituto del tabaco desde 2011</w:t>
      </w:r>
      <w:r>
        <w:t xml:space="preserve"> </w:t>
      </w:r>
      <w:r>
        <w:t xml:space="preserve">- Luxemburgo (Estado miembro UE) autoriza productos hasta 1% THC desde 2023</w:t>
      </w:r>
      <w:r>
        <w:t xml:space="preserve"> </w:t>
      </w:r>
      <w:r>
        <w:t xml:space="preserve">- Mercados activos operan en Austria, Bélgica, Francia, Polonia, Alemania y Grecia</w:t>
      </w:r>
      <w:r>
        <w:t xml:space="preserve"> </w:t>
      </w:r>
      <w:r>
        <w:t xml:space="preserve">- Swissmedic [55] —autoridad con MRA con la UE— clasifica estos productos fuera del control de estupefacientes</w:t>
      </w:r>
      <w:r>
        <w:t xml:space="preserve"> </w:t>
      </w:r>
      <w:r>
        <w:t xml:space="preserve">- La doctrina Kanavape (C-663/18) [39] impide prohibiciones sin demostración de riesgo real</w:t>
      </w:r>
    </w:p>
    <w:p>
      <w:pPr>
        <w:pStyle w:val="BodyText"/>
      </w:pPr>
      <w:r>
        <w:rPr>
          <w:b/>
          <w:bCs/>
        </w:rPr>
        <w:t xml:space="preserve">Validación farmacocinética:</w:t>
      </w:r>
      <w:r>
        <w:t xml:space="preserve"> </w:t>
      </w:r>
      <w:r>
        <w:t xml:space="preserve">- Márgenes de seguridad de ×8-17 respecto al umbral psicoactivo (ver</w:t>
      </w:r>
      <w:r>
        <w:t xml:space="preserve"> </w:t>
      </w:r>
      <w:hyperlink r:id="rId46">
        <w:r>
          <w:rPr>
            <w:rStyle w:val="Hyperlink"/>
          </w:rPr>
          <w:t xml:space="preserve">Anexo A</w:t>
        </w:r>
      </w:hyperlink>
      <w:r>
        <w:t xml:space="preserve">)</w:t>
      </w:r>
      <w:r>
        <w:t xml:space="preserve"> </w:t>
      </w:r>
      <w:r>
        <w:t xml:space="preserve">- Ensayos clínicos directos confirman ausencia de deterioro cognitivo/psicomotor</w:t>
      </w:r>
    </w:p>
    <w:p>
      <w:pPr>
        <w:pStyle w:val="BodyText"/>
      </w:pPr>
      <w:r>
        <w:rPr>
          <w:b/>
          <w:bCs/>
        </w:rPr>
        <w:t xml:space="preserve">Conclusión</w:t>
      </w:r>
      <w:r>
        <w:t xml:space="preserve">: El cáñamo al 1% THC fumado</w:t>
      </w:r>
      <w:r>
        <w:t xml:space="preserve"> </w:t>
      </w:r>
      <w:r>
        <w:rPr>
          <w:b/>
          <w:bCs/>
        </w:rPr>
        <w:t xml:space="preserve">no produce efectos psicoactivos</w:t>
      </w:r>
      <w:r>
        <w:t xml:space="preserve">. La evidencia regulatoria (&gt;15 años de mercado europeo sin incidentes) y científica (farmacocinética + ensayos clínicos) lo confirman de forma inequívoca.</w:t>
      </w:r>
    </w:p>
    <w:p>
      <w:r>
        <w:pict>
          <v:rect style="width:0;height:1.5pt" o:hralign="center" o:hrstd="t" o:hr="t"/>
        </w:pict>
      </w:r>
    </w:p>
    <w:bookmarkEnd w:id="47"/>
    <w:bookmarkEnd w:id="48"/>
    <w:bookmarkEnd w:id="49"/>
    <w:bookmarkEnd w:id="50"/>
    <w:bookmarkEnd w:id="51"/>
    <w:bookmarkStart w:id="58" w:name="conclusión-y-propuesta-de-enmienda"/>
    <w:p>
      <w:pPr>
        <w:pStyle w:val="Heading1"/>
      </w:pPr>
      <w:r>
        <w:t xml:space="preserve">3. CONCLUSIÓN Y PROPUESTA DE ENMIENDA</w:t>
      </w:r>
    </w:p>
    <w:bookmarkStart w:id="52" w:name="propuesta"/>
    <w:p>
      <w:pPr>
        <w:pStyle w:val="Heading2"/>
      </w:pPr>
      <w:r>
        <w:t xml:space="preserve">3.1 Propuesta</w:t>
      </w:r>
    </w:p>
    <w:p>
      <w:pPr>
        <w:pStyle w:val="FirstParagraph"/>
      </w:pPr>
      <w:r>
        <w:t xml:space="preserve">Cannabis Hub propone</w:t>
      </w:r>
      <w:r>
        <w:t xml:space="preserve"> </w:t>
      </w:r>
      <w:r>
        <w:rPr>
          <w:b/>
          <w:bCs/>
        </w:rPr>
        <w:t xml:space="preserve">sustituir el umbral del 0,3% por el 1,0% THC</w:t>
      </w:r>
      <w:r>
        <w:t xml:space="preserve"> </w:t>
      </w:r>
      <w:r>
        <w:t xml:space="preserve">en todas las disposiciones de la PAC y la OCM donde este criterio opera como definición de</w:t>
      </w:r>
      <w:r>
        <w:t xml:space="preserve"> </w:t>
      </w:r>
      <w:r>
        <w:rPr>
          <w:b/>
          <w:bCs/>
        </w:rPr>
        <w:t xml:space="preserve">cáñamo industrial</w:t>
      </w:r>
      <w:r>
        <w:t xml:space="preserve">, manteniendo la arquitectura de control existente y añadiendo una</w:t>
      </w:r>
      <w:r>
        <w:t xml:space="preserve"> </w:t>
      </w:r>
      <w:r>
        <w:rPr>
          <w:b/>
          <w:bCs/>
        </w:rPr>
        <w:t xml:space="preserve">cláusula técnica mínima</w:t>
      </w:r>
      <w:r>
        <w:t xml:space="preserve"> </w:t>
      </w:r>
      <w:r>
        <w:t xml:space="preserve">que cierre la ambigüedad interpretativa.</w:t>
      </w:r>
    </w:p>
    <w:p>
      <w:pPr>
        <w:pStyle w:val="BodyText"/>
      </w:pPr>
      <w:r>
        <w:t xml:space="preserve">Esta reforma:</w:t>
      </w:r>
      <w:r>
        <w:t xml:space="preserve"> </w:t>
      </w:r>
      <w:r>
        <w:t xml:space="preserve">-</w:t>
      </w:r>
      <w:r>
        <w:t xml:space="preserve"> </w:t>
      </w:r>
      <w:r>
        <w:rPr>
          <w:b/>
          <w:bCs/>
        </w:rPr>
        <w:t xml:space="preserve">Resuelve</w:t>
      </w:r>
      <w:r>
        <w:t xml:space="preserve"> </w:t>
      </w:r>
      <w:r>
        <w:t xml:space="preserve">la fragmentación del mercado interior y la inseguridad jurídica documentada.</w:t>
      </w:r>
      <w:r>
        <w:t xml:space="preserve"> </w:t>
      </w:r>
      <w:r>
        <w:t xml:space="preserve">-</w:t>
      </w:r>
      <w:r>
        <w:t xml:space="preserve"> </w:t>
      </w:r>
      <w:r>
        <w:rPr>
          <w:b/>
          <w:bCs/>
        </w:rPr>
        <w:t xml:space="preserve">Protege</w:t>
      </w:r>
      <w:r>
        <w:t xml:space="preserve"> </w:t>
      </w:r>
      <w:r>
        <w:t xml:space="preserve">al agricultor frente a pérdidas por variabilidad agronómica y climática (</w:t>
      </w:r>
      <w:r>
        <w:t xml:space="preserve">“hot crops”</w:t>
      </w:r>
      <w:r>
        <w:t xml:space="preserve">).</w:t>
      </w:r>
      <w:r>
        <w:t xml:space="preserve"> </w:t>
      </w:r>
      <w:r>
        <w:t xml:space="preserve">-</w:t>
      </w:r>
      <w:r>
        <w:t xml:space="preserve"> </w:t>
      </w:r>
      <w:r>
        <w:rPr>
          <w:b/>
          <w:bCs/>
        </w:rPr>
        <w:t xml:space="preserve">Alinea</w:t>
      </w:r>
      <w:r>
        <w:t xml:space="preserve"> </w:t>
      </w:r>
      <w:r>
        <w:t xml:space="preserve">la UE con el bloque internacional de 1% (18 jurisdicciones verificadas) y refuerza su competitividad.</w:t>
      </w:r>
      <w:r>
        <w:t xml:space="preserve"> </w:t>
      </w:r>
      <w:r>
        <w:t xml:space="preserve">-</w:t>
      </w:r>
      <w:r>
        <w:t xml:space="preserve"> </w:t>
      </w:r>
      <w:r>
        <w:rPr>
          <w:b/>
          <w:bCs/>
        </w:rPr>
        <w:t xml:space="preserve">Mantiene</w:t>
      </w:r>
      <w:r>
        <w:t xml:space="preserve"> </w:t>
      </w:r>
      <w:r>
        <w:t xml:space="preserve">el control oficial mediante el método armonizado UE (Reg. Delegado 2017/1155) [31].</w:t>
      </w:r>
    </w:p>
    <w:p>
      <w:r>
        <w:pict>
          <v:rect style="width:0;height:1.5pt" o:hralign="center" o:hrstd="t" o:hr="t"/>
        </w:pict>
      </w:r>
    </w:p>
    <w:bookmarkEnd w:id="52"/>
    <w:bookmarkStart w:id="55" w:name="enmiendas-nucleares-03-10"/>
    <w:p>
      <w:pPr>
        <w:pStyle w:val="Heading2"/>
      </w:pPr>
      <w:r>
        <w:t xml:space="preserve">3.2 Enmiendas nucleares: 0,3% → 1,0%</w:t>
      </w:r>
    </w:p>
    <w:bookmarkStart w:id="53" w:name="pac-com2025-560"/>
    <w:p>
      <w:pPr>
        <w:pStyle w:val="Heading3"/>
      </w:pPr>
      <w:r>
        <w:t xml:space="preserve">PAC — COM(2025) 560</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Propuesta Comisión</w:t>
            </w:r>
          </w:p>
        </w:tc>
        <w:tc>
          <w:tcPr/>
          <w:p>
            <w:pPr>
              <w:pStyle w:val="Compact"/>
            </w:pPr>
            <w:r>
              <w:t xml:space="preserve">Enmienda propuesta</w:t>
            </w:r>
          </w:p>
        </w:tc>
      </w:tr>
      <w:tr>
        <w:tc>
          <w:tcPr/>
          <w:p>
            <w:pPr>
              <w:pStyle w:val="Compact"/>
            </w:pPr>
            <w:r>
              <w:rPr>
                <w:b/>
                <w:bCs/>
              </w:rPr>
              <w:t xml:space="preserve">Artículo 5</w:t>
            </w:r>
            <w:r>
              <w:t xml:space="preserve"> </w:t>
            </w:r>
            <w:r>
              <w:t xml:space="preserve">— Tipos de ayuda</w:t>
            </w:r>
            <w:r>
              <w:t xml:space="preserve"> </w:t>
            </w:r>
            <w:r>
              <w:rPr>
                <w:i/>
                <w:iCs/>
              </w:rPr>
              <w:t xml:space="preserve">(…)</w:t>
            </w:r>
            <w:r>
              <w:t xml:space="preserve"> </w:t>
            </w:r>
            <w:r>
              <w:t xml:space="preserve">La producción de variedades de cáñamo con un contenido de tetrahidrocannabinol (THC) superior al</w:t>
            </w:r>
            <w:r>
              <w:t xml:space="preserve"> </w:t>
            </w:r>
            <w:r>
              <w:rPr>
                <w:b/>
                <w:bCs/>
              </w:rPr>
              <w:t xml:space="preserve">0,3%</w:t>
            </w:r>
            <w:r>
              <w:t xml:space="preserve"> </w:t>
            </w:r>
            <w:r>
              <w:t xml:space="preserve">no podrá optar a las ayudas en virtud del presente Reglamento.</w:t>
            </w:r>
          </w:p>
        </w:tc>
        <w:tc>
          <w:tcPr/>
          <w:p>
            <w:pPr>
              <w:pStyle w:val="Compact"/>
            </w:pPr>
            <w:r>
              <w:rPr>
                <w:b/>
                <w:bCs/>
              </w:rPr>
              <w:t xml:space="preserve">Artículo 5</w:t>
            </w:r>
            <w:r>
              <w:t xml:space="preserve"> </w:t>
            </w:r>
            <w:r>
              <w:t xml:space="preserve">— Tipos de ayuda</w:t>
            </w:r>
            <w:r>
              <w:t xml:space="preserve"> </w:t>
            </w:r>
            <w:r>
              <w:rPr>
                <w:i/>
                <w:iCs/>
              </w:rPr>
              <w:t xml:space="preserve">(…)</w:t>
            </w:r>
            <w:r>
              <w:t xml:space="preserve"> </w:t>
            </w:r>
            <w:r>
              <w:t xml:space="preserve">La producción de variedades de cáñamo con un contenido de tetrahidrocannabinol (THC) superior al</w:t>
            </w:r>
            <w:r>
              <w:t xml:space="preserve"> </w:t>
            </w:r>
            <w:r>
              <w:rPr>
                <w:b/>
                <w:bCs/>
              </w:rPr>
              <w:t xml:space="preserve">1,0%</w:t>
            </w:r>
            <w:r>
              <w:t xml:space="preserve"> </w:t>
            </w:r>
            <w:r>
              <w:t xml:space="preserve">no podrá optar a las ayudas en virtud del presente Reglamento.</w:t>
            </w:r>
          </w:p>
        </w:tc>
      </w:tr>
    </w:tbl>
    <w:bookmarkEnd w:id="53"/>
    <w:bookmarkStart w:id="54" w:name="X68a6f5b82b3ab7399ecf85ffa2f14872662aa10"/>
    <w:p>
      <w:pPr>
        <w:pStyle w:val="Heading3"/>
      </w:pPr>
      <w:r>
        <w:t xml:space="preserve">OCM — COM(2025) 553 (modifica Reg. (UE) 1308/2013)</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Propuesta Comisión</w:t>
            </w:r>
          </w:p>
        </w:tc>
        <w:tc>
          <w:tcPr/>
          <w:p>
            <w:pPr>
              <w:pStyle w:val="Compact"/>
            </w:pPr>
            <w:r>
              <w:t xml:space="preserve">Enmienda propuesta</w:t>
            </w:r>
          </w:p>
        </w:tc>
      </w:tr>
      <w:tr>
        <w:tc>
          <w:tcPr/>
          <w:p>
            <w:pPr>
              <w:pStyle w:val="Compact"/>
            </w:pPr>
            <w:r>
              <w:rPr>
                <w:b/>
                <w:bCs/>
              </w:rPr>
              <w:t xml:space="preserve">Artículo 147 ter</w:t>
            </w:r>
            <w:r>
              <w:t xml:space="preserve"> </w:t>
            </w:r>
            <w:r>
              <w:t xml:space="preserve">— Producción de cáñamo. 1. Los siguientes productos podrán producirse en la Unión si proceden de una variedad de</w:t>
            </w:r>
            <w:r>
              <w:t xml:space="preserve"> </w:t>
            </w:r>
            <w:r>
              <w:rPr>
                <w:i/>
                <w:iCs/>
              </w:rPr>
              <w:t xml:space="preserve">Cannabis Sativa</w:t>
            </w:r>
            <w:r>
              <w:t xml:space="preserve"> </w:t>
            </w:r>
            <w:r>
              <w:t xml:space="preserve">L. registrada en el catálogo común cuyo contenido máximo de Δ9-tetrahidrocannabinol no supere el</w:t>
            </w:r>
            <w:r>
              <w:t xml:space="preserve"> </w:t>
            </w:r>
            <w:r>
              <w:rPr>
                <w:b/>
                <w:bCs/>
              </w:rPr>
              <w:t xml:space="preserve">0,3%</w:t>
            </w:r>
            <w:r>
              <w:t xml:space="preserve"> </w:t>
            </w:r>
            <w:r>
              <w:t xml:space="preserve">y cumplen las condiciones siguientes:</w:t>
            </w:r>
            <w:r>
              <w:t xml:space="preserve"> </w:t>
            </w:r>
            <w:r>
              <w:rPr>
                <w:i/>
                <w:iCs/>
              </w:rPr>
              <w:t xml:space="preserve">(…)</w:t>
            </w:r>
          </w:p>
        </w:tc>
        <w:tc>
          <w:tcPr/>
          <w:p>
            <w:pPr>
              <w:pStyle w:val="Compact"/>
            </w:pPr>
            <w:r>
              <w:rPr>
                <w:b/>
                <w:bCs/>
              </w:rPr>
              <w:t xml:space="preserve">Artículo 147 ter</w:t>
            </w:r>
            <w:r>
              <w:t xml:space="preserve"> </w:t>
            </w:r>
            <w:r>
              <w:t xml:space="preserve">— Producción de cáñamo. 1. Los siguientes productos podrán producirse en la Unión si proceden de una variedad de</w:t>
            </w:r>
            <w:r>
              <w:t xml:space="preserve"> </w:t>
            </w:r>
            <w:r>
              <w:rPr>
                <w:i/>
                <w:iCs/>
              </w:rPr>
              <w:t xml:space="preserve">Cannabis Sativa</w:t>
            </w:r>
            <w:r>
              <w:t xml:space="preserve"> </w:t>
            </w:r>
            <w:r>
              <w:t xml:space="preserve">L. registrada en el catálogo común cuyo contenido máximo de Δ9-tetrahidrocannabinol no supere el</w:t>
            </w:r>
            <w:r>
              <w:t xml:space="preserve"> </w:t>
            </w:r>
            <w:r>
              <w:rPr>
                <w:b/>
                <w:bCs/>
              </w:rPr>
              <w:t xml:space="preserve">1,0%</w:t>
            </w:r>
            <w:r>
              <w:t xml:space="preserve"> </w:t>
            </w:r>
            <w:r>
              <w:t xml:space="preserve">y cumplen las condiciones siguientes:</w:t>
            </w:r>
            <w:r>
              <w:t xml:space="preserve"> </w:t>
            </w:r>
            <w:r>
              <w:rPr>
                <w:i/>
                <w:iCs/>
              </w:rPr>
              <w:t xml:space="preserve">(…)</w:t>
            </w:r>
          </w:p>
        </w:tc>
      </w:tr>
      <w:tr>
        <w:tc>
          <w:tcPr/>
          <w:p>
            <w:pPr>
              <w:pStyle w:val="Compact"/>
            </w:pPr>
            <w:r>
              <w:rPr>
                <w:b/>
                <w:bCs/>
              </w:rPr>
              <w:t xml:space="preserve">Artículo 147 quater</w:t>
            </w:r>
            <w:r>
              <w:t xml:space="preserve"> </w:t>
            </w:r>
            <w:r>
              <w:t xml:space="preserve">— Comercialización de cáñamo. 1. Los productos siguientes únicamente podrán comercializarse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(c)</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p>
        </w:tc>
        <w:tc>
          <w:tcPr/>
          <w:p>
            <w:pPr>
              <w:pStyle w:val="Compact"/>
            </w:pPr>
            <w:r>
              <w:rPr>
                <w:b/>
                <w:bCs/>
              </w:rPr>
              <w:t xml:space="preserve">Artículo 147 quater</w:t>
            </w:r>
            <w:r>
              <w:t xml:space="preserve"> </w:t>
            </w:r>
            <w:r>
              <w:t xml:space="preserve">— Comercialización de cáñamo. 1. Los productos siguientes únicamente podrán comercializarse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(c)</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p>
        </w:tc>
      </w:tr>
      <w:tr>
        <w:tc>
          <w:tcPr/>
          <w:p>
            <w:pPr>
              <w:pStyle w:val="Compact"/>
            </w:pPr>
            <w:r>
              <w:rPr>
                <w:b/>
                <w:bCs/>
              </w:rPr>
              <w:t xml:space="preserve">Artículo 189</w:t>
            </w:r>
            <w:r>
              <w:t xml:space="preserve"> </w:t>
            </w:r>
            <w:r>
              <w:t xml:space="preserve">— Importaciones de cáñamo. 1. Los productos siguientes únicamente podrán importarse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(d)</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p>
        </w:tc>
        <w:tc>
          <w:tcPr/>
          <w:p>
            <w:pPr>
              <w:pStyle w:val="Compact"/>
            </w:pPr>
            <w:r>
              <w:rPr>
                <w:b/>
                <w:bCs/>
              </w:rPr>
              <w:t xml:space="preserve">Artículo 189</w:t>
            </w:r>
            <w:r>
              <w:t xml:space="preserve"> </w:t>
            </w:r>
            <w:r>
              <w:t xml:space="preserve">— Importaciones de cáñamo. 1. Los productos siguientes únicamente podrán importarse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(d)</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p>
        </w:tc>
      </w:tr>
    </w:tbl>
    <w:p>
      <w:pPr>
        <w:pStyle w:val="BlockText"/>
      </w:pPr>
      <w:r>
        <w:rPr>
          <w:b/>
          <w:bCs/>
        </w:rPr>
        <w:t xml:space="preserve">Nota sobre NC 1211 90 86</w:t>
      </w:r>
      <w:r>
        <w:t xml:space="preserve">: Este código (</w:t>
      </w:r>
      <w:r>
        <w:t xml:space="preserve">“las demás partes de la planta de cáñamo”</w:t>
      </w:r>
      <w:r>
        <w:t xml:space="preserve">) es la novedad clave de COM(2025) 553, incluyendo por primera vez</w:t>
      </w:r>
      <w:r>
        <w:t xml:space="preserve"> </w:t>
      </w:r>
      <w:r>
        <w:rPr>
          <w:b/>
          <w:bCs/>
        </w:rPr>
        <w:t xml:space="preserve">flores, sumidades y biomasa</w:t>
      </w:r>
      <w:r>
        <w:t xml:space="preserve"> </w:t>
      </w:r>
      <w:r>
        <w:t xml:space="preserve">en el marco regulatorio OCM. Es precisamente esta categoría la que requiere un umbral robusto (1%) para habilitar la cadena de valor de</w:t>
      </w:r>
      <w:r>
        <w:t xml:space="preserve"> </w:t>
      </w:r>
      <w:r>
        <w:rPr>
          <w:b/>
          <w:bCs/>
        </w:rPr>
        <w:t xml:space="preserve">extractos CBD</w:t>
      </w:r>
      <w:r>
        <w:t xml:space="preserve"> </w:t>
      </w:r>
      <w:r>
        <w:t xml:space="preserve">y productos derivados.</w:t>
      </w:r>
    </w:p>
    <w:p>
      <w:r>
        <w:pict>
          <v:rect style="width:0;height:1.5pt" o:hralign="center" o:hrstd="t" o:hr="t"/>
        </w:pict>
      </w:r>
    </w:p>
    <w:bookmarkEnd w:id="54"/>
    <w:bookmarkEnd w:id="55"/>
    <w:bookmarkStart w:id="56" w:name="cláusula-técnica-mínima-recomendada"/>
    <w:p>
      <w:pPr>
        <w:pStyle w:val="Heading2"/>
      </w:pPr>
      <w:r>
        <w:t xml:space="preserve">3.3 Cláusula técnica mínima recomendada</w:t>
      </w:r>
    </w:p>
    <w:p>
      <w:pPr>
        <w:pStyle w:val="FirstParagraph"/>
      </w:pPr>
      <w:r>
        <w:t xml:space="preserve">Para evitar litigios por interpretaciones divergentes, se recomienda añadir una remisión técnica en ambos instrumentos:</w:t>
      </w:r>
    </w:p>
    <w:p>
      <w:pPr>
        <w:pStyle w:val="BlockText"/>
      </w:pPr>
      <w:r>
        <w:rPr>
          <w:i/>
          <w:iCs/>
        </w:rPr>
        <w:t xml:space="preserve">«A efectos del presente Reglamento, el contenido de tetrahidrocannabinol (Δ9-THC) se determinará</w:t>
      </w:r>
      <w:r>
        <w:rPr>
          <w:i/>
          <w:iCs/>
        </w:rPr>
        <w:t xml:space="preserve"> </w:t>
      </w:r>
      <w:r>
        <w:rPr>
          <w:b/>
          <w:bCs/>
          <w:i/>
          <w:iCs/>
        </w:rPr>
        <w:t xml:space="preserve">en base a materia seca (peso constante)</w:t>
      </w:r>
      <w:r>
        <w:rPr>
          <w:i/>
          <w:iCs/>
        </w:rPr>
        <w:t xml:space="preserve"> </w:t>
      </w:r>
      <w:r>
        <w:rPr>
          <w:i/>
          <w:iCs/>
        </w:rPr>
        <w:t xml:space="preserve">y de conformidad con el</w:t>
      </w:r>
      <w:r>
        <w:rPr>
          <w:i/>
          <w:iCs/>
        </w:rPr>
        <w:t xml:space="preserve"> </w:t>
      </w:r>
      <w:r>
        <w:rPr>
          <w:b/>
          <w:bCs/>
          <w:i/>
          <w:iCs/>
        </w:rPr>
        <w:t xml:space="preserve">método de la Unión</w:t>
      </w:r>
      <w:r>
        <w:rPr>
          <w:i/>
          <w:iCs/>
        </w:rPr>
        <w:t xml:space="preserve"> </w:t>
      </w:r>
      <w:r>
        <w:rPr>
          <w:i/>
          <w:iCs/>
        </w:rPr>
        <w:t xml:space="preserve">establecido en el anexo III del Reglamento Delegado (UE) 2017/1155 [31], o en el acto que lo sustituya.»</w:t>
      </w:r>
    </w:p>
    <w:p>
      <w:r>
        <w:pict>
          <v:rect style="width:0;height:1.5pt" o:hralign="center" o:hrstd="t" o:hr="t"/>
        </w:pict>
      </w:r>
    </w:p>
    <w:bookmarkEnd w:id="56"/>
    <w:bookmarkStart w:id="57" w:name="conclusiones"/>
    <w:p>
      <w:pPr>
        <w:pStyle w:val="Heading2"/>
      </w:pPr>
      <w:r>
        <w:t xml:space="preserve">3.4 Conclusiones</w:t>
      </w:r>
    </w:p>
    <w:p>
      <w:pPr>
        <w:pStyle w:val="FirstParagraph"/>
      </w:pPr>
      <w:r>
        <w:t xml:space="preserve">Elevar el umbral a</w:t>
      </w:r>
      <w:r>
        <w:t xml:space="preserve"> </w:t>
      </w:r>
      <w:r>
        <w:rPr>
          <w:b/>
          <w:bCs/>
        </w:rPr>
        <w:t xml:space="preserve">1,0% THC</w:t>
      </w:r>
      <w:r>
        <w:t xml:space="preserve"> </w:t>
      </w:r>
      <w:r>
        <w:t xml:space="preserve">no es una petición maximalista: es el cierre coherente del razonamiento que el propio Parlamento Europeo y el sector han iniciado. Los mismos argumentos que justifican 0,5% conducen lógicamente al 1%, respaldado por:</w:t>
      </w:r>
    </w:p>
    <w:p>
      <w:pPr>
        <w:pStyle w:val="BodyText"/>
      </w:pPr>
      <w:r>
        <w:rPr>
          <w:b/>
          <w:bCs/>
        </w:rPr>
        <w:t xml:space="preserve">Fundamento histórico</w:t>
      </w:r>
      <w:r>
        <w:t xml:space="preserve">: El umbral del 0,3% fue adoptado</w:t>
      </w:r>
      <w:r>
        <w:t xml:space="preserve"> </w:t>
      </w:r>
      <w:r>
        <w:rPr>
          <w:i/>
          <w:iCs/>
        </w:rPr>
        <w:t xml:space="preserve">“arbitrarily”</w:t>
      </w:r>
      <w:r>
        <w:t xml:space="preserve"> </w:t>
      </w:r>
      <w:r>
        <w:t xml:space="preserve">para taxonomía en 1976, no para regulación industrial. Su propio autor, el Dr. Ernest Small, reconoce que</w:t>
      </w:r>
      <w:r>
        <w:t xml:space="preserve"> </w:t>
      </w:r>
      <w:r>
        <w:rPr>
          <w:i/>
          <w:iCs/>
        </w:rPr>
        <w:t xml:space="preserve">“1% THC would be a more suitable criterion”</w:t>
      </w:r>
      <w:r>
        <w:t xml:space="preserve">.</w:t>
      </w:r>
    </w:p>
    <w:p>
      <w:pPr>
        <w:pStyle w:val="BodyText"/>
      </w:pPr>
      <w:r>
        <w:rPr>
          <w:b/>
          <w:bCs/>
        </w:rPr>
        <w:t xml:space="preserve">Fundamento agronómico</w:t>
      </w:r>
      <w:r>
        <w:t xml:space="preserve">: Las variedades de mayor rendimiento —Carmagnola (+87%), germoplasma asiático (×4-7)— expresan THC en el rango 0,4-0,9%. Un umbral del 0,3% excluye sistemáticamente el mejor germoplasma disponible.</w:t>
      </w:r>
    </w:p>
    <w:p>
      <w:pPr>
        <w:pStyle w:val="BodyText"/>
      </w:pPr>
      <w:r>
        <w:rPr>
          <w:b/>
          <w:bCs/>
        </w:rPr>
        <w:t xml:space="preserve">Fundamento internacional</w:t>
      </w:r>
      <w:r>
        <w:t xml:space="preserve">: Más de 18 jurisdicciones operan con el 1% THC sin incidentes de seguridad pública. Europa, con el 0,3%, se sitúa en desventaja competitiva estructural.</w:t>
      </w:r>
    </w:p>
    <w:p>
      <w:pPr>
        <w:pStyle w:val="BodyText"/>
      </w:pPr>
      <w:r>
        <w:rPr>
          <w:b/>
          <w:bCs/>
        </w:rPr>
        <w:t xml:space="preserve">Fundamento de seguridad</w:t>
      </w:r>
      <w:r>
        <w:t xml:space="preserve">: La evidencia farmacocinética (márgenes ×8-17 vs umbral psicoactivo) y los ensayos clínicos directos confirman que el cáñamo al 1% THC</w:t>
      </w:r>
      <w:r>
        <w:t xml:space="preserve"> </w:t>
      </w:r>
      <w:r>
        <w:rPr>
          <w:b/>
          <w:bCs/>
        </w:rPr>
        <w:t xml:space="preserve">no produce efectos psicoactivos</w:t>
      </w:r>
      <w:r>
        <w:t xml:space="preserve">.</w:t>
      </w:r>
    </w:p>
    <w:p>
      <w:pPr>
        <w:pStyle w:val="BodyText"/>
      </w:pPr>
      <w:r>
        <w:t xml:space="preserve">La reforma propuesta permitirá que el sector del cáñamo contribuya plenamente a los objetivos climáticos y de competitividad de la UE, con un marco regulatorio</w:t>
      </w:r>
      <w:r>
        <w:t xml:space="preserve"> </w:t>
      </w:r>
      <w:r>
        <w:rPr>
          <w:b/>
          <w:bCs/>
        </w:rPr>
        <w:t xml:space="preserve">armonizado, operable y defendible</w:t>
      </w:r>
      <w:r>
        <w:t xml:space="preserve">.</w:t>
      </w:r>
    </w:p>
    <w:p>
      <w:r>
        <w:pict>
          <v:rect style="width:0;height:1.5pt" o:hralign="center" o:hrstd="t" o:hr="t"/>
        </w:pict>
      </w:r>
    </w:p>
    <w:p>
      <w:r>
        <w:pict>
          <v:rect style="width:0;height:1.5pt" o:hralign="center" o:hrstd="t" o:hr="t"/>
        </w:pict>
      </w:r>
    </w:p>
    <w:bookmarkEnd w:id="57"/>
    <w:bookmarkEnd w:id="58"/>
    <w:bookmarkStart w:id="71" w:name="bibliografía"/>
    <w:p>
      <w:pPr>
        <w:pStyle w:val="Heading1"/>
      </w:pPr>
      <w:r>
        <w:t xml:space="preserve">BIBLIOGRAFÍA</w:t>
      </w:r>
    </w:p>
    <w:bookmarkStart w:id="59" w:name="referencias-científicas"/>
    <w:p>
      <w:pPr>
        <w:pStyle w:val="Heading2"/>
      </w:pPr>
      <w:r>
        <w:t xml:space="preserve">Referencias Científicas</w:t>
      </w:r>
    </w:p>
    <w:p>
      <w:pPr>
        <w:numPr>
          <w:ilvl w:val="0"/>
          <w:numId w:val="1008"/>
        </w:numPr>
      </w:pPr>
      <w:r>
        <w:t xml:space="preserve">Small E, Cronquist A. A practical and natural taxonomy for Cannabis.</w:t>
      </w:r>
      <w:r>
        <w:t xml:space="preserve"> </w:t>
      </w:r>
      <w:r>
        <w:rPr>
          <w:i/>
          <w:iCs/>
        </w:rPr>
        <w:t xml:space="preserve">Taxon</w:t>
      </w:r>
      <w:r>
        <w:t xml:space="preserve">. 1976;25(4):405-435. DOI: https://www.jstor.org/stable/1220524</w:t>
      </w:r>
    </w:p>
    <w:p>
      <w:pPr>
        <w:numPr>
          <w:ilvl w:val="0"/>
          <w:numId w:val="1008"/>
        </w:numPr>
      </w:pPr>
      <w:r>
        <w:t xml:space="preserve">Small E. Statement on Regulated Maximum THC Levels in Industrial Hemp Inflorescence. Canadian Hemp Trade Association. 18 June 2021.</w:t>
      </w:r>
    </w:p>
    <w:p>
      <w:pPr>
        <w:numPr>
          <w:ilvl w:val="0"/>
          <w:numId w:val="1008"/>
        </w:numPr>
      </w:pPr>
      <w:r>
        <w:t xml:space="preserve">Small E, Beckstead HD, Chan A. The evolution of cannabinoid phenotypes in Cannabis.</w:t>
      </w:r>
      <w:r>
        <w:t xml:space="preserve"> </w:t>
      </w:r>
      <w:r>
        <w:rPr>
          <w:i/>
          <w:iCs/>
        </w:rPr>
        <w:t xml:space="preserve">Economic Botany</w:t>
      </w:r>
      <w:r>
        <w:t xml:space="preserve">. 1975;29(2):219-232.</w:t>
      </w:r>
    </w:p>
    <w:p>
      <w:pPr>
        <w:numPr>
          <w:ilvl w:val="0"/>
          <w:numId w:val="1008"/>
        </w:numPr>
      </w:pPr>
      <w:r>
        <w:t xml:space="preserve">EFSA CONTAM Panel (EFSA Panel on Contaminants in the Food Chain). Scientific Opinion on the risks for human health related to the presence of tetrahydrocannabinol (THC) in milk and other food of animal origin.</w:t>
      </w:r>
      <w:r>
        <w:t xml:space="preserve"> </w:t>
      </w:r>
      <w:r>
        <w:rPr>
          <w:i/>
          <w:iCs/>
        </w:rPr>
        <w:t xml:space="preserve">EFSA Journal</w:t>
      </w:r>
      <w:r>
        <w:t xml:space="preserve">. 2015;13(6):4141. DOI: 10.2903/j.efsa.2015.4141</w:t>
      </w:r>
    </w:p>
    <w:p>
      <w:pPr>
        <w:numPr>
          <w:ilvl w:val="0"/>
          <w:numId w:val="1008"/>
        </w:numPr>
      </w:pPr>
      <w:r>
        <w:t xml:space="preserve">Halker ET, Angima SD, Rongione BL, et al. Evaluating Chinese fiber hemp varieties and planting dates in North Carolina.</w:t>
      </w:r>
      <w:r>
        <w:t xml:space="preserve"> </w:t>
      </w:r>
      <w:r>
        <w:rPr>
          <w:i/>
          <w:iCs/>
        </w:rPr>
        <w:t xml:space="preserve">Agrosystems, Geosciences &amp; Environment</w:t>
      </w:r>
      <w:r>
        <w:t xml:space="preserve">. 2024;7:e20569. DOI: 10.1002/agg2.20569</w:t>
      </w:r>
    </w:p>
    <w:p>
      <w:pPr>
        <w:numPr>
          <w:ilvl w:val="0"/>
          <w:numId w:val="1008"/>
        </w:numPr>
      </w:pPr>
      <w:r>
        <w:t xml:space="preserve">Rahemi A, Fatahi R, Ebadi A, et al. Morphological diversity and oil content of Cannabis sativa L. accessions.</w:t>
      </w:r>
      <w:r>
        <w:t xml:space="preserve"> </w:t>
      </w:r>
      <w:r>
        <w:rPr>
          <w:i/>
          <w:iCs/>
        </w:rPr>
        <w:t xml:space="preserve">Agronomy</w:t>
      </w:r>
      <w:r>
        <w:t xml:space="preserve">. 2021;11(11):2321. DOI: 10.3390/agronomy11112321</w:t>
      </w:r>
    </w:p>
    <w:p>
      <w:pPr>
        <w:numPr>
          <w:ilvl w:val="0"/>
          <w:numId w:val="1008"/>
        </w:numPr>
      </w:pPr>
      <w:r>
        <w:t xml:space="preserve">Bócsa I. Breeding and seed production of monoecious hemp varieties (Cannabis sativa L.).</w:t>
      </w:r>
      <w:r>
        <w:t xml:space="preserve"> </w:t>
      </w:r>
      <w:r>
        <w:rPr>
          <w:i/>
          <w:iCs/>
        </w:rPr>
        <w:t xml:space="preserve">Journal of the International Hemp Association</w:t>
      </w:r>
      <w:r>
        <w:t xml:space="preserve">. 1994;2(2):78-81.</w:t>
      </w:r>
    </w:p>
    <w:p>
      <w:pPr>
        <w:numPr>
          <w:ilvl w:val="0"/>
          <w:numId w:val="1008"/>
        </w:numPr>
      </w:pPr>
      <w:r>
        <w:t xml:space="preserve">Clarke RC, Merlin MD. Cannabis evolution and ethnobotany.</w:t>
      </w:r>
      <w:r>
        <w:t xml:space="preserve"> </w:t>
      </w:r>
      <w:r>
        <w:rPr>
          <w:i/>
          <w:iCs/>
        </w:rPr>
        <w:t xml:space="preserve">Critical Reviews in Plant Sciences</w:t>
      </w:r>
      <w:r>
        <w:t xml:space="preserve">. 2016;35:293-327. DOI: 10.1080/07352689.2016.1273010</w:t>
      </w:r>
    </w:p>
    <w:p>
      <w:pPr>
        <w:numPr>
          <w:ilvl w:val="0"/>
          <w:numId w:val="1008"/>
        </w:numPr>
      </w:pPr>
      <w:r>
        <w:t xml:space="preserve">Zager JJ, Lange I, Srividya N, et al. Gene networks underlying cannabinoid and terpenoid accumulation in cannabis.</w:t>
      </w:r>
      <w:r>
        <w:t xml:space="preserve"> </w:t>
      </w:r>
      <w:r>
        <w:rPr>
          <w:i/>
          <w:iCs/>
        </w:rPr>
        <w:t xml:space="preserve">Plant Physiology</w:t>
      </w:r>
      <w:r>
        <w:t xml:space="preserve">. 2019;180(4):1877-1897. DOI: 10.1104/pp.18.01506</w:t>
      </w:r>
    </w:p>
    <w:p>
      <w:pPr>
        <w:numPr>
          <w:ilvl w:val="0"/>
          <w:numId w:val="1008"/>
        </w:numPr>
      </w:pPr>
      <w:r>
        <w:t xml:space="preserve">Stack GM, Toth JA, Carlson CH, et al. Season-long characterization of high-cannabinoid hemp (Cannabis sativa L.) reveals viable seed production and key physiological traits.</w:t>
      </w:r>
      <w:r>
        <w:t xml:space="preserve"> </w:t>
      </w:r>
      <w:r>
        <w:rPr>
          <w:i/>
          <w:iCs/>
        </w:rPr>
        <w:t xml:space="preserve">Horticulture Research</w:t>
      </w:r>
      <w:r>
        <w:t xml:space="preserve">. 2023;10(11):uhad188. DOI: 10.1093/hr/uhad188</w:t>
      </w:r>
    </w:p>
    <w:p>
      <w:pPr>
        <w:numPr>
          <w:ilvl w:val="0"/>
          <w:numId w:val="1008"/>
        </w:numPr>
      </w:pPr>
      <w:r>
        <w:t xml:space="preserve">Huestis MA, Henningfield JE, Cone EJ. Blood cannabinoids. I. Absorption of THC and formation of 11-OH-THC and THCCOOH during and after smoking marijuana.</w:t>
      </w:r>
      <w:r>
        <w:t xml:space="preserve"> </w:t>
      </w:r>
      <w:r>
        <w:rPr>
          <w:i/>
          <w:iCs/>
        </w:rPr>
        <w:t xml:space="preserve">Journal of Analytical Toxicology</w:t>
      </w:r>
      <w:r>
        <w:t xml:space="preserve">. 1992;16(5):276-282. PMID: 1338215</w:t>
      </w:r>
    </w:p>
    <w:p>
      <w:pPr>
        <w:numPr>
          <w:ilvl w:val="0"/>
          <w:numId w:val="1008"/>
        </w:numPr>
      </w:pPr>
      <w:r>
        <w:t xml:space="preserve">Huestis MA. Human cannabinoid pharmacokinetics.</w:t>
      </w:r>
      <w:r>
        <w:t xml:space="preserve"> </w:t>
      </w:r>
      <w:r>
        <w:rPr>
          <w:i/>
          <w:iCs/>
        </w:rPr>
        <w:t xml:space="preserve">Chemistry &amp; Biodiversity</w:t>
      </w:r>
      <w:r>
        <w:t xml:space="preserve">. 2007;4(8):1770-1804. PMID: 17712819</w:t>
      </w:r>
    </w:p>
    <w:p>
      <w:pPr>
        <w:numPr>
          <w:ilvl w:val="0"/>
          <w:numId w:val="1008"/>
        </w:numPr>
      </w:pPr>
      <w:r>
        <w:t xml:space="preserve">Sheehan TJ, Hecksel CW, Marquez SS, et al. Quantitative analysis of cannabinoids in Cannabis smoke condensate using liquid chromatography-electrospray ionization mass spectrometry.</w:t>
      </w:r>
      <w:r>
        <w:t xml:space="preserve"> </w:t>
      </w:r>
      <w:r>
        <w:rPr>
          <w:i/>
          <w:iCs/>
        </w:rPr>
        <w:t xml:space="preserve">Journal of Analytical Toxicology</w:t>
      </w:r>
      <w:r>
        <w:t xml:space="preserve">. 2019;43(4):307-313. PMID: 31304445</w:t>
      </w:r>
    </w:p>
    <w:p>
      <w:pPr>
        <w:numPr>
          <w:ilvl w:val="0"/>
          <w:numId w:val="1008"/>
        </w:numPr>
      </w:pPr>
      <w:r>
        <w:t xml:space="preserve">Naef M, Russmann S, Petersen-Braun M, Brenneisen R. Development and pharmacokinetic characterization of pulmonal and intravenous delta-9-tetrahydrocannabinol (THC) in humans.</w:t>
      </w:r>
      <w:r>
        <w:t xml:space="preserve"> </w:t>
      </w:r>
      <w:r>
        <w:rPr>
          <w:i/>
          <w:iCs/>
        </w:rPr>
        <w:t xml:space="preserve">Journal of Pharmaceutical Sciences</w:t>
      </w:r>
      <w:r>
        <w:t xml:space="preserve">. 2004;93(5):1176-1184. PMID: 15067694</w:t>
      </w:r>
    </w:p>
    <w:p>
      <w:pPr>
        <w:numPr>
          <w:ilvl w:val="0"/>
          <w:numId w:val="1008"/>
        </w:numPr>
      </w:pPr>
      <w:r>
        <w:t xml:space="preserve">Wall ME, Sadler BM, Brine D, Taylor H, Perez-Reyes M. Metabolism, disposition, and kinetics of delta-9-tetrahydrocannabinol in men and women.</w:t>
      </w:r>
      <w:r>
        <w:t xml:space="preserve"> </w:t>
      </w:r>
      <w:r>
        <w:rPr>
          <w:i/>
          <w:iCs/>
        </w:rPr>
        <w:t xml:space="preserve">Clinical Pharmacology &amp; Therapeutics</w:t>
      </w:r>
      <w:r>
        <w:t xml:space="preserve">. 1983;34(3):352-363. PMID: 6309462</w:t>
      </w:r>
    </w:p>
    <w:p>
      <w:pPr>
        <w:numPr>
          <w:ilvl w:val="0"/>
          <w:numId w:val="1008"/>
        </w:numPr>
      </w:pPr>
      <w:r>
        <w:t xml:space="preserve">McGilveray IJ. Pharmacokinetics of cannabinoids.</w:t>
      </w:r>
      <w:r>
        <w:t xml:space="preserve"> </w:t>
      </w:r>
      <w:r>
        <w:rPr>
          <w:i/>
          <w:iCs/>
        </w:rPr>
        <w:t xml:space="preserve">Pain Research and Management</w:t>
      </w:r>
      <w:r>
        <w:t xml:space="preserve">. 2005;10 Suppl A:15A-22A. PMID: 16237477</w:t>
      </w:r>
    </w:p>
    <w:p>
      <w:pPr>
        <w:numPr>
          <w:ilvl w:val="0"/>
          <w:numId w:val="1008"/>
        </w:numPr>
      </w:pPr>
      <w:r>
        <w:t xml:space="preserve">Elzinga S, Fischedick J, Podkolinski R, Raber JC. Cannabinoids and terpenes as chemotaxonomic markers in cannabis.</w:t>
      </w:r>
      <w:r>
        <w:t xml:space="preserve"> </w:t>
      </w:r>
      <w:r>
        <w:rPr>
          <w:i/>
          <w:iCs/>
        </w:rPr>
        <w:t xml:space="preserve">Natural Products Chemistry &amp; Research</w:t>
      </w:r>
      <w:r>
        <w:t xml:space="preserve">. 2015;3:163. DOI: 10.4172/2329-6836.1000163</w:t>
      </w:r>
    </w:p>
    <w:p>
      <w:pPr>
        <w:numPr>
          <w:ilvl w:val="0"/>
          <w:numId w:val="1008"/>
        </w:numPr>
      </w:pPr>
      <w:r>
        <w:t xml:space="preserve">Brym ZT, Panter KL, Gómez-Martínez C, et al. Molecular identification of Cannabis cultivars.</w:t>
      </w:r>
      <w:r>
        <w:t xml:space="preserve"> </w:t>
      </w:r>
      <w:r>
        <w:rPr>
          <w:i/>
          <w:iCs/>
        </w:rPr>
        <w:t xml:space="preserve">Genetics</w:t>
      </w:r>
      <w:r>
        <w:t xml:space="preserve">. 2020;216(2):435-447. DOI: 10.1534/genetics.120.303511</w:t>
      </w:r>
    </w:p>
    <w:p>
      <w:pPr>
        <w:numPr>
          <w:ilvl w:val="0"/>
          <w:numId w:val="1008"/>
        </w:numPr>
      </w:pPr>
      <w:r>
        <w:t xml:space="preserve">Grotenhermen F, Karus M. Industrial hemp contains enough THC to be detected by sensitive drug tests.</w:t>
      </w:r>
      <w:r>
        <w:t xml:space="preserve"> </w:t>
      </w:r>
      <w:r>
        <w:rPr>
          <w:i/>
          <w:iCs/>
        </w:rPr>
        <w:t xml:space="preserve">Journal of the International Hemp Association</w:t>
      </w:r>
      <w:r>
        <w:t xml:space="preserve">. 1998;5(2):96-101.</w:t>
      </w:r>
    </w:p>
    <w:p>
      <w:pPr>
        <w:numPr>
          <w:ilvl w:val="0"/>
          <w:numId w:val="1008"/>
        </w:numPr>
      </w:pPr>
      <w:r>
        <w:t xml:space="preserve">Perez-Reyes M, Timmons MC, Lipton MA, et al. Intravenous injection in man of Δ9-tetrahydrocannabinol and 11-OH-Δ9-tetrahydrocannabinol.</w:t>
      </w:r>
      <w:r>
        <w:t xml:space="preserve"> </w:t>
      </w:r>
      <w:r>
        <w:rPr>
          <w:i/>
          <w:iCs/>
        </w:rPr>
        <w:t xml:space="preserve">Science</w:t>
      </w:r>
      <w:r>
        <w:t xml:space="preserve">. 1972;177(4046):633-635. PMID: 4625893</w:t>
      </w:r>
    </w:p>
    <w:p>
      <w:pPr>
        <w:numPr>
          <w:ilvl w:val="0"/>
          <w:numId w:val="1008"/>
        </w:numPr>
      </w:pPr>
      <w:r>
        <w:t xml:space="preserve">Arkell TR, Vinckenbosch F, Kevin RC, et al. Effect of Cannabidiol and Δ9-Tetrahydrocannabinol on Driving Performance: A Randomized Clinical Trial.</w:t>
      </w:r>
      <w:r>
        <w:t xml:space="preserve"> </w:t>
      </w:r>
      <w:r>
        <w:rPr>
          <w:i/>
          <w:iCs/>
        </w:rPr>
        <w:t xml:space="preserve">JAMA</w:t>
      </w:r>
      <w:r>
        <w:t xml:space="preserve">. 2020;324(21):2177-2186. DOI: 10.1001/jama.2020.21218. PMID: 33258890</w:t>
      </w:r>
    </w:p>
    <w:p>
      <w:pPr>
        <w:numPr>
          <w:ilvl w:val="0"/>
          <w:numId w:val="1008"/>
        </w:numPr>
      </w:pPr>
      <w:r>
        <w:t xml:space="preserve">Egloff L, Frei P, Gerlach K, et al. Effect of vaporizing cannabis rich in cannabidiol on cannabinoid levels in blood and on driving ability – a randomized clinical trial.</w:t>
      </w:r>
      <w:r>
        <w:t xml:space="preserve"> </w:t>
      </w:r>
      <w:r>
        <w:rPr>
          <w:i/>
          <w:iCs/>
        </w:rPr>
        <w:t xml:space="preserve">International Journal of Legal Medicine</w:t>
      </w:r>
      <w:r>
        <w:t xml:space="preserve">. 2023;137(6):1713-1723. DOI: 10.1007/s00414-023-03076-0. PMID: 37626214</w:t>
      </w:r>
    </w:p>
    <w:p>
      <w:pPr>
        <w:numPr>
          <w:ilvl w:val="0"/>
          <w:numId w:val="1008"/>
        </w:numPr>
      </w:pPr>
      <w:r>
        <w:t xml:space="preserve">Spindle TR, Cone EJ, Goffi E, et al. Pharmacodynamic effects of vaporized and oral cannabidiol (CBD) and vaporized CBD-dominant cannabis in infrequent cannabis users.</w:t>
      </w:r>
      <w:r>
        <w:t xml:space="preserve"> </w:t>
      </w:r>
      <w:r>
        <w:rPr>
          <w:i/>
          <w:iCs/>
        </w:rPr>
        <w:t xml:space="preserve">Drug and Alcohol Dependence</w:t>
      </w:r>
      <w:r>
        <w:t xml:space="preserve">. 2020;211:107937. DOI: 10.1016/j.drugalcdep.2020.107937. PMID: 32247649</w:t>
      </w:r>
    </w:p>
    <w:p>
      <w:pPr>
        <w:numPr>
          <w:ilvl w:val="0"/>
          <w:numId w:val="1008"/>
        </w:numPr>
      </w:pPr>
      <w:r>
        <w:t xml:space="preserve">Grotenhermen F. Pharmacokinetics and Pharmacodynamics of Cannabinoids.</w:t>
      </w:r>
      <w:r>
        <w:t xml:space="preserve"> </w:t>
      </w:r>
      <w:r>
        <w:rPr>
          <w:i/>
          <w:iCs/>
        </w:rPr>
        <w:t xml:space="preserve">Clinical Pharmacokinetics</w:t>
      </w:r>
      <w:r>
        <w:t xml:space="preserve">. 2003;42(4):327-360. DOI: 10.2165/00003088-200342040-00003</w:t>
      </w:r>
    </w:p>
    <w:p>
      <w:pPr>
        <w:numPr>
          <w:ilvl w:val="0"/>
          <w:numId w:val="1008"/>
        </w:numPr>
      </w:pPr>
      <w:r>
        <w:t xml:space="preserve">Zuardi AW, Shirakawa I, Finkelfarb E, Karniol IG. Action of cannabidiol on the anxiety and other effects produced by delta 9-THC in normal subjects.</w:t>
      </w:r>
      <w:r>
        <w:t xml:space="preserve"> </w:t>
      </w:r>
      <w:r>
        <w:rPr>
          <w:i/>
          <w:iCs/>
        </w:rPr>
        <w:t xml:space="preserve">Psychopharmacology</w:t>
      </w:r>
      <w:r>
        <w:t xml:space="preserve">. 1982;76(3):245-250. PMID: 6285406</w:t>
      </w:r>
    </w:p>
    <w:p>
      <w:pPr>
        <w:numPr>
          <w:ilvl w:val="0"/>
          <w:numId w:val="1008"/>
        </w:numPr>
      </w:pPr>
      <w:r>
        <w:t xml:space="preserve">Dalton WS, Martz R, Lemberger L, et al. Influence of cannabidiol on delta-9-tetrahydrocannabinol effects.</w:t>
      </w:r>
      <w:r>
        <w:t xml:space="preserve"> </w:t>
      </w:r>
      <w:r>
        <w:rPr>
          <w:i/>
          <w:iCs/>
        </w:rPr>
        <w:t xml:space="preserve">Clinical Pharmacology &amp; Therapeutics</w:t>
      </w:r>
      <w:r>
        <w:t xml:space="preserve">. 1976;19(3):300-309. PMID: 770048</w:t>
      </w:r>
    </w:p>
    <w:p>
      <w:pPr>
        <w:numPr>
          <w:ilvl w:val="0"/>
          <w:numId w:val="1008"/>
        </w:numPr>
      </w:pPr>
      <w:r>
        <w:t xml:space="preserve">Freeman AM, Petrilli K, Lees R, et al. How does cannabidiol (CBD) influence the acute effects of delta-9-tetrahydrocannabinol (THC) in humans? A systematic review.</w:t>
      </w:r>
      <w:r>
        <w:t xml:space="preserve"> </w:t>
      </w:r>
      <w:r>
        <w:rPr>
          <w:i/>
          <w:iCs/>
        </w:rPr>
        <w:t xml:space="preserve">Neuroscience &amp; Biobehavioral Reviews</w:t>
      </w:r>
      <w:r>
        <w:t xml:space="preserve">. 2019;107:696-712. DOI: 10.1016/j.neubiorev.2019.09.036. PMID: 31715240</w:t>
      </w:r>
    </w:p>
    <w:bookmarkEnd w:id="59"/>
    <w:bookmarkStart w:id="60" w:name="Xc2c9b59528f8b0fc79a33e74373825f8c7b8404"/>
    <w:p>
      <w:pPr>
        <w:pStyle w:val="Heading2"/>
      </w:pPr>
      <w:r>
        <w:t xml:space="preserve">Referencias Regulatorias de la Unión Europea</w:t>
      </w:r>
    </w:p>
    <w:p>
      <w:pPr>
        <w:numPr>
          <w:ilvl w:val="0"/>
          <w:numId w:val="1009"/>
        </w:numPr>
      </w:pPr>
      <w:r>
        <w:t xml:space="preserve">Comisión Europea. Propuesta de Reglamento del Parlamento Europeo y del Consejo por el que se establecen las condiciones para la ejecución de la ayuda de la Unión a la política agrícola común para el período 2028-2034. COM(2025) 560 final. Bruselas; 2025.</w:t>
      </w:r>
    </w:p>
    <w:p>
      <w:pPr>
        <w:numPr>
          <w:ilvl w:val="0"/>
          <w:numId w:val="1009"/>
        </w:numPr>
      </w:pPr>
      <w:r>
        <w:t xml:space="preserve">Comisión Europea. Propuesta de Reglamento del Parlamento Europeo y del Consejo por el que se modifica el Reglamento (UE) n.º 1308/2013 en lo que respecta al programa de distribución de frutas, hortalizas y leche en los centros escolares, las intervenciones sectoriales, la creación de un sector de las proteaginosas, los requisitos para el cáñamo, la posibilidad de establecer normas de comercialización para el queso, las proteaginosas y la carne, la aplicación de derechos de importación adicionales, las normas sobre la disponibilidad de suministros en tiempos de emergencia y crisis graves y las garantías. COM(2025) 553 final. Bruselas; 2025.</w:t>
      </w:r>
    </w:p>
    <w:p>
      <w:pPr>
        <w:numPr>
          <w:ilvl w:val="0"/>
          <w:numId w:val="1009"/>
        </w:numPr>
      </w:pPr>
      <w:r>
        <w:t xml:space="preserve">Parlamento Europeo. Resolución del Parlamento Europeo, de 10 de septiembre de 2025, sobre el futuro de la agricultura y política agrícola común después de 2027. P10_TA(2025)0189. Estrasburgo; 2025.</w:t>
      </w:r>
    </w:p>
    <w:p>
      <w:pPr>
        <w:numPr>
          <w:ilvl w:val="0"/>
          <w:numId w:val="1009"/>
        </w:numPr>
      </w:pPr>
      <w:r>
        <w:t xml:space="preserve">Reglamento Delegado (UE) 2017/1155 de la Comisión de 15 de junio de 2017 por el que se completa el Reglamento (UE) n.º 1308/2013 del Parlamento Europeo y del Consejo en lo que respecta al método de determinación del contenido de delta-9-tetrahidrocannabinol de las variedades de cáñamo.</w:t>
      </w:r>
      <w:r>
        <w:t xml:space="preserve"> </w:t>
      </w:r>
      <w:r>
        <w:rPr>
          <w:i/>
          <w:iCs/>
        </w:rPr>
        <w:t xml:space="preserve">Diario Oficial de la Unión Europea</w:t>
      </w:r>
      <w:r>
        <w:t xml:space="preserve">. 2017;L 167:24-26.</w:t>
      </w:r>
    </w:p>
    <w:p>
      <w:pPr>
        <w:numPr>
          <w:ilvl w:val="0"/>
          <w:numId w:val="1009"/>
        </w:numPr>
      </w:pPr>
      <w:r>
        <w:t xml:space="preserve">Reglamento (UE) n.º 1308/2013 del Parlamento Europeo y del Consejo de 17 de diciembre de 2013 por el que se crea la organización común de mercados de los productos agrarios.</w:t>
      </w:r>
      <w:r>
        <w:t xml:space="preserve"> </w:t>
      </w:r>
      <w:r>
        <w:rPr>
          <w:i/>
          <w:iCs/>
        </w:rPr>
        <w:t xml:space="preserve">Diario Oficial de la Unión Europea</w:t>
      </w:r>
      <w:r>
        <w:t xml:space="preserve">. 2013;L 347:671-854.</w:t>
      </w:r>
    </w:p>
    <w:p>
      <w:pPr>
        <w:numPr>
          <w:ilvl w:val="0"/>
          <w:numId w:val="1009"/>
        </w:numPr>
      </w:pPr>
      <w:r>
        <w:t xml:space="preserve">Reglamento (UE) 2021/2115 del Parlamento Europeo y del Consejo de 2 de diciembre de 2021 por el que se establecen normas en relación con la ayuda a los planes estratégicos que deben elaborar los Estados miembros en el marco de la política agrícola común.</w:t>
      </w:r>
      <w:r>
        <w:t xml:space="preserve"> </w:t>
      </w:r>
      <w:r>
        <w:rPr>
          <w:i/>
          <w:iCs/>
        </w:rPr>
        <w:t xml:space="preserve">Diario Oficial de la Unión Europea</w:t>
      </w:r>
      <w:r>
        <w:t xml:space="preserve">. 2021;L 435:1-186.</w:t>
      </w:r>
    </w:p>
    <w:bookmarkEnd w:id="60"/>
    <w:bookmarkStart w:id="61" w:name="referencias-institucionales"/>
    <w:p>
      <w:pPr>
        <w:pStyle w:val="Heading2"/>
      </w:pPr>
      <w:r>
        <w:t xml:space="preserve">Referencias Institucionales</w:t>
      </w:r>
    </w:p>
    <w:p>
      <w:pPr>
        <w:numPr>
          <w:ilvl w:val="0"/>
          <w:numId w:val="1010"/>
        </w:numPr>
      </w:pPr>
      <w:r>
        <w:t xml:space="preserve">Congreso de los Diputados de España. Proposición no de Ley en Comisión relativa a promover una regulación del cáñamo con fines industriales y el cannabis no psicoactivo que proteja las personas cultivadoras, transformadoras, comercializadoras y usuarias. 161/004332. Madrid; 25 enero 2023.</w:t>
      </w:r>
    </w:p>
    <w:p>
      <w:pPr>
        <w:numPr>
          <w:ilvl w:val="0"/>
          <w:numId w:val="1010"/>
        </w:numPr>
      </w:pPr>
      <w:r>
        <w:t xml:space="preserve">European Industrial Hemp Association (EIHA). Position Paper PAC 2028–2032: For a competitive European hemp sector. Brussels; 2025.</w:t>
      </w:r>
    </w:p>
    <w:p>
      <w:pPr>
        <w:numPr>
          <w:ilvl w:val="0"/>
          <w:numId w:val="1010"/>
        </w:numPr>
      </w:pPr>
      <w:r>
        <w:t xml:space="preserve">Instituto Nacional de Toxicología y Ciencias Forenses (INTF). Cuadro de dosis mínimas psicoactivas de las principales sustancias tóxicas objeto de tráfico de drogas. Madrid; actualizado 1 agosto 2021.</w:t>
      </w:r>
    </w:p>
    <w:p>
      <w:pPr>
        <w:numPr>
          <w:ilvl w:val="0"/>
          <w:numId w:val="1010"/>
        </w:numPr>
      </w:pPr>
      <w:r>
        <w:t xml:space="preserve">Convención Única de 1961 sobre Estupefacientes, enmendada por el Protocolo de 1972 de modificación de la Convención Única de 1961 sobre Estupefacientes. Naciones Unidas; 1961.</w:t>
      </w:r>
    </w:p>
    <w:p>
      <w:pPr>
        <w:numPr>
          <w:ilvl w:val="0"/>
          <w:numId w:val="1010"/>
        </w:numPr>
      </w:pPr>
      <w:r>
        <w:t xml:space="preserve">Tratado de Funcionamiento de la Unión Europea (TFUE).</w:t>
      </w:r>
      <w:r>
        <w:t xml:space="preserve"> </w:t>
      </w:r>
      <w:r>
        <w:rPr>
          <w:i/>
          <w:iCs/>
        </w:rPr>
        <w:t xml:space="preserve">Diario Oficial de la Unión Europea</w:t>
      </w:r>
      <w:r>
        <w:t xml:space="preserve">. 2012;C 326:47-390. Versión consolidada.</w:t>
      </w:r>
    </w:p>
    <w:bookmarkEnd w:id="61"/>
    <w:bookmarkStart w:id="62" w:name="jurisprudencia-del-tjue"/>
    <w:p>
      <w:pPr>
        <w:pStyle w:val="Heading2"/>
      </w:pPr>
      <w:r>
        <w:t xml:space="preserve">Jurisprudencia del TJUE</w:t>
      </w:r>
    </w:p>
    <w:p>
      <w:pPr>
        <w:numPr>
          <w:ilvl w:val="0"/>
          <w:numId w:val="1011"/>
        </w:numPr>
      </w:pPr>
      <w:r>
        <w:t xml:space="preserve">TJUE. Sentencia de 19 de noviembre de 2020, B.S. y C.A. (Kanavape), C-663/18, EU:C:2020:938. Libre circulación de mercancías y CBD extraído de flores de cáñamo.</w:t>
      </w:r>
    </w:p>
    <w:p>
      <w:pPr>
        <w:numPr>
          <w:ilvl w:val="0"/>
          <w:numId w:val="1011"/>
        </w:numPr>
      </w:pPr>
      <w:r>
        <w:t xml:space="preserve">TJUE. Sentencia de 28 de abril de 1988, Mulder, C-120/86, EU:C:1988:213. Principio de confianza legítima en el sector agrícola.</w:t>
      </w:r>
    </w:p>
    <w:p>
      <w:pPr>
        <w:numPr>
          <w:ilvl w:val="0"/>
          <w:numId w:val="1011"/>
        </w:numPr>
      </w:pPr>
      <w:r>
        <w:t xml:space="preserve">TJUE. Sentencia de 14 de mayo de 1975, CNTA, C-74/74, EU:C:1975:59. Principio de confianza legítima y tolerancia de las autoridades.</w:t>
      </w:r>
    </w:p>
    <w:p>
      <w:pPr>
        <w:numPr>
          <w:ilvl w:val="0"/>
          <w:numId w:val="1011"/>
        </w:numPr>
      </w:pPr>
      <w:r>
        <w:t xml:space="preserve">TJUE. Sentencia de 26 de junio de 1990, Sofrimport, C-152/88, EU:C:1990:259. Protección de operadores que han comprometido recursos de buena fe.</w:t>
      </w:r>
    </w:p>
    <w:p>
      <w:pPr>
        <w:numPr>
          <w:ilvl w:val="0"/>
          <w:numId w:val="1011"/>
        </w:numPr>
      </w:pPr>
      <w:r>
        <w:t xml:space="preserve">TJUE. Sentencia de 10 de septiembre de 2009, Plantanol, C-201/08, EU:C:2009:539. Cambios normativos y obligación de medidas transitorias.</w:t>
      </w:r>
    </w:p>
    <w:bookmarkEnd w:id="62"/>
    <w:bookmarkStart w:id="63" w:name="documentación-internacional"/>
    <w:p>
      <w:pPr>
        <w:pStyle w:val="Heading2"/>
      </w:pPr>
      <w:r>
        <w:t xml:space="preserve">Documentación Internacional</w:t>
      </w:r>
    </w:p>
    <w:p>
      <w:pPr>
        <w:numPr>
          <w:ilvl w:val="0"/>
          <w:numId w:val="1012"/>
        </w:numPr>
      </w:pPr>
      <w:r>
        <w:t xml:space="preserve">Ley Federal de Estupefacientes de Suiza (Betäubungsmittelgesetz, BetmG). RS 812.121. Berna; versión del 1 enero 2011.</w:t>
      </w:r>
    </w:p>
    <w:p>
      <w:pPr>
        <w:numPr>
          <w:ilvl w:val="0"/>
          <w:numId w:val="1012"/>
        </w:numPr>
      </w:pPr>
      <w:r>
        <w:t xml:space="preserve">Luxembourg Tobacco Control Act. Loi du 11 août 2017 relative à la lutte antitabac et à la vente de produits du tabac. Journal officiel du Grand-Duché de Luxembourg; 2017.</w:t>
      </w:r>
    </w:p>
    <w:p>
      <w:pPr>
        <w:numPr>
          <w:ilvl w:val="0"/>
          <w:numId w:val="1012"/>
        </w:numPr>
      </w:pPr>
      <w:r>
        <w:t xml:space="preserve">Ministerio de Ganadería, Agricultura y Pesca de Uruguay (MGAP). Procedimiento para exportar flores o biomasa de cáñamo a EEUU. Montevideo; diciembre 2022.</w:t>
      </w:r>
    </w:p>
    <w:p>
      <w:pPr>
        <w:numPr>
          <w:ilvl w:val="0"/>
          <w:numId w:val="1012"/>
        </w:numPr>
      </w:pPr>
      <w:r>
        <w:t xml:space="preserve">Health Canada. Information for Health Care Professionals: Cannabis (marihuana, marijuana) and the cannabinoids. Ottawa; 2013.</w:t>
      </w:r>
    </w:p>
    <w:p>
      <w:pPr>
        <w:numPr>
          <w:ilvl w:val="0"/>
          <w:numId w:val="1012"/>
        </w:numPr>
      </w:pPr>
      <w:r>
        <w:t xml:space="preserve">Organización Mundial de la Salud (OMS). Cannabidiol (CBD): Critical Review Report. Geneva; Expert Committee on Drug Dependence; 2018.</w:t>
      </w:r>
    </w:p>
    <w:bookmarkEnd w:id="63"/>
    <w:bookmarkStart w:id="64" w:name="referencias-de-farmacopeas"/>
    <w:p>
      <w:pPr>
        <w:pStyle w:val="Heading2"/>
      </w:pPr>
      <w:r>
        <w:t xml:space="preserve">Referencias de Farmacopeas</w:t>
      </w:r>
    </w:p>
    <w:p>
      <w:pPr>
        <w:numPr>
          <w:ilvl w:val="0"/>
          <w:numId w:val="1013"/>
        </w:numPr>
      </w:pPr>
      <w:r>
        <w:t xml:space="preserve">Farmacopea Europea. Cannabis flos. Monografía 3028. 10th ed. Strasbourg: European Directorate for the Quality of Medicines &amp; HealthCare; 2020.</w:t>
      </w:r>
    </w:p>
    <w:p>
      <w:pPr>
        <w:numPr>
          <w:ilvl w:val="0"/>
          <w:numId w:val="1013"/>
        </w:numPr>
      </w:pPr>
      <w:r>
        <w:t xml:space="preserve">Deutsches Arzneibuch (DAB). Cannabis extractum normatum. Monografía oficial. Stuttgart: Deutscher Apotheker Verlag; 2020.</w:t>
      </w:r>
    </w:p>
    <w:bookmarkEnd w:id="64"/>
    <w:bookmarkStart w:id="65" w:name="referencias-adicionales"/>
    <w:p>
      <w:pPr>
        <w:pStyle w:val="Heading2"/>
      </w:pPr>
      <w:r>
        <w:t xml:space="preserve">Referencias Adicionales</w:t>
      </w:r>
    </w:p>
    <w:p>
      <w:pPr>
        <w:numPr>
          <w:ilvl w:val="0"/>
          <w:numId w:val="1014"/>
        </w:numPr>
      </w:pPr>
      <w:r>
        <w:t xml:space="preserve">Grand-Duché de Luxembourg. Règlement grand-ducal du 22 décembre 2023 modifiant le règlement grand-ducal du 26 avril 2018 portant exécution de certaines dispositions de la loi du 11 août 2006 relative à la lutte antitabac.</w:t>
      </w:r>
      <w:r>
        <w:t xml:space="preserve"> </w:t>
      </w:r>
      <w:r>
        <w:rPr>
          <w:i/>
          <w:iCs/>
        </w:rPr>
        <w:t xml:space="preserve">Journal officiel du Grand-Duché de Luxembourg</w:t>
      </w:r>
      <w:r>
        <w:t xml:space="preserve">. 2023.</w:t>
      </w:r>
    </w:p>
    <w:p>
      <w:pPr>
        <w:numPr>
          <w:ilvl w:val="0"/>
          <w:numId w:val="1014"/>
        </w:numPr>
      </w:pPr>
      <w:r>
        <w:t xml:space="preserve">Repubblica Italiana. Legge 2 dicembre 2016, n. 242. Disposizioni per la promozione della coltivazione e della filiera agroindustriale della canapa.</w:t>
      </w:r>
      <w:r>
        <w:t xml:space="preserve"> </w:t>
      </w:r>
      <w:r>
        <w:rPr>
          <w:i/>
          <w:iCs/>
        </w:rPr>
        <w:t xml:space="preserve">Gazzetta Ufficiale</w:t>
      </w:r>
      <w:r>
        <w:t xml:space="preserve">. 2016;304. Art. 4: umbral de tolerancia 0,6% THC.</w:t>
      </w:r>
    </w:p>
    <w:p>
      <w:pPr>
        <w:numPr>
          <w:ilvl w:val="0"/>
          <w:numId w:val="1014"/>
        </w:numPr>
      </w:pPr>
      <w:r>
        <w:t xml:space="preserve">Reglamento (CEE) n.º 1430/82 del Consejo, de 18 de mayo de 1982.</w:t>
      </w:r>
      <w:r>
        <w:t xml:space="preserve"> </w:t>
      </w:r>
      <w:r>
        <w:rPr>
          <w:i/>
          <w:iCs/>
        </w:rPr>
        <w:t xml:space="preserve">Diario Oficial de las Comunidades Europeas</w:t>
      </w:r>
      <w:r>
        <w:t xml:space="preserve">. 1982;L 162:27. Establecimiento del umbral de THC para cáñamo industrial en la CEE.</w:t>
      </w:r>
    </w:p>
    <w:p>
      <w:pPr>
        <w:numPr>
          <w:ilvl w:val="0"/>
          <w:numId w:val="1014"/>
        </w:numPr>
      </w:pPr>
      <w:r>
        <w:t xml:space="preserve">Republic of South Africa. Cannabis for Private Purposes Act, 2024 (Act No. 18 of 2024).</w:t>
      </w:r>
      <w:r>
        <w:t xml:space="preserve"> </w:t>
      </w:r>
      <w:r>
        <w:rPr>
          <w:i/>
          <w:iCs/>
        </w:rPr>
        <w:t xml:space="preserve">Government Gazette</w:t>
      </w:r>
      <w:r>
        <w:t xml:space="preserve">. Diciembre 2025. Establece umbral de 2,0% THC para cáñamo industrial.</w:t>
      </w:r>
    </w:p>
    <w:p>
      <w:pPr>
        <w:numPr>
          <w:ilvl w:val="0"/>
          <w:numId w:val="1014"/>
        </w:numPr>
      </w:pPr>
      <w:r>
        <w:t xml:space="preserve">Swissmedic (Agencia Suiza de Productos Terapéuticos). Cannabis und Cannabinoide als Arzneimittel: Informationen für Fachpersonen. Berna; actualizado 2024.</w:t>
      </w:r>
    </w:p>
    <w:p>
      <w:pPr>
        <w:numPr>
          <w:ilvl w:val="0"/>
          <w:numId w:val="1014"/>
        </w:numPr>
      </w:pPr>
      <w:r>
        <w:t xml:space="preserve">Česká republika. Act Col. 166/2024 Sb. (Zákon č. 166/2024 Sb.).</w:t>
      </w:r>
      <w:r>
        <w:t xml:space="preserve"> </w:t>
      </w:r>
      <w:r>
        <w:rPr>
          <w:i/>
          <w:iCs/>
        </w:rPr>
        <w:t xml:space="preserve">Sbírka zákonů</w:t>
      </w:r>
      <w:r>
        <w:t xml:space="preserve">. 2024. Umbral de 1,0% THC para cáñamo industrial.</w:t>
      </w:r>
    </w:p>
    <w:p>
      <w:pPr>
        <w:numPr>
          <w:ilvl w:val="0"/>
          <w:numId w:val="1014"/>
        </w:numPr>
      </w:pPr>
      <w:r>
        <w:t xml:space="preserve">Directiva 2014/40/UE del Parlamento Europeo y del Consejo, de 3 de abril de 2014, relativa a la aproximación de las disposiciones legales, reglamentarias y administrativas de los Estados miembros en materia de fabricación, presentación y venta de los productos del tabaco y los productos relacionados.</w:t>
      </w:r>
      <w:r>
        <w:t xml:space="preserve"> </w:t>
      </w:r>
      <w:r>
        <w:rPr>
          <w:i/>
          <w:iCs/>
        </w:rPr>
        <w:t xml:space="preserve">Diario Oficial de la Unión Europea</w:t>
      </w:r>
      <w:r>
        <w:t xml:space="preserve">. 2014;L 127:1-38.</w:t>
      </w:r>
    </w:p>
    <w:p>
      <w:pPr>
        <w:numPr>
          <w:ilvl w:val="0"/>
          <w:numId w:val="1014"/>
        </w:numPr>
      </w:pPr>
      <w:r>
        <w:t xml:space="preserve">Comisión Europea. Acuerdo de Asociación UE-Mercosur: texto del acuerdo comercial. Bruselas; 17 enero 2026.</w:t>
      </w:r>
    </w:p>
    <w:p>
      <w:pPr>
        <w:numPr>
          <w:ilvl w:val="0"/>
          <w:numId w:val="1014"/>
        </w:numPr>
      </w:pPr>
      <w:r>
        <w:t xml:space="preserve">Organización Mundial del Comercio. Acuerdo sobre Obstáculos Técnicos al Comercio (Acuerdo OTC/TBT). Ronda Uruguay; 1994. Art. 2.2: test de necesidad para medidas técnicas.</w:t>
      </w:r>
    </w:p>
    <w:p>
      <w:pPr>
        <w:numPr>
          <w:ilvl w:val="0"/>
          <w:numId w:val="1014"/>
        </w:numPr>
      </w:pPr>
      <w:r>
        <w:t xml:space="preserve">Finnan J, Styles D. Hemp: A more sustainable annual energy crop for climate and energy policy.</w:t>
      </w:r>
      <w:r>
        <w:t xml:space="preserve"> </w:t>
      </w:r>
      <w:r>
        <w:rPr>
          <w:i/>
          <w:iCs/>
        </w:rPr>
        <w:t xml:space="preserve">Energy Policy</w:t>
      </w:r>
      <w:r>
        <w:t xml:space="preserve">. 2013;58:152-162. DOI: 10.1016/j.enpol.2013.02.046. Factor de conversión biomasa-CO₂: 1 kg biomasa seca = 1,62 kg CO₂ secuestrado.</w:t>
      </w:r>
    </w:p>
    <w:bookmarkEnd w:id="65"/>
    <w:bookmarkStart w:id="69" w:name="X6b73ddd299356e25ea726ad35b2f13833351891"/>
    <w:p>
      <w:pPr>
        <w:pStyle w:val="Heading2"/>
      </w:pPr>
      <w:r>
        <w:t xml:space="preserve">Referencias Legislativas Internacionales (Jurisdicciones con umbral ≥1% THC)</w:t>
      </w:r>
    </w:p>
    <w:bookmarkStart w:id="66" w:name="latinoamérica"/>
    <w:p>
      <w:pPr>
        <w:pStyle w:val="Heading3"/>
      </w:pPr>
      <w:r>
        <w:t xml:space="preserve">Latinoamérica</w:t>
      </w:r>
    </w:p>
    <w:p>
      <w:pPr>
        <w:numPr>
          <w:ilvl w:val="0"/>
          <w:numId w:val="1015"/>
        </w:numPr>
      </w:pPr>
      <w:r>
        <w:t xml:space="preserve">República Argentina. Ley 27.669 de Desarrollo de la Industria del Cannabis.</w:t>
      </w:r>
      <w:r>
        <w:t xml:space="preserve"> </w:t>
      </w:r>
      <w:r>
        <w:rPr>
          <w:i/>
          <w:iCs/>
        </w:rPr>
        <w:t xml:space="preserve">Boletín Oficial</w:t>
      </w:r>
      <w:r>
        <w:t xml:space="preserve">. 2022. Decreto 405/2023 reglamentario. Umbral de 1,0% THC para cáñamo industrial.</w:t>
      </w:r>
    </w:p>
    <w:p>
      <w:pPr>
        <w:numPr>
          <w:ilvl w:val="0"/>
          <w:numId w:val="1015"/>
        </w:numPr>
      </w:pPr>
      <w:r>
        <w:t xml:space="preserve">República del Paraguay. Decreto 2725/2019. Marco regulatorio para el cáñamo industrial.</w:t>
      </w:r>
      <w:r>
        <w:t xml:space="preserve"> </w:t>
      </w:r>
      <w:r>
        <w:rPr>
          <w:i/>
          <w:iCs/>
        </w:rPr>
        <w:t xml:space="preserve">Gaceta Oficial</w:t>
      </w:r>
      <w:r>
        <w:t xml:space="preserve">. 2019. Umbral de 1,0% THC.</w:t>
      </w:r>
    </w:p>
    <w:p>
      <w:pPr>
        <w:numPr>
          <w:ilvl w:val="0"/>
          <w:numId w:val="1015"/>
        </w:numPr>
      </w:pPr>
      <w:r>
        <w:t xml:space="preserve">República de Chile. Ley 20.000 (Ley de Drogas) + Criterio técnico SAG/ISP. Resolución Exenta. 2021. Exclusión de control de estupefacientes para cannabis ≤1% THC.</w:t>
      </w:r>
    </w:p>
    <w:p>
      <w:pPr>
        <w:numPr>
          <w:ilvl w:val="0"/>
          <w:numId w:val="1015"/>
        </w:numPr>
      </w:pPr>
      <w:r>
        <w:t xml:space="preserve">República de Colombia. Ley 1787/2016 + Decreto 613/2017. Marco regulatorio para cannabis medicinal y cáñamo industrial.</w:t>
      </w:r>
      <w:r>
        <w:t xml:space="preserve"> </w:t>
      </w:r>
      <w:r>
        <w:rPr>
          <w:i/>
          <w:iCs/>
        </w:rPr>
        <w:t xml:space="preserve">Diario Oficial</w:t>
      </w:r>
      <w:r>
        <w:t xml:space="preserve">. Umbral de 1,0% THC.</w:t>
      </w:r>
    </w:p>
    <w:p>
      <w:pPr>
        <w:numPr>
          <w:ilvl w:val="0"/>
          <w:numId w:val="1015"/>
        </w:numPr>
      </w:pPr>
      <w:r>
        <w:t xml:space="preserve">República del Ecuador. Acuerdo Ministerial 109-2020. Regulación de cannabis no psicoactivo.</w:t>
      </w:r>
      <w:r>
        <w:t xml:space="preserve"> </w:t>
      </w:r>
      <w:r>
        <w:rPr>
          <w:i/>
          <w:iCs/>
        </w:rPr>
        <w:t xml:space="preserve">Registro Oficial</w:t>
      </w:r>
      <w:r>
        <w:t xml:space="preserve">. 2020. Umbral de 1,0% THC.</w:t>
      </w:r>
    </w:p>
    <w:p>
      <w:pPr>
        <w:numPr>
          <w:ilvl w:val="0"/>
          <w:numId w:val="1015"/>
        </w:numPr>
      </w:pPr>
      <w:r>
        <w:t xml:space="preserve">República del Perú. Ley 32195. Ley que regula el uso del cáñamo industrial y sus derivados.</w:t>
      </w:r>
      <w:r>
        <w:t xml:space="preserve"> </w:t>
      </w:r>
      <w:r>
        <w:rPr>
          <w:i/>
          <w:iCs/>
        </w:rPr>
        <w:t xml:space="preserve">El Peruano</w:t>
      </w:r>
      <w:r>
        <w:t xml:space="preserve">. Diciembre 2024. Umbral de 1,0% THC.</w:t>
      </w:r>
    </w:p>
    <w:p>
      <w:pPr>
        <w:numPr>
          <w:ilvl w:val="0"/>
          <w:numId w:val="1015"/>
        </w:numPr>
      </w:pPr>
      <w:r>
        <w:t xml:space="preserve">Estados Unidos Mexicanos. Ley General de Salud, Artículo 245. Reforma de 2017. Exclusión del cáñamo industrial (≤1% THC) del régimen de estupefacientes.</w:t>
      </w:r>
    </w:p>
    <w:p>
      <w:pPr>
        <w:numPr>
          <w:ilvl w:val="0"/>
          <w:numId w:val="1015"/>
        </w:numPr>
      </w:pPr>
      <w:r>
        <w:t xml:space="preserve">República de Costa Rica. Ley 10113 (Ley de Cáñamo Industrial) + Reglamento Técnico RTCR 515:2024.</w:t>
      </w:r>
      <w:r>
        <w:t xml:space="preserve"> </w:t>
      </w:r>
      <w:r>
        <w:rPr>
          <w:i/>
          <w:iCs/>
        </w:rPr>
        <w:t xml:space="preserve">La Gaceta</w:t>
      </w:r>
      <w:r>
        <w:t xml:space="preserve">. 2022/2024. Umbral de 1,0% THC.</w:t>
      </w:r>
    </w:p>
    <w:p>
      <w:pPr>
        <w:numPr>
          <w:ilvl w:val="0"/>
          <w:numId w:val="1015"/>
        </w:numPr>
      </w:pPr>
      <w:r>
        <w:t xml:space="preserve">República de Panamá. Ley 464 de 2025. Regulación del cultivo e industrialización del cáñamo.</w:t>
      </w:r>
      <w:r>
        <w:t xml:space="preserve"> </w:t>
      </w:r>
      <w:r>
        <w:rPr>
          <w:i/>
          <w:iCs/>
        </w:rPr>
        <w:t xml:space="preserve">Gaceta Oficial</w:t>
      </w:r>
      <w:r>
        <w:t xml:space="preserve">. Marzo 2025. Umbral de 1,0% THC.</w:t>
      </w:r>
    </w:p>
    <w:p>
      <w:pPr>
        <w:numPr>
          <w:ilvl w:val="0"/>
          <w:numId w:val="1015"/>
        </w:numPr>
      </w:pPr>
      <w:r>
        <w:t xml:space="preserve">Jamaica. Dangerous Drugs (Amendment) Act, 2015.</w:t>
      </w:r>
      <w:r>
        <w:t xml:space="preserve"> </w:t>
      </w:r>
      <w:r>
        <w:rPr>
          <w:i/>
          <w:iCs/>
        </w:rPr>
        <w:t xml:space="preserve">Jamaica Gazette</w:t>
      </w:r>
      <w:r>
        <w:t xml:space="preserve">. Abril 2015. Definición legal de hemp: cannabis con ≤1% THC.</w:t>
      </w:r>
    </w:p>
    <w:bookmarkEnd w:id="66"/>
    <w:bookmarkStart w:id="67" w:name="oceanía"/>
    <w:p>
      <w:pPr>
        <w:pStyle w:val="Heading3"/>
      </w:pPr>
      <w:r>
        <w:t xml:space="preserve">Oceanía</w:t>
      </w:r>
    </w:p>
    <w:p>
      <w:pPr>
        <w:numPr>
          <w:ilvl w:val="0"/>
          <w:numId w:val="1016"/>
        </w:numPr>
      </w:pPr>
      <w:r>
        <w:t xml:space="preserve">New Zealand. Misuse of Drugs (Amendments Relating to Hemp) Regulations 2025.</w:t>
      </w:r>
      <w:r>
        <w:t xml:space="preserve"> </w:t>
      </w:r>
      <w:r>
        <w:rPr>
          <w:i/>
          <w:iCs/>
        </w:rPr>
        <w:t xml:space="preserve">New Zealand Gazette</w:t>
      </w:r>
      <w:r>
        <w:t xml:space="preserve">. Diciembre 2025. Umbral de 1,0% THC para cultivo y productos.</w:t>
      </w:r>
    </w:p>
    <w:p>
      <w:pPr>
        <w:numPr>
          <w:ilvl w:val="0"/>
          <w:numId w:val="1016"/>
        </w:numPr>
      </w:pPr>
      <w:r>
        <w:t xml:space="preserve">Australia. Industrial Hemp Acts (legislación estatal variable: Queensland, Victoria, NSW, etc.). Umbral de cosecha generalmente fijado en 1,0% THC para reconocer fluctuación natural del cultivo.</w:t>
      </w:r>
    </w:p>
    <w:p>
      <w:pPr>
        <w:numPr>
          <w:ilvl w:val="0"/>
          <w:numId w:val="1016"/>
        </w:numPr>
      </w:pPr>
      <w:r>
        <w:t xml:space="preserve">Republic of Fiji. Illicit Drugs Control Act 2022 (Amendment).</w:t>
      </w:r>
      <w:r>
        <w:t xml:space="preserve"> </w:t>
      </w:r>
      <w:r>
        <w:rPr>
          <w:i/>
          <w:iCs/>
        </w:rPr>
        <w:t xml:space="preserve">Fiji Government Gazette</w:t>
      </w:r>
      <w:r>
        <w:t xml:space="preserve">. Julio 2022. Umbral de 1,0% THC para cáñamo industrial.</w:t>
      </w:r>
    </w:p>
    <w:bookmarkEnd w:id="67"/>
    <w:bookmarkStart w:id="68" w:name="áfrica-y-oriente-medio"/>
    <w:p>
      <w:pPr>
        <w:pStyle w:val="Heading3"/>
      </w:pPr>
      <w:r>
        <w:t xml:space="preserve">África y Oriente Medio</w:t>
      </w:r>
    </w:p>
    <w:p>
      <w:pPr>
        <w:numPr>
          <w:ilvl w:val="0"/>
          <w:numId w:val="1017"/>
        </w:numPr>
      </w:pPr>
      <w:r>
        <w:t xml:space="preserve">Royaume du Maroc. Loi 13-21 relative aux usages licites du cannabis + Agence Nationale de Réglementation des Activités relatives au Cannabis (ANRAC).</w:t>
      </w:r>
      <w:r>
        <w:t xml:space="preserve"> </w:t>
      </w:r>
      <w:r>
        <w:rPr>
          <w:i/>
          <w:iCs/>
        </w:rPr>
        <w:t xml:space="preserve">Bulletin Officiel</w:t>
      </w:r>
      <w:r>
        <w:t xml:space="preserve">. 2021. Umbral de 1,0% THC.</w:t>
      </w:r>
    </w:p>
    <w:p>
      <w:pPr>
        <w:numPr>
          <w:ilvl w:val="0"/>
          <w:numId w:val="1017"/>
        </w:numPr>
      </w:pPr>
      <w:r>
        <w:t xml:space="preserve">République Libanaise. Loi 178/2020. Legalización del cultivo de cannabis industrial.</w:t>
      </w:r>
      <w:r>
        <w:t xml:space="preserve"> </w:t>
      </w:r>
      <w:r>
        <w:rPr>
          <w:i/>
          <w:iCs/>
        </w:rPr>
        <w:t xml:space="preserve">Journal Officiel</w:t>
      </w:r>
      <w:r>
        <w:t xml:space="preserve">. Abril 2020. Umbral de 1,0% THC.</w:t>
      </w:r>
    </w:p>
    <w:p>
      <w:pPr>
        <w:numPr>
          <w:ilvl w:val="0"/>
          <w:numId w:val="1017"/>
        </w:numPr>
      </w:pPr>
      <w:r>
        <w:t xml:space="preserve">Republic of Malawi. Cannabis Regulation Act, 2020.</w:t>
      </w:r>
      <w:r>
        <w:t xml:space="preserve"> </w:t>
      </w:r>
      <w:r>
        <w:rPr>
          <w:i/>
          <w:iCs/>
        </w:rPr>
        <w:t xml:space="preserve">Malawi Gazette</w:t>
      </w:r>
      <w:r>
        <w:t xml:space="preserve">. Mayo 2020. Umbral de 1,0% THC para cáñamo industrial.</w:t>
      </w:r>
    </w:p>
    <w:p>
      <w:pPr>
        <w:numPr>
          <w:ilvl w:val="0"/>
          <w:numId w:val="1017"/>
        </w:numPr>
      </w:pPr>
      <w:r>
        <w:t xml:space="preserve">Republic of Zimbabwe. Criminal Law (Codification and Reform) Amendment Bill (Cannabis Regulations).</w:t>
      </w:r>
      <w:r>
        <w:t xml:space="preserve"> </w:t>
      </w:r>
      <w:r>
        <w:rPr>
          <w:i/>
          <w:iCs/>
        </w:rPr>
        <w:t xml:space="preserve">Government Gazette</w:t>
      </w:r>
      <w:r>
        <w:t xml:space="preserve">. Febrero 2023. Umbral de 1,0% THC.</w:t>
      </w:r>
    </w:p>
    <w:bookmarkEnd w:id="68"/>
    <w:bookmarkEnd w:id="69"/>
    <w:bookmarkStart w:id="70" w:name="X19e227d40019402c63396e70856927f1381224b"/>
    <w:p>
      <w:pPr>
        <w:pStyle w:val="Heading2"/>
      </w:pPr>
      <w:r>
        <w:t xml:space="preserve">Referencias de Apoyo (Cálculos y Metodología)</w:t>
      </w:r>
    </w:p>
    <w:p>
      <w:pPr>
        <w:numPr>
          <w:ilvl w:val="0"/>
          <w:numId w:val="1018"/>
        </w:numPr>
      </w:pPr>
      <w:r>
        <w:t xml:space="preserve">EMCDDA (European Monitoring Centre for Drugs and Drug Addiction). European Drug Report 2024: Trends and Developments. Luxembourg: Publications Office of the European Union; 2024. Concentraciones típicas de THC en cannabis ilícito europeo: media 10-15%, máximo &gt;20%. Nota: El cálculo</w:t>
      </w:r>
      <w:r>
        <w:t xml:space="preserve"> </w:t>
      </w:r>
      <w:r>
        <w:t xml:space="preserve">“13-43 veces más biomasa”</w:t>
      </w:r>
      <w:r>
        <w:t xml:space="preserve"> </w:t>
      </w:r>
      <w:r>
        <w:t xml:space="preserve">deriva de: THC cannabis ilícito (≥13%) / THC cáñamo (1% máx.) = 13×; THC ilícito (13%) / THC cáñamo (0,3% mín.) = 43×.</w:t>
      </w:r>
    </w:p>
    <w:p>
      <w:pPr>
        <w:numPr>
          <w:ilvl w:val="0"/>
          <w:numId w:val="1018"/>
        </w:numPr>
      </w:pPr>
      <w:r>
        <w:t xml:space="preserve">Reglamento (UE) 2019/515 del Parlamento Europeo y del Consejo, de 19 de marzo de 2019, relativo al reconocimiento mutuo de mercancías comercializadas legalmente en otro Estado miembro.</w:t>
      </w:r>
      <w:r>
        <w:t xml:space="preserve"> </w:t>
      </w:r>
      <w:r>
        <w:rPr>
          <w:i/>
          <w:iCs/>
        </w:rPr>
        <w:t xml:space="preserve">Diario Oficial de la Unión Europea</w:t>
      </w:r>
      <w:r>
        <w:t xml:space="preserve">. 2019;L 91:1-18.</w:t>
      </w:r>
    </w:p>
    <w:p>
      <w:pPr>
        <w:numPr>
          <w:ilvl w:val="0"/>
          <w:numId w:val="1018"/>
        </w:numPr>
      </w:pPr>
      <w:r>
        <w:t xml:space="preserve">Republika e Shqipërisë. Ligji Nr. 61/2023</w:t>
      </w:r>
      <w:r>
        <w:t xml:space="preserve"> </w:t>
      </w:r>
      <w:r>
        <w:t xml:space="preserve">“Për kultivimin, prodhimin dhe tregtimin e bimëve mjekësore dhe aromatike”</w:t>
      </w:r>
      <w:r>
        <w:t xml:space="preserve"> </w:t>
      </w:r>
      <w:r>
        <w:t xml:space="preserve">(Cannabis Law).</w:t>
      </w:r>
      <w:r>
        <w:t xml:space="preserve"> </w:t>
      </w:r>
      <w:r>
        <w:rPr>
          <w:i/>
          <w:iCs/>
        </w:rPr>
        <w:t xml:space="preserve">Fletorja Zyrtare</w:t>
      </w:r>
      <w:r>
        <w:t xml:space="preserve">. 2023. Umbral de 0,8% THC para cáñamo industrial.</w:t>
      </w:r>
    </w:p>
    <w:p>
      <w:pPr>
        <w:numPr>
          <w:ilvl w:val="0"/>
          <w:numId w:val="1018"/>
        </w:numPr>
      </w:pPr>
      <w:r>
        <w:t xml:space="preserve">TJUE. Sentencia de 20 de febrero de 1979, Rewe-Zentral AG contra Bundesmonopolverwaltung für Branntwein (</w:t>
      </w:r>
      <w:r>
        <w:rPr>
          <w:i/>
          <w:iCs/>
        </w:rPr>
        <w:t xml:space="preserve">Cassis de Dijon</w:t>
      </w:r>
      <w:r>
        <w:t xml:space="preserve">), C-120/78, EU:C:1979:42. Principio fundacional de reconocimiento mutuo.</w:t>
      </w:r>
    </w:p>
    <w:p>
      <w:r>
        <w:pict>
          <v:rect style="width:0;height:1.5pt" o:hralign="center" o:hrstd="t" o:hr="t"/>
        </w:pict>
      </w:r>
    </w:p>
    <w:p>
      <w:pPr>
        <w:pStyle w:val="FirstParagraph"/>
      </w:pPr>
      <w:r>
        <w:rPr>
          <w:i/>
          <w:iCs/>
        </w:rPr>
        <w:t xml:space="preserve">Este documento compila evidencia verificada del repositorio AECANI/Cannabis Hub</w:t>
      </w:r>
    </w:p>
    <w:p>
      <w:pPr>
        <w:pStyle w:val="BodyText"/>
      </w:pPr>
      <w:r>
        <w:rPr>
          <w:b/>
          <w:bCs/>
        </w:rPr>
        <w:t xml:space="preserve">Cannabis Hub — Enero 2026</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61">
    <w:nsid w:val="0A994161"/>
    <w:multiLevelType w:val="multilevel"/>
    <w:lvl w:ilvl="0">
      <w:start w:val="61"/>
      <w:numFmt w:val="decimal"/>
      <w:lvlText w:val="%1."/>
      <w:lvlJc w:val="left"/>
      <w:pPr>
        <w:ind w:left="720" w:hanging="360"/>
      </w:pPr>
    </w:lvl>
    <w:lvl w:ilvl="1">
      <w:start w:val="61"/>
      <w:numFmt w:val="decimal"/>
      <w:lvlText w:val="%2."/>
      <w:lvlJc w:val="left"/>
      <w:pPr>
        <w:ind w:left="1440" w:hanging="360"/>
      </w:pPr>
    </w:lvl>
    <w:lvl w:ilvl="2">
      <w:start w:val="61"/>
      <w:numFmt w:val="decimal"/>
      <w:lvlText w:val="%3."/>
      <w:lvlJc w:val="left"/>
      <w:pPr>
        <w:ind w:left="2160" w:hanging="360"/>
      </w:pPr>
    </w:lvl>
    <w:lvl w:ilvl="3">
      <w:start w:val="61"/>
      <w:numFmt w:val="decimal"/>
      <w:lvlText w:val="%4."/>
      <w:lvlJc w:val="left"/>
      <w:pPr>
        <w:ind w:left="2880" w:hanging="360"/>
      </w:pPr>
    </w:lvl>
    <w:lvl w:ilvl="4">
      <w:start w:val="61"/>
      <w:numFmt w:val="decimal"/>
      <w:lvlText w:val="%5."/>
      <w:lvlJc w:val="left"/>
      <w:pPr>
        <w:ind w:left="3600" w:hanging="360"/>
      </w:pPr>
    </w:lvl>
    <w:lvl w:ilvl="5">
      <w:start w:val="61"/>
      <w:numFmt w:val="decimal"/>
      <w:lvlText w:val="%6."/>
      <w:lvlJc w:val="left"/>
      <w:pPr>
        <w:ind w:left="4320" w:hanging="360"/>
      </w:pPr>
    </w:lvl>
    <w:lvl w:ilvl="6">
      <w:start w:val="61"/>
      <w:numFmt w:val="decimal"/>
      <w:lvlText w:val="%7."/>
      <w:lvlJc w:val="left"/>
      <w:pPr>
        <w:ind w:left="5040" w:hanging="360"/>
      </w:pPr>
    </w:lvl>
    <w:lvl w:ilvl="7">
      <w:start w:val="61"/>
      <w:numFmt w:val="decimal"/>
      <w:lvlText w:val="%8."/>
      <w:lvlJc w:val="left"/>
      <w:pPr>
        <w:ind w:left="5760" w:hanging="360"/>
      </w:pPr>
    </w:lvl>
    <w:lvl w:ilvl="8">
      <w:start w:val="61"/>
      <w:numFmt w:val="decimal"/>
      <w:lvlText w:val="%9."/>
      <w:lvlJc w:val="left"/>
      <w:pPr>
        <w:ind w:left="6480" w:hanging="360"/>
      </w:pPr>
    </w:lvl>
  </w:abstractNum>
  <w:abstractNum w:abstractNumId="994171">
    <w:nsid w:val="0A994171"/>
    <w:multiLevelType w:val="multilevel"/>
    <w:lvl w:ilvl="0">
      <w:start w:val="71"/>
      <w:numFmt w:val="decimal"/>
      <w:lvlText w:val="%1."/>
      <w:lvlJc w:val="left"/>
      <w:pPr>
        <w:ind w:left="720" w:hanging="360"/>
      </w:pPr>
    </w:lvl>
    <w:lvl w:ilvl="1">
      <w:start w:val="71"/>
      <w:numFmt w:val="decimal"/>
      <w:lvlText w:val="%2."/>
      <w:lvlJc w:val="left"/>
      <w:pPr>
        <w:ind w:left="1440" w:hanging="360"/>
      </w:pPr>
    </w:lvl>
    <w:lvl w:ilvl="2">
      <w:start w:val="71"/>
      <w:numFmt w:val="decimal"/>
      <w:lvlText w:val="%3."/>
      <w:lvlJc w:val="left"/>
      <w:pPr>
        <w:ind w:left="2160" w:hanging="360"/>
      </w:pPr>
    </w:lvl>
    <w:lvl w:ilvl="3">
      <w:start w:val="71"/>
      <w:numFmt w:val="decimal"/>
      <w:lvlText w:val="%4."/>
      <w:lvlJc w:val="left"/>
      <w:pPr>
        <w:ind w:left="2880" w:hanging="360"/>
      </w:pPr>
    </w:lvl>
    <w:lvl w:ilvl="4">
      <w:start w:val="71"/>
      <w:numFmt w:val="decimal"/>
      <w:lvlText w:val="%5."/>
      <w:lvlJc w:val="left"/>
      <w:pPr>
        <w:ind w:left="3600" w:hanging="360"/>
      </w:pPr>
    </w:lvl>
    <w:lvl w:ilvl="5">
      <w:start w:val="71"/>
      <w:numFmt w:val="decimal"/>
      <w:lvlText w:val="%6."/>
      <w:lvlJc w:val="left"/>
      <w:pPr>
        <w:ind w:left="4320" w:hanging="360"/>
      </w:pPr>
    </w:lvl>
    <w:lvl w:ilvl="6">
      <w:start w:val="71"/>
      <w:numFmt w:val="decimal"/>
      <w:lvlText w:val="%7."/>
      <w:lvlJc w:val="left"/>
      <w:pPr>
        <w:ind w:left="5040" w:hanging="360"/>
      </w:pPr>
    </w:lvl>
    <w:lvl w:ilvl="7">
      <w:start w:val="71"/>
      <w:numFmt w:val="decimal"/>
      <w:lvlText w:val="%8."/>
      <w:lvlJc w:val="left"/>
      <w:pPr>
        <w:ind w:left="5760" w:hanging="360"/>
      </w:pPr>
    </w:lvl>
    <w:lvl w:ilvl="8">
      <w:start w:val="71"/>
      <w:numFmt w:val="decimal"/>
      <w:lvlText w:val="%9."/>
      <w:lvlJc w:val="left"/>
      <w:pPr>
        <w:ind w:left="6480" w:hanging="360"/>
      </w:pPr>
    </w:lvl>
  </w:abstractNum>
  <w:abstractNum w:abstractNumId="994174">
    <w:nsid w:val="0A994174"/>
    <w:multiLevelType w:val="multilevel"/>
    <w:lvl w:ilvl="0">
      <w:start w:val="74"/>
      <w:numFmt w:val="decimal"/>
      <w:lvlText w:val="%1."/>
      <w:lvlJc w:val="left"/>
      <w:pPr>
        <w:ind w:left="720" w:hanging="360"/>
      </w:pPr>
    </w:lvl>
    <w:lvl w:ilvl="1">
      <w:start w:val="74"/>
      <w:numFmt w:val="decimal"/>
      <w:lvlText w:val="%2."/>
      <w:lvlJc w:val="left"/>
      <w:pPr>
        <w:ind w:left="1440" w:hanging="360"/>
      </w:pPr>
    </w:lvl>
    <w:lvl w:ilvl="2">
      <w:start w:val="74"/>
      <w:numFmt w:val="decimal"/>
      <w:lvlText w:val="%3."/>
      <w:lvlJc w:val="left"/>
      <w:pPr>
        <w:ind w:left="2160" w:hanging="360"/>
      </w:pPr>
    </w:lvl>
    <w:lvl w:ilvl="3">
      <w:start w:val="74"/>
      <w:numFmt w:val="decimal"/>
      <w:lvlText w:val="%4."/>
      <w:lvlJc w:val="left"/>
      <w:pPr>
        <w:ind w:left="2880" w:hanging="360"/>
      </w:pPr>
    </w:lvl>
    <w:lvl w:ilvl="4">
      <w:start w:val="74"/>
      <w:numFmt w:val="decimal"/>
      <w:lvlText w:val="%5."/>
      <w:lvlJc w:val="left"/>
      <w:pPr>
        <w:ind w:left="3600" w:hanging="360"/>
      </w:pPr>
    </w:lvl>
    <w:lvl w:ilvl="5">
      <w:start w:val="74"/>
      <w:numFmt w:val="decimal"/>
      <w:lvlText w:val="%6."/>
      <w:lvlJc w:val="left"/>
      <w:pPr>
        <w:ind w:left="4320" w:hanging="360"/>
      </w:pPr>
    </w:lvl>
    <w:lvl w:ilvl="6">
      <w:start w:val="74"/>
      <w:numFmt w:val="decimal"/>
      <w:lvlText w:val="%7."/>
      <w:lvlJc w:val="left"/>
      <w:pPr>
        <w:ind w:left="5040" w:hanging="360"/>
      </w:pPr>
    </w:lvl>
    <w:lvl w:ilvl="7">
      <w:start w:val="74"/>
      <w:numFmt w:val="decimal"/>
      <w:lvlText w:val="%8."/>
      <w:lvlJc w:val="left"/>
      <w:pPr>
        <w:ind w:left="5760" w:hanging="360"/>
      </w:pPr>
    </w:lvl>
    <w:lvl w:ilvl="8">
      <w:start w:val="74"/>
      <w:numFmt w:val="decimal"/>
      <w:lvlText w:val="%9."/>
      <w:lvlJc w:val="left"/>
      <w:pPr>
        <w:ind w:left="6480" w:hanging="360"/>
      </w:pPr>
    </w:lvl>
  </w:abstractNum>
  <w:abstractNum w:abstractNumId="994178">
    <w:nsid w:val="0A994178"/>
    <w:multiLevelType w:val="multilevel"/>
    <w:lvl w:ilvl="0">
      <w:start w:val="78"/>
      <w:numFmt w:val="decimal"/>
      <w:lvlText w:val="%1."/>
      <w:lvlJc w:val="left"/>
      <w:pPr>
        <w:ind w:left="720" w:hanging="360"/>
      </w:pPr>
    </w:lvl>
    <w:lvl w:ilvl="1">
      <w:start w:val="78"/>
      <w:numFmt w:val="decimal"/>
      <w:lvlText w:val="%2."/>
      <w:lvlJc w:val="left"/>
      <w:pPr>
        <w:ind w:left="1440" w:hanging="360"/>
      </w:pPr>
    </w:lvl>
    <w:lvl w:ilvl="2">
      <w:start w:val="78"/>
      <w:numFmt w:val="decimal"/>
      <w:lvlText w:val="%3."/>
      <w:lvlJc w:val="left"/>
      <w:pPr>
        <w:ind w:left="2160" w:hanging="360"/>
      </w:pPr>
    </w:lvl>
    <w:lvl w:ilvl="3">
      <w:start w:val="78"/>
      <w:numFmt w:val="decimal"/>
      <w:lvlText w:val="%4."/>
      <w:lvlJc w:val="left"/>
      <w:pPr>
        <w:ind w:left="2880" w:hanging="360"/>
      </w:pPr>
    </w:lvl>
    <w:lvl w:ilvl="4">
      <w:start w:val="78"/>
      <w:numFmt w:val="decimal"/>
      <w:lvlText w:val="%5."/>
      <w:lvlJc w:val="left"/>
      <w:pPr>
        <w:ind w:left="3600" w:hanging="360"/>
      </w:pPr>
    </w:lvl>
    <w:lvl w:ilvl="5">
      <w:start w:val="78"/>
      <w:numFmt w:val="decimal"/>
      <w:lvlText w:val="%6."/>
      <w:lvlJc w:val="left"/>
      <w:pPr>
        <w:ind w:left="4320" w:hanging="360"/>
      </w:pPr>
    </w:lvl>
    <w:lvl w:ilvl="6">
      <w:start w:val="78"/>
      <w:numFmt w:val="decimal"/>
      <w:lvlText w:val="%7."/>
      <w:lvlJc w:val="left"/>
      <w:pPr>
        <w:ind w:left="5040" w:hanging="360"/>
      </w:pPr>
    </w:lvl>
    <w:lvl w:ilvl="7">
      <w:start w:val="78"/>
      <w:numFmt w:val="decimal"/>
      <w:lvlText w:val="%8."/>
      <w:lvlJc w:val="left"/>
      <w:pPr>
        <w:ind w:left="5760" w:hanging="360"/>
      </w:pPr>
    </w:lvl>
    <w:lvl w:ilvl="8">
      <w:start w:val="7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0">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2">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3">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4">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5">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16">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17">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18">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hyperlink" Target="ANEXOS.md#a5-efecto-modulador-del-cbd" TargetMode="External"/><Relationship Id="rId44" Type="http://schemas.openxmlformats.org/officeDocument/2006/relationships/hyperlink" Target="ANEXOS.md#anexo-a-metodolog&#237;a-farmacocin&#233;tica--an&#225;lisis-de-seguridad-del-c&#225;&#241;amo-al-1-thc-inhalado" TargetMode="External"/><Relationship Id="rId27" Type="http://schemas.openxmlformats.org/officeDocument/2006/relationships/hyperlink" Target="ANEXOS.md#anexo-b-evidencia-agron&#243;mica-detallada--rendimiento-y-coste-de-oportunidad" TargetMode="External"/><Relationship Id="rId37" Type="http://schemas.openxmlformats.org/officeDocument/2006/relationships/hyperlink" Target="ANEXOS.md#anexo-c-comparativa-internacional-detallada--jurisdicciones-con-umbral-1-thc" TargetMode="External"/><Relationship Id="rId20" Type="http://schemas.openxmlformats.org/officeDocument/2006/relationships/hyperlink" Target="ANEXOS.md#anexo-d-fundamento-jur&#237;dico--principio-de-confianza-leg&#237;tima-y-doctrina-kanavape"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ANEXOS.md#a5-efecto-modulador-del-cbd" TargetMode="External"/><Relationship Id="rId44" Type="http://schemas.openxmlformats.org/officeDocument/2006/relationships/hyperlink" Target="ANEXOS.md#anexo-a-metodolog&#237;a-farmacocin&#233;tica--an&#225;lisis-de-seguridad-del-c&#225;&#241;amo-al-1-thc-inhalado" TargetMode="External"/><Relationship Id="rId27" Type="http://schemas.openxmlformats.org/officeDocument/2006/relationships/hyperlink" Target="ANEXOS.md#anexo-b-evidencia-agron&#243;mica-detallada--rendimiento-y-coste-de-oportunidad" TargetMode="External"/><Relationship Id="rId37" Type="http://schemas.openxmlformats.org/officeDocument/2006/relationships/hyperlink" Target="ANEXOS.md#anexo-c-comparativa-internacional-detallada--jurisdicciones-con-umbral-1-thc" TargetMode="External"/><Relationship Id="rId20" Type="http://schemas.openxmlformats.org/officeDocument/2006/relationships/hyperlink" Target="ANEXOS.md#anexo-d-fundamento-jur&#237;dico--principio-de-confianza-leg&#237;tima-y-doctrina-kanava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2026-01-26T00:15:18Z</dcterms:created>
  <dcterms:modified xsi:type="dcterms:W3CDTF">2026-01-26T00:15:18Z</dcterms:modified>
</cp:coreProperties>
</file>

<file path=docProps/custom.xml><?xml version="1.0" encoding="utf-8"?>
<Properties xmlns="http://schemas.openxmlformats.org/officeDocument/2006/custom-properties" xmlns:vt="http://schemas.openxmlformats.org/officeDocument/2006/docPropsVTypes"/>
</file>