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position-paper"/>
    <w:p>
      <w:pPr>
        <w:pStyle w:val="Heading1"/>
      </w:pPr>
      <w:r>
        <w:t xml:space="preserve">POSITION PAPER</w:t>
      </w:r>
    </w:p>
    <w:bookmarkStart w:id="10" w:name="X66a494432ae5a7bba20dae3e2ec51d2a611517d"/>
    <w:p>
      <w:pPr>
        <w:pStyle w:val="Heading2"/>
      </w:pPr>
      <w:r>
        <w:t xml:space="preserve">Propuesta del sector del cáñamo para la PAC 2028–2034:</w:t>
      </w:r>
    </w:p>
    <w:bookmarkStart w:id="9" w:name="X4e21c70344a2a2158a17670617d1c767a95c163"/>
    <w:p>
      <w:pPr>
        <w:pStyle w:val="Heading3"/>
      </w:pPr>
      <w:r>
        <w:t xml:space="preserve">Alineación con estándares internacionales de THC</w:t>
      </w:r>
    </w:p>
    <w:p>
      <w:pPr>
        <w:pStyle w:val="FirstParagraph"/>
      </w:pPr>
      <w:r>
        <w:rPr>
          <w:b/>
          <w:bCs/>
        </w:rPr>
        <w:t xml:space="preserve">Cannabis Hub — Enero 2026</w:t>
      </w:r>
    </w:p>
    <w:p>
      <w:r>
        <w:pict>
          <v:rect style="width:0;height:1.5pt" o:hralign="center" o:hrstd="t" o:hr="t"/>
        </w:pict>
      </w:r>
    </w:p>
    <w:bookmarkEnd w:id="9"/>
    <w:bookmarkEnd w:id="10"/>
    <w:bookmarkStart w:id="11" w:name="executive-summary"/>
    <w:p>
      <w:pPr>
        <w:pStyle w:val="Heading2"/>
      </w:pPr>
      <w:r>
        <w:t xml:space="preserve">Executive Summary</w:t>
      </w:r>
    </w:p>
    <w:p>
      <w:pPr>
        <w:pStyle w:val="FirstParagraph"/>
      </w:pPr>
      <w:r>
        <w:t xml:space="preserve">La Comisión Europea ha propuesto la nueva PAC 2028–2034 (COM(2025) 560) y la revisión de la OCM (COM(2025) 553), donde aparecen</w:t>
      </w:r>
      <w:r>
        <w:t xml:space="preserve"> </w:t>
      </w:r>
      <w:r>
        <w:rPr>
          <w:b/>
          <w:bCs/>
        </w:rPr>
        <w:t xml:space="preserve">mejoras significativas</w:t>
      </w:r>
      <w:r>
        <w:t xml:space="preserve"> </w:t>
      </w:r>
      <w:r>
        <w:t xml:space="preserve">para el sector del cáñamo industrial. Más allá, el Parlamento Europeo se ha pronunciado también para fortalecer el marco regulatorio del cáñamo y ayudar a este cultivo dadas sus</w:t>
      </w:r>
      <w:r>
        <w:t xml:space="preserve"> </w:t>
      </w:r>
      <w:r>
        <w:rPr>
          <w:b/>
          <w:bCs/>
        </w:rPr>
        <w:t xml:space="preserve">ventajas medioambientales, económicas y sociales</w:t>
      </w:r>
      <w:r>
        <w:t xml:space="preserve">.</w:t>
      </w:r>
    </w:p>
    <w:p>
      <w:pPr>
        <w:pStyle w:val="BodyText"/>
      </w:pPr>
      <w:r>
        <w:t xml:space="preserve">El sector europeo y español del cáñamo</w:t>
      </w:r>
      <w:r>
        <w:t xml:space="preserve"> </w:t>
      </w:r>
      <w:r>
        <w:rPr>
          <w:b/>
          <w:bCs/>
        </w:rPr>
        <w:t xml:space="preserve">celebra</w:t>
      </w:r>
      <w:r>
        <w:t xml:space="preserve"> </w:t>
      </w:r>
      <w:r>
        <w:t xml:space="preserve">esta voluntad de mejora, así como el reconocimiento por parte del Parlamento Europeo de la necesidad de superar criterios regulatorios que han quedado obsoletos. Para alinearse efectivamente con los estándares internacionales —como el propio Parlamento ha expresado—, solicitamos el establecimiento de un</w:t>
      </w:r>
      <w:r>
        <w:t xml:space="preserve"> </w:t>
      </w:r>
      <w:r>
        <w:rPr>
          <w:b/>
          <w:bCs/>
        </w:rPr>
        <w:t xml:space="preserve">nuevo umbral armonizado de THC</w:t>
      </w:r>
      <w:r>
        <w:t xml:space="preserve"> </w:t>
      </w:r>
      <w:r>
        <w:t xml:space="preserve">a nivel de la Unión.</w:t>
      </w:r>
    </w:p>
    <w:p>
      <w:pPr>
        <w:pStyle w:val="BodyText"/>
      </w:pPr>
      <w:r>
        <w:t xml:space="preserve">Cannabis Hub propone este umbral para el cáñamo industrial en línea con la decisión de la Comisión de Agricultura del Congreso de los Diputados (PNL 161/004332, enero 2023), que estableció la necesidad de alinear España con los estándares internacionales, fijando el límite seguro en un</w:t>
      </w:r>
      <w:r>
        <w:t xml:space="preserve"> </w:t>
      </w:r>
      <w:r>
        <w:rPr>
          <w:b/>
          <w:bCs/>
        </w:rPr>
        <w:t xml:space="preserve">1% de THC</w:t>
      </w:r>
      <w:r>
        <w:t xml:space="preserve">.</w:t>
      </w:r>
    </w:p>
    <w:p>
      <w:pPr>
        <w:pStyle w:val="BodyText"/>
      </w:pPr>
      <w:r>
        <w:t xml:space="preserve">Estas medidas son</w:t>
      </w:r>
      <w:r>
        <w:t xml:space="preserve"> </w:t>
      </w:r>
      <w:r>
        <w:rPr>
          <w:b/>
          <w:bCs/>
        </w:rPr>
        <w:t xml:space="preserve">jurídicamente sólidas</w:t>
      </w:r>
      <w:r>
        <w:t xml:space="preserve">,</w:t>
      </w:r>
      <w:r>
        <w:t xml:space="preserve"> </w:t>
      </w:r>
      <w:r>
        <w:rPr>
          <w:b/>
          <w:bCs/>
        </w:rPr>
        <w:t xml:space="preserve">científicamente justificadas</w:t>
      </w:r>
      <w:r>
        <w:t xml:space="preserve">,</w:t>
      </w:r>
      <w:r>
        <w:t xml:space="preserve"> </w:t>
      </w:r>
      <w:r>
        <w:rPr>
          <w:b/>
          <w:bCs/>
        </w:rPr>
        <w:t xml:space="preserve">proporcionadas</w:t>
      </w:r>
      <w:r>
        <w:t xml:space="preserve"> </w:t>
      </w:r>
      <w:r>
        <w:t xml:space="preserve">y</w:t>
      </w:r>
      <w:r>
        <w:t xml:space="preserve"> </w:t>
      </w:r>
      <w:r>
        <w:rPr>
          <w:b/>
          <w:bCs/>
        </w:rPr>
        <w:t xml:space="preserve">complementarias</w:t>
      </w:r>
      <w:r>
        <w:t xml:space="preserve">.</w:t>
      </w:r>
    </w:p>
    <w:p>
      <w:pPr>
        <w:pStyle w:val="BodyText"/>
      </w:pPr>
      <w:r>
        <w:t xml:space="preserve">Un umbral armonizado alineado con estándares internacionales</w:t>
      </w:r>
      <w:r>
        <w:t xml:space="preserve"> </w:t>
      </w:r>
      <w:r>
        <w:rPr>
          <w:b/>
          <w:bCs/>
        </w:rPr>
        <w:t xml:space="preserve">fortalecería el mercado interior</w:t>
      </w:r>
      <w:r>
        <w:t xml:space="preserve">,</w:t>
      </w:r>
      <w:r>
        <w:t xml:space="preserve"> </w:t>
      </w:r>
      <w:r>
        <w:rPr>
          <w:b/>
          <w:bCs/>
        </w:rPr>
        <w:t xml:space="preserve">garantizaría seguridad jurídica</w:t>
      </w:r>
      <w:r>
        <w:t xml:space="preserve"> </w:t>
      </w:r>
      <w:r>
        <w:t xml:space="preserve">a agricultores y obtentores,</w:t>
      </w:r>
      <w:r>
        <w:t xml:space="preserve"> </w:t>
      </w:r>
      <w:r>
        <w:rPr>
          <w:b/>
          <w:bCs/>
        </w:rPr>
        <w:t xml:space="preserve">restauraría la competitividad</w:t>
      </w:r>
      <w:r>
        <w:t xml:space="preserve"> </w:t>
      </w:r>
      <w:r>
        <w:t xml:space="preserve">frente a productores globales y</w:t>
      </w:r>
      <w:r>
        <w:t xml:space="preserve"> </w:t>
      </w:r>
      <w:r>
        <w:rPr>
          <w:b/>
          <w:bCs/>
        </w:rPr>
        <w:t xml:space="preserve">reflejaría las realidades agronómicas y climáticas</w:t>
      </w:r>
      <w:r>
        <w:t xml:space="preserve">, sin riesgo de abuso ni daño a la salud pública.</w:t>
      </w:r>
    </w:p>
    <w:p>
      <w:r>
        <w:pict>
          <v:rect style="width:0;height:1.5pt" o:hralign="center" o:hrstd="t" o:hr="t"/>
        </w:pict>
      </w:r>
    </w:p>
    <w:bookmarkEnd w:id="11"/>
    <w:bookmarkStart w:id="12" w:name="índice-detallado"/>
    <w:p>
      <w:pPr>
        <w:pStyle w:val="Heading2"/>
      </w:pPr>
      <w:r>
        <w:t xml:space="preserve">Índice detallado</w:t>
      </w:r>
    </w:p>
    <w:p>
      <w:pPr>
        <w:pStyle w:val="Compact"/>
        <w:numPr>
          <w:ilvl w:val="0"/>
          <w:numId w:val="1001"/>
        </w:numPr>
      </w:pPr>
      <w:hyperlink w:anchor="Xb7cc035336e5a378c269783be014e50029d2f81">
        <w:r>
          <w:rPr>
            <w:rStyle w:val="Hyperlink"/>
          </w:rPr>
          <w:t xml:space="preserve">Momentum Institucional</w:t>
        </w:r>
      </w:hyperlink>
    </w:p>
    <w:p>
      <w:pPr>
        <w:pStyle w:val="Compact"/>
        <w:numPr>
          <w:ilvl w:val="0"/>
          <w:numId w:val="1001"/>
        </w:numPr>
      </w:pPr>
      <w:hyperlink w:anchor="X68e299f9b374e79a200c975e059823b59e9e750">
        <w:r>
          <w:rPr>
            <w:rStyle w:val="Hyperlink"/>
          </w:rPr>
          <w:t xml:space="preserve">Justificación del umbral propuesto</w:t>
        </w:r>
      </w:hyperlink>
    </w:p>
    <w:p>
      <w:pPr>
        <w:pStyle w:val="Compact"/>
        <w:numPr>
          <w:ilvl w:val="1"/>
          <w:numId w:val="1002"/>
        </w:numPr>
      </w:pPr>
      <w:r>
        <w:t xml:space="preserve">2.0</w:t>
      </w:r>
      <w:r>
        <w:t xml:space="preserve"> </w:t>
      </w:r>
      <w:hyperlink w:anchor="X266f41425f113775017bc9c223c0d8f27cbc25f">
        <w:r>
          <w:rPr>
            <w:rStyle w:val="Hyperlink"/>
          </w:rPr>
          <w:t xml:space="preserve">Marco: Una convergencia de argumentos</w:t>
        </w:r>
      </w:hyperlink>
    </w:p>
    <w:p>
      <w:pPr>
        <w:pStyle w:val="Compact"/>
        <w:numPr>
          <w:ilvl w:val="1"/>
          <w:numId w:val="1002"/>
        </w:numPr>
      </w:pPr>
      <w:r>
        <w:t xml:space="preserve">2.1</w:t>
      </w:r>
      <w:r>
        <w:t xml:space="preserve"> </w:t>
      </w:r>
      <w:hyperlink w:anchor="Xe3b656245373e0973f20198da0bd574abf244e8">
        <w:r>
          <w:rPr>
            <w:rStyle w:val="Hyperlink"/>
          </w:rPr>
          <w:t xml:space="preserve">Argumento histórico: Refutación del 0,3%</w:t>
        </w:r>
      </w:hyperlink>
    </w:p>
    <w:p>
      <w:pPr>
        <w:pStyle w:val="Compact"/>
        <w:numPr>
          <w:ilvl w:val="1"/>
          <w:numId w:val="1002"/>
        </w:numPr>
      </w:pPr>
      <w:r>
        <w:t xml:space="preserve">2.2</w:t>
      </w:r>
      <w:r>
        <w:t xml:space="preserve"> </w:t>
      </w:r>
      <w:hyperlink w:anchor="X77231444f48546ac438ab6f42ce4967d7b72a2d">
        <w:r>
          <w:rPr>
            <w:rStyle w:val="Hyperlink"/>
          </w:rPr>
          <w:t xml:space="preserve">Argumento científico-ambiental: Rendimiento y clima</w:t>
        </w:r>
      </w:hyperlink>
    </w:p>
    <w:p>
      <w:pPr>
        <w:pStyle w:val="Compact"/>
        <w:numPr>
          <w:ilvl w:val="1"/>
          <w:numId w:val="1002"/>
        </w:numPr>
      </w:pPr>
      <w:r>
        <w:t xml:space="preserve">2.3</w:t>
      </w:r>
      <w:r>
        <w:t xml:space="preserve"> </w:t>
      </w:r>
      <w:hyperlink w:anchor="X09ab6ef02c2730da5e8c3f094be2a2738014039">
        <w:r>
          <w:rPr>
            <w:rStyle w:val="Hyperlink"/>
          </w:rPr>
          <w:t xml:space="preserve">Argumento político-económico: Competitividad internacional</w:t>
        </w:r>
      </w:hyperlink>
    </w:p>
    <w:p>
      <w:pPr>
        <w:pStyle w:val="Compact"/>
        <w:numPr>
          <w:ilvl w:val="1"/>
          <w:numId w:val="1002"/>
        </w:numPr>
      </w:pPr>
      <w:r>
        <w:t xml:space="preserve">2.4</w:t>
      </w:r>
      <w:r>
        <w:t xml:space="preserve"> </w:t>
      </w:r>
      <w:hyperlink w:anchor="Xeafa7a2626b6ca8a6c50d6115c932314d2369c2">
        <w:r>
          <w:rPr>
            <w:rStyle w:val="Hyperlink"/>
          </w:rPr>
          <w:t xml:space="preserve">Argumento social: Seguridad y salud pública</w:t>
        </w:r>
      </w:hyperlink>
    </w:p>
    <w:p>
      <w:pPr>
        <w:pStyle w:val="Compact"/>
        <w:numPr>
          <w:ilvl w:val="2"/>
          <w:numId w:val="1003"/>
        </w:numPr>
      </w:pPr>
      <w:r>
        <w:t xml:space="preserve">2.4.0 Marco de evaluación: realismo frente a teoría</w:t>
      </w:r>
    </w:p>
    <w:p>
      <w:pPr>
        <w:pStyle w:val="Compact"/>
        <w:numPr>
          <w:ilvl w:val="2"/>
          <w:numId w:val="1003"/>
        </w:numPr>
      </w:pPr>
      <w:r>
        <w:t xml:space="preserve">2.4.1 Qué regula este umbral</w:t>
      </w:r>
    </w:p>
    <w:p>
      <w:pPr>
        <w:pStyle w:val="Compact"/>
        <w:numPr>
          <w:ilvl w:val="2"/>
          <w:numId w:val="1003"/>
        </w:numPr>
      </w:pPr>
      <w:r>
        <w:t xml:space="preserve">2.4.2 Escenarios teóricos de abuso: por qué no son realistas</w:t>
      </w:r>
    </w:p>
    <w:p>
      <w:pPr>
        <w:pStyle w:val="Compact"/>
        <w:numPr>
          <w:ilvl w:val="2"/>
          <w:numId w:val="1003"/>
        </w:numPr>
      </w:pPr>
      <w:r>
        <w:t xml:space="preserve">2.4.3 Efectos moduladores y factores adicionales</w:t>
      </w:r>
    </w:p>
    <w:p>
      <w:pPr>
        <w:pStyle w:val="Compact"/>
        <w:numPr>
          <w:ilvl w:val="2"/>
          <w:numId w:val="1003"/>
        </w:numPr>
      </w:pPr>
      <w:r>
        <w:t xml:space="preserve">2.4.4 Conclusión de seguridad</w:t>
      </w:r>
    </w:p>
    <w:p>
      <w:pPr>
        <w:pStyle w:val="Compact"/>
        <w:numPr>
          <w:ilvl w:val="2"/>
          <w:numId w:val="1003"/>
        </w:numPr>
      </w:pPr>
      <w:r>
        <w:t xml:space="preserve">2.4.5 Precedente europeo: más de una década de venta sin incidentes</w:t>
      </w:r>
    </w:p>
    <w:p>
      <w:pPr>
        <w:pStyle w:val="Compact"/>
        <w:numPr>
          <w:ilvl w:val="0"/>
          <w:numId w:val="1001"/>
        </w:numPr>
      </w:pPr>
      <w:hyperlink w:anchor="Xf55baa4aa56dcd130da92e0d6cbf273d432aaea">
        <w:r>
          <w:rPr>
            <w:rStyle w:val="Hyperlink"/>
          </w:rPr>
          <w:t xml:space="preserve">Conclusión y Propuesta de Enmienda</w:t>
        </w:r>
      </w:hyperlink>
    </w:p>
    <w:p>
      <w:pPr>
        <w:pStyle w:val="Compact"/>
        <w:numPr>
          <w:ilvl w:val="0"/>
          <w:numId w:val="1001"/>
        </w:numPr>
      </w:pPr>
      <w:r>
        <w:t xml:space="preserve">Anexos</w:t>
      </w:r>
    </w:p>
    <w:p>
      <w:pPr>
        <w:pStyle w:val="Compact"/>
        <w:numPr>
          <w:ilvl w:val="1"/>
          <w:numId w:val="1004"/>
        </w:numPr>
      </w:pPr>
      <w:hyperlink w:anchor="anexo-a-evidencia-científica">
        <w:r>
          <w:rPr>
            <w:rStyle w:val="Hyperlink"/>
          </w:rPr>
          <w:t xml:space="preserve">Anexo A: Evidencia científica</w:t>
        </w:r>
      </w:hyperlink>
    </w:p>
    <w:p>
      <w:pPr>
        <w:pStyle w:val="Compact"/>
        <w:numPr>
          <w:ilvl w:val="1"/>
          <w:numId w:val="1004"/>
        </w:numPr>
      </w:pPr>
      <w:hyperlink w:anchor="anexo-b-comparativa-internacional">
        <w:r>
          <w:rPr>
            <w:rStyle w:val="Hyperlink"/>
          </w:rPr>
          <w:t xml:space="preserve">Anexo B: Comparativa internacional</w:t>
        </w:r>
      </w:hyperlink>
    </w:p>
    <w:p>
      <w:pPr>
        <w:pStyle w:val="Compact"/>
        <w:numPr>
          <w:ilvl w:val="1"/>
          <w:numId w:val="1004"/>
        </w:numPr>
      </w:pPr>
      <w:hyperlink w:anchor="anexo-c-texto-enmienda-propuesta">
        <w:r>
          <w:rPr>
            <w:rStyle w:val="Hyperlink"/>
          </w:rPr>
          <w:t xml:space="preserve">Anexo C: Texto enmienda propuesta</w:t>
        </w:r>
      </w:hyperlink>
    </w:p>
    <w:p>
      <w:r>
        <w:pict>
          <v:rect style="width:0;height:1.5pt" o:hralign="center" o:hrstd="t" o:hr="t"/>
        </w:pict>
      </w:r>
    </w:p>
    <w:bookmarkEnd w:id="12"/>
    <w:bookmarkEnd w:id="13"/>
    <w:bookmarkStart w:id="18" w:name="momentum-institucional"/>
    <w:p>
      <w:pPr>
        <w:pStyle w:val="Heading1"/>
      </w:pPr>
      <w:r>
        <w:t xml:space="preserve">1. MOMENTUM INSTITUCIONAL</w:t>
      </w:r>
    </w:p>
    <w:p>
      <w:pPr>
        <w:pStyle w:val="FirstParagraph"/>
      </w:pPr>
      <w:r>
        <w:t xml:space="preserve">El debate sobre el umbral de THC para cáñamo industrial se sitúa en el marco de la</w:t>
      </w:r>
      <w:r>
        <w:t xml:space="preserve"> </w:t>
      </w:r>
      <w:r>
        <w:rPr>
          <w:b/>
          <w:bCs/>
        </w:rPr>
        <w:t xml:space="preserve">PAC y la OCM</w:t>
      </w:r>
      <w:r>
        <w:t xml:space="preserve">, no en el ámbito de estupefacientes. La Convención Única de 1961 establece expresamente (Art. 28.2) que sus disposiciones</w:t>
      </w:r>
      <w:r>
        <w:t xml:space="preserve"> </w:t>
      </w:r>
      <w:r>
        <w:rPr>
          <w:b/>
          <w:bCs/>
        </w:rPr>
        <w:t xml:space="preserve">“no se aplicarán al cultivo de la planta de cannabis destinado exclusivamente a fines industriales (fibra y semillas) u hortícolas”</w:t>
      </w:r>
      <w:r>
        <w:t xml:space="preserve">. El umbral de THC es, por tanto, una cuestión de política agrícola y mercado interior.</w:t>
      </w:r>
    </w:p>
    <w:bookmarkStart w:id="14" w:name="Xa17e1f98f9a8d7f2ee13473da451bbb4a4d2b4e"/>
    <w:p>
      <w:pPr>
        <w:pStyle w:val="Heading2"/>
      </w:pPr>
      <w:r>
        <w:t xml:space="preserve">1.1 Mandato del Congreso de los Diputados: España ya pidió el 1%</w:t>
      </w:r>
    </w:p>
    <w:p>
      <w:pPr>
        <w:pStyle w:val="FirstParagraph"/>
      </w:pPr>
      <w:r>
        <w:t xml:space="preserve">El 25 de enero de 2023, el Congreso de los Diputados tramitó la</w:t>
      </w:r>
      <w:r>
        <w:t xml:space="preserve"> </w:t>
      </w:r>
      <w:r>
        <w:rPr>
          <w:b/>
          <w:bCs/>
        </w:rPr>
        <w:t xml:space="preserve">Proposición No de Ley 161/004332</w:t>
      </w:r>
      <w:r>
        <w:t xml:space="preserve"> </w:t>
      </w:r>
      <w:r>
        <w:t xml:space="preserve">en la Comisión de Agricultura, Pesca y Alimentación. El punto 3 de la PNL establece:</w:t>
      </w:r>
    </w:p>
    <w:p>
      <w:pPr>
        <w:pStyle w:val="BlockText"/>
      </w:pPr>
      <w:r>
        <w:rPr>
          <w:i/>
          <w:iCs/>
        </w:rPr>
        <w:t xml:space="preserve">«Establecer en una futura regulación del cannabis no psicoactivo la limitación del porcentaje de THC al</w:t>
      </w:r>
      <w:r>
        <w:rPr>
          <w:i/>
          <w:iCs/>
        </w:rPr>
        <w:t xml:space="preserve"> </w:t>
      </w:r>
      <w:r>
        <w:rPr>
          <w:b/>
          <w:bCs/>
          <w:i/>
          <w:iCs/>
        </w:rPr>
        <w:t xml:space="preserve">1%</w:t>
      </w:r>
      <w:r>
        <w:rPr>
          <w:i/>
          <w:iCs/>
        </w:rPr>
        <w:t xml:space="preserve">, asegurando de esta forma la ausencia de efectos estupefacientes, así como un mayor rendimiento de los cultivos y su sostenibilidad conforme al</w:t>
      </w:r>
      <w:r>
        <w:rPr>
          <w:i/>
          <w:iCs/>
        </w:rPr>
        <w:t xml:space="preserve"> </w:t>
      </w:r>
      <w:r>
        <w:rPr>
          <w:b/>
          <w:bCs/>
          <w:i/>
          <w:iCs/>
        </w:rPr>
        <w:t xml:space="preserve">Pacto Verde Europeo</w:t>
      </w:r>
      <w:r>
        <w:rPr>
          <w:i/>
          <w:iCs/>
        </w:rPr>
        <w:t xml:space="preserve">; algo que, de no hacerse, obligaría a operar en este mercado con una</w:t>
      </w:r>
      <w:r>
        <w:rPr>
          <w:i/>
          <w:iCs/>
        </w:rPr>
        <w:t xml:space="preserve"> </w:t>
      </w:r>
      <w:r>
        <w:rPr>
          <w:b/>
          <w:bCs/>
          <w:i/>
          <w:iCs/>
        </w:rPr>
        <w:t xml:space="preserve">desventaja clara</w:t>
      </w:r>
      <w:r>
        <w:rPr>
          <w:i/>
          <w:iCs/>
        </w:rPr>
        <w:t xml:space="preserve"> </w:t>
      </w:r>
      <w:r>
        <w:rPr>
          <w:i/>
          <w:iCs/>
        </w:rPr>
        <w:t xml:space="preserve">respecto de otros países de nuestro entorno.»</w:t>
      </w:r>
    </w:p>
    <w:p>
      <w:pPr>
        <w:pStyle w:val="FirstParagraph"/>
      </w:pPr>
      <w:r>
        <w:t xml:space="preserve">La PNL fue presentada por los Grupos Parlamentarios Confederal Unidas Podemos-En Comú Podem-Galicia en Común, Euskal Herria Bildu y Republicano. Este mandato parlamentario español</w:t>
      </w:r>
      <w:r>
        <w:t xml:space="preserve"> </w:t>
      </w:r>
      <w:r>
        <w:rPr>
          <w:b/>
          <w:bCs/>
        </w:rPr>
        <w:t xml:space="preserve">anticipa en más de dos años</w:t>
      </w:r>
      <w:r>
        <w:t xml:space="preserve"> </w:t>
      </w:r>
      <w:r>
        <w:t xml:space="preserve">la posición del Parlamento Europeo y constituye la base legitimadora de la presente solicitud.</w:t>
      </w:r>
    </w:p>
    <w:bookmarkEnd w:id="14"/>
    <w:bookmarkStart w:id="15" w:name="Xd54ccdc7c5fbc7b4a4fcf6236bc6a3ced65610d"/>
    <w:p>
      <w:pPr>
        <w:pStyle w:val="Heading2"/>
      </w:pPr>
      <w:r>
        <w:t xml:space="preserve">1.2 Posición del Parlamento Europeo (septiembre 2025)</w:t>
      </w:r>
    </w:p>
    <w:p>
      <w:pPr>
        <w:pStyle w:val="FirstParagraph"/>
      </w:pPr>
      <w:r>
        <w:t xml:space="preserve">La Resolución del PE sobre agricultura y PAC post-2027 (P10_TA(2025)0189, punto 129) marca un hito institucional europeo, aunque</w:t>
      </w:r>
      <w:r>
        <w:t xml:space="preserve"> </w:t>
      </w:r>
      <w:r>
        <w:rPr>
          <w:b/>
          <w:bCs/>
        </w:rPr>
        <w:t xml:space="preserve">se queda corto</w:t>
      </w:r>
      <w:r>
        <w:t xml:space="preserve"> </w:t>
      </w:r>
      <w:r>
        <w:t xml:space="preserve">respecto al mandato español:</w:t>
      </w:r>
    </w:p>
    <w:p>
      <w:pPr>
        <w:pStyle w:val="BlockText"/>
      </w:pPr>
      <w:r>
        <w:rPr>
          <w:i/>
          <w:iCs/>
        </w:rPr>
        <w:t xml:space="preserve">“Destaca la importancia de confirmar explícitamente la legalidad del cultivo, la recolección, la transformación y la comercialización de todas las partes de la planta de cáñamo […]; señala que el cultivo del cáñamo requiere relativamente pocos insumos, especialmente fertilizantes, productos fitosanitarios y agua; hace hincapié en que también contribuye a la salud del suelo y a la biodiversidad […]; pide a la Comisión que establezca un umbral común a escala de la Unión del</w:t>
      </w:r>
      <w:r>
        <w:rPr>
          <w:i/>
          <w:iCs/>
        </w:rPr>
        <w:t xml:space="preserve"> </w:t>
      </w:r>
      <w:r>
        <w:rPr>
          <w:b/>
          <w:bCs/>
          <w:i/>
          <w:iCs/>
        </w:rPr>
        <w:t xml:space="preserve">0,5% de tetrahidrocannabinol (THC)</w:t>
      </w:r>
      <w:r>
        <w:rPr>
          <w:i/>
          <w:iCs/>
        </w:rPr>
        <w:t xml:space="preserve">”</w:t>
      </w:r>
      <w:r>
        <w:rPr>
          <w:i/>
          <w:iCs/>
        </w:rPr>
        <w:t xml:space="preserve">.</w:t>
      </w:r>
    </w:p>
    <w:p>
      <w:pPr>
        <w:pStyle w:val="FirstParagraph"/>
      </w:pPr>
      <w:r>
        <w:t xml:space="preserve">El PE reconoce la necesidad de elevar el umbral, pero su propuesta del 0,5% no alcanza el nivel de ambición del mandato español (1%).</w:t>
      </w:r>
    </w:p>
    <w:bookmarkEnd w:id="15"/>
    <w:bookmarkStart w:id="16" w:name="posición-sectorial-eiha"/>
    <w:p>
      <w:pPr>
        <w:pStyle w:val="Heading2"/>
      </w:pPr>
      <w:r>
        <w:t xml:space="preserve">1.3 Posición sectorial: EIHA</w:t>
      </w:r>
    </w:p>
    <w:p>
      <w:pPr>
        <w:pStyle w:val="FirstParagraph"/>
      </w:pPr>
      <w:r>
        <w:t xml:space="preserve">La European Industrial Hemp Association (EIHA) [28] respalda el 0,5%, argumentando que fortalecería el mercado interior, garantizaría seguridad jurídica y restauraría competitividad frente a productores globales,</w:t>
      </w:r>
      <w:r>
        <w:t xml:space="preserve"> </w:t>
      </w:r>
      <w:r>
        <w:rPr>
          <w:b/>
          <w:bCs/>
        </w:rPr>
        <w:t xml:space="preserve">“sin riesgo de abuso ni daño a la salud pública”</w:t>
      </w:r>
      <w:r>
        <w:t xml:space="preserve">. Cannabis Hub comparte estos argumentos, pero sostiene que conducen lógicamente al 1%, no al 0,5%.</w:t>
      </w:r>
    </w:p>
    <w:bookmarkEnd w:id="16"/>
    <w:bookmarkStart w:id="17" w:name="contexto-regulatorio-actual"/>
    <w:p>
      <w:pPr>
        <w:pStyle w:val="Heading2"/>
      </w:pPr>
      <w:r>
        <w:t xml:space="preserve">1.4 Contexto regulatorio actual</w:t>
      </w:r>
    </w:p>
    <w:p>
      <w:pPr>
        <w:pStyle w:val="FirstParagraph"/>
      </w:pPr>
      <w:r>
        <w:t xml:space="preserve">Las propuestas COM(2025) 553 (OCM) y COM(2025) 560 (PAC) mantienen el 0,3%, pero introducen por primera vez el código NC 1211 90 86 (</w:t>
      </w:r>
      <w:r>
        <w:t xml:space="preserve">“las demás partes de la planta”</w:t>
      </w:r>
      <w:r>
        <w:t xml:space="preserve">), incluyendo</w:t>
      </w:r>
      <w:r>
        <w:t xml:space="preserve"> </w:t>
      </w:r>
      <w:r>
        <w:rPr>
          <w:b/>
          <w:bCs/>
        </w:rPr>
        <w:t xml:space="preserve">flores y biomasa</w:t>
      </w:r>
      <w:r>
        <w:t xml:space="preserve"> </w:t>
      </w:r>
      <w:r>
        <w:t xml:space="preserve">en el marco regulatorio. Esta ampliación de alcance refuerza la necesidad de un umbral robusto que soporte la cadena de valor de extractos y derivados.</w:t>
      </w:r>
    </w:p>
    <w:p>
      <w:r>
        <w:pict>
          <v:rect style="width:0;height:1.5pt" o:hralign="center" o:hrstd="t" o:hr="t"/>
        </w:pict>
      </w:r>
    </w:p>
    <w:bookmarkEnd w:id="17"/>
    <w:bookmarkEnd w:id="18"/>
    <w:bookmarkStart w:id="48" w:name="justificación-del-umbral-propuesto"/>
    <w:p>
      <w:pPr>
        <w:pStyle w:val="Heading1"/>
      </w:pPr>
      <w:r>
        <w:t xml:space="preserve">2. JUSTIFICACIÓN DEL UMBRAL PROPUESTO</w:t>
      </w:r>
    </w:p>
    <w:bookmarkStart w:id="19" w:name="marco-una-convergencia-de-argumentos"/>
    <w:p>
      <w:pPr>
        <w:pStyle w:val="Heading2"/>
      </w:pPr>
      <w:r>
        <w:t xml:space="preserve">2.0 MARCO: UNA CONVERGENCIA DE ARGUMENTOS</w:t>
      </w:r>
    </w:p>
    <w:p>
      <w:pPr>
        <w:pStyle w:val="FirstParagraph"/>
      </w:pPr>
      <w:r>
        <w:t xml:space="preserve">La propuesta de elevar el umbral al 1% THC no responde a una única motivación sectorial. Es el resultado de una</w:t>
      </w:r>
      <w:r>
        <w:t xml:space="preserve"> </w:t>
      </w:r>
      <w:r>
        <w:rPr>
          <w:b/>
          <w:bCs/>
        </w:rPr>
        <w:t xml:space="preserve">convergencia de argumentos</w:t>
      </w:r>
      <w:r>
        <w:t xml:space="preserve"> </w:t>
      </w:r>
      <w:r>
        <w:t xml:space="preserve">que, analizados en conjunto, hacen del 1% la opción más coherente y fundamentada:</w:t>
      </w:r>
    </w:p>
    <w:p>
      <w:pPr>
        <w:numPr>
          <w:ilvl w:val="0"/>
          <w:numId w:val="1005"/>
        </w:numPr>
      </w:pPr>
      <w:r>
        <w:rPr>
          <w:b/>
          <w:bCs/>
        </w:rPr>
        <w:t xml:space="preserve">Histórico</w:t>
      </w:r>
      <w:r>
        <w:t xml:space="preserve">: El umbral del 0,3% carece de base científica sólida y su propio autor lo considera obsoleto.</w:t>
      </w:r>
    </w:p>
    <w:p>
      <w:pPr>
        <w:numPr>
          <w:ilvl w:val="0"/>
          <w:numId w:val="1005"/>
        </w:numPr>
      </w:pPr>
      <w:r>
        <w:rPr>
          <w:b/>
          <w:bCs/>
        </w:rPr>
        <w:t xml:space="preserve">Científico y ambiental</w:t>
      </w:r>
      <w:r>
        <w:t xml:space="preserve">: las variedades de mayor rendimiento —actualmente excluidas por el umbral restrictivo— podrían incorporarse al catálogo europeo, mejorando la productividad del sector y la captura de CO₂.</w:t>
      </w:r>
    </w:p>
    <w:p>
      <w:pPr>
        <w:numPr>
          <w:ilvl w:val="0"/>
          <w:numId w:val="1005"/>
        </w:numPr>
      </w:pPr>
      <w:r>
        <w:rPr>
          <w:b/>
          <w:bCs/>
        </w:rPr>
        <w:t xml:space="preserve">Político y económico</w:t>
      </w:r>
      <w:r>
        <w:t xml:space="preserve">: 18 jurisdicciones ya operan con este estándar. Alinearse facilita la libre circulación de mercancías y elimina barreras competitivas para el sector europeo.</w:t>
      </w:r>
    </w:p>
    <w:p>
      <w:pPr>
        <w:numPr>
          <w:ilvl w:val="0"/>
          <w:numId w:val="1005"/>
        </w:numPr>
      </w:pPr>
      <w:r>
        <w:rPr>
          <w:b/>
          <w:bCs/>
        </w:rPr>
        <w:t xml:space="preserve">Social</w:t>
      </w:r>
      <w:r>
        <w:t xml:space="preserve">: el 1% THC no presenta riesgo realista de abuso ni daño a la salud pública.</w:t>
      </w:r>
    </w:p>
    <w:p>
      <w:pPr>
        <w:pStyle w:val="FirstParagraph"/>
      </w:pPr>
      <w:r>
        <w:t xml:space="preserve">A continuación se desarrolla la evidencia que sustenta cada uno de estos pilares argumentativos.</w:t>
      </w:r>
    </w:p>
    <w:p>
      <w:r>
        <w:pict>
          <v:rect style="width:0;height:1.5pt" o:hralign="center" o:hrstd="t" o:hr="t"/>
        </w:pict>
      </w:r>
    </w:p>
    <w:bookmarkEnd w:id="19"/>
    <w:bookmarkStart w:id="20" w:name="argumento-histórico-refutación-del-03"/>
    <w:p>
      <w:pPr>
        <w:pStyle w:val="Heading2"/>
      </w:pPr>
      <w:r>
        <w:t xml:space="preserve">2.1 ARGUMENTO HISTÓRICO: REFUTACIÓN DEL 0,3%</w:t>
      </w:r>
    </w:p>
    <w:p>
      <w:pPr>
        <w:pStyle w:val="FirstParagraph"/>
      </w:pPr>
      <w:r>
        <w:t xml:space="preserve">Actualmente, el umbral de THC para el cáñamo industrial en la Unión Europea se sitúa en el</w:t>
      </w:r>
      <w:r>
        <w:t xml:space="preserve"> </w:t>
      </w:r>
      <w:r>
        <w:rPr>
          <w:b/>
          <w:bCs/>
        </w:rPr>
        <w:t xml:space="preserve">0,3%</w:t>
      </w:r>
      <w:r>
        <w:t xml:space="preserve">. Cabe destacar que la PAC no establece este porcentaje como criterio definitorio entre cáñamo industrial y cannabis narcótico —esa distinción corresponde a otros marcos normativos—, sino que simplemente determina que los cultivos que excedan este límite no podrán acogerse a las ayudas del presente Reglamento.</w:t>
      </w:r>
    </w:p>
    <w:p>
      <w:pPr>
        <w:pStyle w:val="BodyText"/>
      </w:pPr>
      <w:r>
        <w:t xml:space="preserve">Este umbral se fijó por primera vez en la regulación europea en</w:t>
      </w:r>
      <w:r>
        <w:t xml:space="preserve"> </w:t>
      </w:r>
      <w:r>
        <w:rPr>
          <w:b/>
          <w:bCs/>
        </w:rPr>
        <w:t xml:space="preserve">1984</w:t>
      </w:r>
      <w:r>
        <w:t xml:space="preserve">, estableciendo un 0,3% con un período transitorio de dos años al 0,5%. Sin embargo,</w:t>
      </w:r>
      <w:r>
        <w:t xml:space="preserve"> </w:t>
      </w:r>
      <w:r>
        <w:rPr>
          <w:b/>
          <w:bCs/>
        </w:rPr>
        <w:t xml:space="preserve">no existe documentación que justifique la elección de esta cifra</w:t>
      </w:r>
      <w:r>
        <w:t xml:space="preserve"> </w:t>
      </w:r>
      <w:r>
        <w:t xml:space="preserve">ni los criterios técnicos o científicos que la sustentaron.</w:t>
      </w:r>
    </w:p>
    <w:p>
      <w:pPr>
        <w:pStyle w:val="BodyText"/>
      </w:pPr>
      <w:r>
        <w:t xml:space="preserve">La única referencia científica contemporánea que establece el 0,3% como punto de corte es la clasificación taxonómica del</w:t>
      </w:r>
      <w:r>
        <w:t xml:space="preserve"> </w:t>
      </w:r>
      <w:r>
        <w:rPr>
          <w:b/>
          <w:bCs/>
        </w:rPr>
        <w:t xml:space="preserve">Dr. Ernest Small</w:t>
      </w:r>
      <w:r>
        <w:t xml:space="preserve"> </w:t>
      </w:r>
      <w:r>
        <w:t xml:space="preserve">[1], que proponía este porcentaje para diferenciar variedades de cannabis. Esto nos lleva a considerar que fue probablemente la referencia adoptada por el legislador europeo. Sea así o no, analizar esta clasificación —la cual procede de un estudio científico y de rigor— resulta esencial para evaluar si el umbral actual sigue siendo adecuado.</w:t>
      </w:r>
    </w:p>
    <w:p>
      <w:pPr>
        <w:pStyle w:val="BodyText"/>
      </w:pPr>
      <w:r>
        <w:t xml:space="preserve">Small &amp; Cronquist [1], para su estudio taxonómico, utilizaron plantas cultivadas en su invernadero de Ottawa a partir de</w:t>
      </w:r>
      <w:r>
        <w:t xml:space="preserve"> </w:t>
      </w:r>
      <w:r>
        <w:rPr>
          <w:b/>
          <w:bCs/>
        </w:rPr>
        <w:t xml:space="preserve">semillas de cáñamo del Jardín Botánico de la Universidad de Kaunas, Lituania</w:t>
      </w:r>
      <w:r>
        <w:t xml:space="preserve">. Su propósito era establecer un criterio para diferenciar cáñamo de marihuana. En su trabajo escribieron:</w:t>
      </w:r>
    </w:p>
    <w:p>
      <w:pPr>
        <w:pStyle w:val="BlockText"/>
      </w:pPr>
      <w:r>
        <w:rPr>
          <w:i/>
          <w:iCs/>
        </w:rPr>
        <w:t xml:space="preserve">“It will be noted that we</w:t>
      </w:r>
      <w:r>
        <w:rPr>
          <w:i/>
          <w:iCs/>
        </w:rPr>
        <w:t xml:space="preserve"> </w:t>
      </w:r>
      <w:r>
        <w:rPr>
          <w:b/>
          <w:bCs/>
          <w:i/>
          <w:iCs/>
        </w:rPr>
        <w:t xml:space="preserve">arbitrarily adopt</w:t>
      </w:r>
      <w:r>
        <w:rPr>
          <w:i/>
          <w:iCs/>
        </w:rPr>
        <w:t xml:space="preserve"> </w:t>
      </w:r>
      <w:r>
        <w:rPr>
          <w:i/>
          <w:iCs/>
        </w:rPr>
        <w:t xml:space="preserve">a concentration of 0.3% Δ9-THC (dry weight basis) in</w:t>
      </w:r>
      <w:r>
        <w:rPr>
          <w:i/>
          <w:iCs/>
        </w:rPr>
        <w:t xml:space="preserve"> </w:t>
      </w:r>
      <w:r>
        <w:rPr>
          <w:b/>
          <w:bCs/>
          <w:i/>
          <w:iCs/>
        </w:rPr>
        <w:t xml:space="preserve">young, vigorous leaves</w:t>
      </w:r>
      <w:r>
        <w:rPr>
          <w:i/>
          <w:iCs/>
        </w:rPr>
        <w:t xml:space="preserve"> </w:t>
      </w:r>
      <w:r>
        <w:rPr>
          <w:i/>
          <w:iCs/>
        </w:rPr>
        <w:t xml:space="preserve">of relatively mature plants as a</w:t>
      </w:r>
      <w:r>
        <w:rPr>
          <w:i/>
          <w:iCs/>
        </w:rPr>
        <w:t xml:space="preserve"> </w:t>
      </w:r>
      <w:r>
        <w:rPr>
          <w:b/>
          <w:bCs/>
          <w:i/>
          <w:iCs/>
        </w:rPr>
        <w:t xml:space="preserve">guide to discriminating two classes of plants</w:t>
      </w:r>
      <w:r>
        <w:rPr>
          <w:i/>
          <w:iCs/>
        </w:rPr>
        <w:t xml:space="preserve">.”</w:t>
      </w:r>
      <w:r>
        <w:t xml:space="preserve"> </w:t>
      </w:r>
      <w:r>
        <w:t xml:space="preserve">— Taxon 25(4): 408</w:t>
      </w:r>
    </w:p>
    <w:p>
      <w:pPr>
        <w:pStyle w:val="FirstParagraph"/>
      </w:pPr>
      <w:r>
        <w:t xml:space="preserve">Dos elementos clave emergen de esta cita fundacional:</w:t>
      </w:r>
    </w:p>
    <w:p>
      <w:pPr>
        <w:pStyle w:val="BodyText"/>
      </w:pPr>
      <w:r>
        <w:rPr>
          <w:b/>
          <w:bCs/>
        </w:rPr>
        <w:t xml:space="preserve">Primero</w:t>
      </w:r>
      <w:r>
        <w:t xml:space="preserve">, los propios autores reconocen que el criterio fue adoptado</w:t>
      </w:r>
      <w:r>
        <w:t xml:space="preserve"> </w:t>
      </w:r>
      <w:r>
        <w:rPr>
          <w:i/>
          <w:iCs/>
        </w:rPr>
        <w:t xml:space="preserve">“arbitrarily”</w:t>
      </w:r>
      <w:r>
        <w:t xml:space="preserve"> </w:t>
      </w:r>
      <w:r>
        <w:t xml:space="preserve">(arbitrariamente), no derivado de estudios toxicológicos ni de seguridad.</w:t>
      </w:r>
    </w:p>
    <w:p>
      <w:pPr>
        <w:pStyle w:val="BodyText"/>
      </w:pPr>
      <w:r>
        <w:rPr>
          <w:b/>
          <w:bCs/>
        </w:rPr>
        <w:t xml:space="preserve">Segundo</w:t>
      </w:r>
      <w:r>
        <w:t xml:space="preserve">, el umbral se midió en</w:t>
      </w:r>
      <w:r>
        <w:t xml:space="preserve"> </w:t>
      </w:r>
      <w:r>
        <w:rPr>
          <w:i/>
          <w:iCs/>
        </w:rPr>
        <w:t xml:space="preserve">“young, vigorous leaves”</w:t>
      </w:r>
      <w:r>
        <w:t xml:space="preserve"> </w:t>
      </w:r>
      <w:r>
        <w:t xml:space="preserve">(hojas jóvenes) de plantas de cáñamo lituano cultivadas en invernadero canadiense,</w:t>
      </w:r>
      <w:r>
        <w:t xml:space="preserve"> </w:t>
      </w:r>
      <w:r>
        <w:rPr>
          <w:b/>
          <w:bCs/>
        </w:rPr>
        <w:t xml:space="preserve">no en flores</w:t>
      </w:r>
      <w:r>
        <w:t xml:space="preserve"> </w:t>
      </w:r>
      <w:r>
        <w:t xml:space="preserve">—donde las concentraciones son significativamente superiores— ni en condiciones de campo europeas. Los mismos autores advierten:</w:t>
      </w:r>
      <w:r>
        <w:t xml:space="preserve"> </w:t>
      </w:r>
      <w:r>
        <w:rPr>
          <w:i/>
          <w:iCs/>
        </w:rPr>
        <w:t xml:space="preserve">“different parts of the plant contain different concentrations”</w:t>
      </w:r>
      <w:r>
        <w:t xml:space="preserve">.</w:t>
      </w:r>
    </w:p>
    <w:p>
      <w:pPr>
        <w:pStyle w:val="BodyText"/>
      </w:pPr>
      <w:r>
        <w:t xml:space="preserve">El propio Dr. Small confirmó en 2021 [2] que el criterio 0,3% fue establecido</w:t>
      </w:r>
      <w:r>
        <w:t xml:space="preserve"> </w:t>
      </w:r>
      <w:r>
        <w:rPr>
          <w:i/>
          <w:iCs/>
        </w:rPr>
        <w:t xml:space="preserve">“on strictly taxonomic considerations”</w:t>
      </w:r>
      <w:r>
        <w:t xml:space="preserve"> </w:t>
      </w:r>
      <w:r>
        <w:t xml:space="preserve">y constituye actualmente</w:t>
      </w:r>
      <w:r>
        <w:t xml:space="preserve"> </w:t>
      </w:r>
      <w:r>
        <w:rPr>
          <w:i/>
          <w:iCs/>
        </w:rPr>
        <w:t xml:space="preserve">“a hindrance to the industry”</w:t>
      </w:r>
      <w:r>
        <w:t xml:space="preserve">. Small reconoce que</w:t>
      </w:r>
      <w:r>
        <w:t xml:space="preserve"> </w:t>
      </w:r>
      <w:r>
        <w:rPr>
          <w:i/>
          <w:iCs/>
        </w:rPr>
        <w:t xml:space="preserve">“the</w:t>
      </w:r>
      <w:r>
        <w:rPr>
          <w:i/>
          <w:iCs/>
        </w:rPr>
        <w:t xml:space="preserve"> </w:t>
      </w:r>
      <w:r>
        <w:rPr>
          <w:i/>
          <w:iCs/>
        </w:rPr>
        <w:t xml:space="preserve">‘abuse’</w:t>
      </w:r>
      <w:r>
        <w:rPr>
          <w:i/>
          <w:iCs/>
        </w:rPr>
        <w:t xml:space="preserve"> </w:t>
      </w:r>
      <w:r>
        <w:rPr>
          <w:i/>
          <w:iCs/>
        </w:rPr>
        <w:t xml:space="preserve">potential… in practical terms requires a concentration of approximately 1% THC”</w:t>
      </w:r>
      <w:r>
        <w:t xml:space="preserve">, concluyendo:</w:t>
      </w:r>
      <w:r>
        <w:t xml:space="preserve"> </w:t>
      </w:r>
      <w:r>
        <w:rPr>
          <w:i/>
          <w:iCs/>
        </w:rPr>
        <w:t xml:space="preserve">“1% THC would be a more suitable criterion”</w:t>
      </w:r>
      <w:r>
        <w:t xml:space="preserve">.</w:t>
      </w:r>
    </w:p>
    <w:p>
      <w:pPr>
        <w:pStyle w:val="BodyText"/>
      </w:pPr>
      <w:r>
        <w:t xml:space="preserve">Tras 50 años de avances genéticos y cambios climáticos, la ciencia moderna respalda esta revisión.</w:t>
      </w:r>
    </w:p>
    <w:p>
      <w:r>
        <w:pict>
          <v:rect style="width:0;height:1.5pt" o:hralign="center" o:hrstd="t" o:hr="t"/>
        </w:pict>
      </w:r>
    </w:p>
    <w:bookmarkEnd w:id="20"/>
    <w:bookmarkStart w:id="26" w:name="Xf2af15e94ae512b3b23ba4eb66fc32157e0b15c"/>
    <w:p>
      <w:pPr>
        <w:pStyle w:val="Heading2"/>
      </w:pPr>
      <w:r>
        <w:t xml:space="preserve">2.2 ARGUMENTO CIENTÍFICO-AMBIENTAL: RENDIMIENTO Y CLIMA</w:t>
      </w:r>
    </w:p>
    <w:bookmarkStart w:id="21" w:name="X267eff2d71dec64544e5a3f48ca144842f7a44e"/>
    <w:p>
      <w:pPr>
        <w:pStyle w:val="Heading3"/>
      </w:pPr>
      <w:r>
        <w:t xml:space="preserve">Base científica: por qué el umbral bajo castiga el rendimiento</w:t>
      </w:r>
    </w:p>
    <w:p>
      <w:pPr>
        <w:pStyle w:val="FirstParagraph"/>
      </w:pPr>
      <w:r>
        <w:t xml:space="preserve">La evidencia científica documenta una</w:t>
      </w:r>
      <w:r>
        <w:t xml:space="preserve"> </w:t>
      </w:r>
      <w:r>
        <w:rPr>
          <w:b/>
          <w:bCs/>
        </w:rPr>
        <w:t xml:space="preserve">correlación funcional</w:t>
      </w:r>
      <w:r>
        <w:t xml:space="preserve"> </w:t>
      </w:r>
      <w:r>
        <w:t xml:space="preserve">entre el contenido de cannabinoides y el rendimiento de biomasa en</w:t>
      </w:r>
      <w:r>
        <w:t xml:space="preserve"> </w:t>
      </w:r>
      <w:r>
        <w:rPr>
          <w:i/>
          <w:iCs/>
        </w:rPr>
        <w:t xml:space="preserve">Cannabis sativa</w:t>
      </w:r>
      <w:r>
        <w:t xml:space="preserve"> </w:t>
      </w:r>
      <w:r>
        <w:t xml:space="preserve">L. Esta asociación no es casual, sino que responde a mecanismos biológicos bien documentados:</w:t>
      </w:r>
    </w:p>
    <w:p>
      <w:pPr>
        <w:pStyle w:val="BodyText"/>
      </w:pPr>
      <w:r>
        <w:rPr>
          <w:b/>
          <w:bCs/>
        </w:rPr>
        <w:t xml:space="preserve">1. Selección para cumplimiento = pérdida de productividad.</w:t>
      </w:r>
      <w:r>
        <w:t xml:space="preserve"> </w:t>
      </w:r>
      <w:r>
        <w:t xml:space="preserve">Las variedades de cáñamo desarrolladas para cumplir umbrales ultra-bajos de THC han sacrificado rendimiento. El programa húngaro de mejoramiento (1994-2019) documentó que las variedades seleccionadas para estabilidad química rinden</w:t>
      </w:r>
      <w:r>
        <w:t xml:space="preserve"> </w:t>
      </w:r>
      <w:r>
        <w:rPr>
          <w:b/>
          <w:bCs/>
        </w:rPr>
        <w:t xml:space="preserve">10-20% menos</w:t>
      </w:r>
      <w:r>
        <w:t xml:space="preserve"> </w:t>
      </w:r>
      <w:r>
        <w:t xml:space="preserve">que las variedades tradicionales de mayor diversidad genética [7,8].</w:t>
      </w:r>
    </w:p>
    <w:p>
      <w:pPr>
        <w:pStyle w:val="BodyText"/>
      </w:pPr>
      <w:r>
        <w:rPr>
          <w:b/>
          <w:bCs/>
        </w:rPr>
        <w:t xml:space="preserve">2. Rutas metabólicas compartidas.</w:t>
      </w:r>
      <w:r>
        <w:t xml:space="preserve"> </w:t>
      </w:r>
      <w:r>
        <w:t xml:space="preserve">La biosíntesis de cannabinoides y terpenoides comparte precursores comunes. Las plantas con mayor capacidad fotosintética canalizan excedentes hacia metabolismo secundario, produciendo simultáneamente</w:t>
      </w:r>
      <w:r>
        <w:t xml:space="preserve"> </w:t>
      </w:r>
      <w:r>
        <w:rPr>
          <w:b/>
          <w:bCs/>
        </w:rPr>
        <w:t xml:space="preserve">más biomasa y más cannabinoides</w:t>
      </w:r>
      <w:r>
        <w:t xml:space="preserve"> </w:t>
      </w:r>
      <w:r>
        <w:t xml:space="preserve">[9].</w:t>
      </w:r>
    </w:p>
    <w:p>
      <w:pPr>
        <w:pStyle w:val="BodyText"/>
      </w:pPr>
      <w:r>
        <w:rPr>
          <w:b/>
          <w:bCs/>
        </w:rPr>
        <w:t xml:space="preserve">3. Ciclo fenológico extendido.</w:t>
      </w:r>
      <w:r>
        <w:t xml:space="preserve"> </w:t>
      </w:r>
      <w:r>
        <w:t xml:space="preserve">Las variedades de floración tardía maximizan el período vegetativo y la acumulación de biomasa, pero también expresan mayor síntesis de THC pre-cosecha [10]. Restringir el THC implica restringir estas variedades de alto rendimiento.</w:t>
      </w:r>
    </w:p>
    <w:p>
      <w:pPr>
        <w:pStyle w:val="BodyText"/>
      </w:pPr>
      <w:r>
        <w:rPr>
          <w:b/>
          <w:bCs/>
        </w:rPr>
        <w:t xml:space="preserve">Implicación política directa</w:t>
      </w:r>
      <w:r>
        <w:t xml:space="preserve">: El umbral regulatorio opera como</w:t>
      </w:r>
      <w:r>
        <w:t xml:space="preserve"> </w:t>
      </w:r>
      <w:r>
        <w:rPr>
          <w:b/>
          <w:bCs/>
        </w:rPr>
        <w:t xml:space="preserve">selección negativa</w:t>
      </w:r>
      <w:r>
        <w:t xml:space="preserve"> </w:t>
      </w:r>
      <w:r>
        <w:t xml:space="preserve">que excluye sistemáticamente el germoplasma más productivo del mercado europeo.</w:t>
      </w:r>
    </w:p>
    <w:bookmarkEnd w:id="21"/>
    <w:bookmarkStart w:id="22" w:name="Xbf93abc33835c2bb736255a9037f0a2d2f4eac4"/>
    <w:p>
      <w:pPr>
        <w:pStyle w:val="Heading3"/>
      </w:pPr>
      <w:r>
        <w:t xml:space="preserve">Cuantificación del coste de oportunidad: evidencia europea</w:t>
      </w:r>
    </w:p>
    <w:p>
      <w:pPr>
        <w:pStyle w:val="FirstParagraph"/>
      </w:pPr>
      <w:r>
        <w:t xml:space="preserve">Los ensayos de campo controlados en condiciones europeas revelan diferencias de rendimiento estadísticamente significativas según el perfil cannabinoide. Rahemi et al. [6] documentaron en ensayos multianuales los siguientes resultados:</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920"/>
        <w:gridCol w:w="1933"/>
        <w:gridCol w:w="1381"/>
        <w:gridCol w:w="2486"/>
        <w:gridCol w:w="1197"/>
      </w:tblGrid>
      <w:tr>
        <w:trPr>
          <w:tblHeader w:val="on"/>
        </w:trPr>
        <w:tc>
          <w:tcPr/>
          <w:p>
            <w:pPr>
              <w:pStyle w:val="Compact"/>
            </w:pPr>
            <w:r>
              <w:t xml:space="preserve">Variedad</w:t>
            </w:r>
          </w:p>
        </w:tc>
        <w:tc>
          <w:tcPr/>
          <w:p>
            <w:pPr>
              <w:pStyle w:val="Compact"/>
            </w:pPr>
            <w:r>
              <w:t xml:space="preserve">Sistema reproductivo</w:t>
            </w:r>
          </w:p>
        </w:tc>
        <w:tc>
          <w:tcPr/>
          <w:p>
            <w:pPr>
              <w:pStyle w:val="Compact"/>
            </w:pPr>
            <w:r>
              <w:t xml:space="preserve">THC histórico</w:t>
            </w:r>
          </w:p>
        </w:tc>
        <w:tc>
          <w:tcPr/>
          <w:p>
            <w:pPr>
              <w:pStyle w:val="Compact"/>
            </w:pPr>
            <w:r>
              <w:t xml:space="preserve">Biomasa tallo seco (t/ha)</w:t>
            </w:r>
          </w:p>
        </w:tc>
        <w:tc>
          <w:tcPr/>
          <w:p>
            <w:pPr>
              <w:pStyle w:val="Compact"/>
            </w:pPr>
            <w:r>
              <w:t xml:space="preserve">Diferencial</w:t>
            </w:r>
          </w:p>
        </w:tc>
      </w:tr>
      <w:tr>
        <w:tc>
          <w:tcPr/>
          <w:p>
            <w:pPr>
              <w:pStyle w:val="Compact"/>
            </w:pPr>
            <w:r>
              <w:rPr>
                <w:b/>
                <w:bCs/>
              </w:rPr>
              <w:t xml:space="preserve">Carmagnola</w:t>
            </w:r>
          </w:p>
        </w:tc>
        <w:tc>
          <w:tcPr/>
          <w:p>
            <w:pPr>
              <w:pStyle w:val="Compact"/>
            </w:pPr>
            <w:r>
              <w:t xml:space="preserve">Dioica italiana</w:t>
            </w:r>
          </w:p>
        </w:tc>
        <w:tc>
          <w:tcPr/>
          <w:p>
            <w:pPr>
              <w:pStyle w:val="Compact"/>
            </w:pPr>
            <w:r>
              <w:t xml:space="preserve">0,4–0,6%</w:t>
            </w:r>
          </w:p>
        </w:tc>
        <w:tc>
          <w:tcPr/>
          <w:p>
            <w:pPr>
              <w:pStyle w:val="Compact"/>
            </w:pPr>
            <w:r>
              <w:rPr>
                <w:b/>
                <w:bCs/>
              </w:rPr>
              <w:t xml:space="preserve">8,62</w:t>
            </w:r>
          </w:p>
        </w:tc>
        <w:tc>
          <w:tcPr/>
          <w:p>
            <w:pPr>
              <w:pStyle w:val="Compact"/>
            </w:pPr>
            <w:r>
              <w:rPr>
                <w:b/>
                <w:bCs/>
              </w:rPr>
              <w:t xml:space="preserve">+87,4%</w:t>
            </w:r>
          </w:p>
        </w:tc>
      </w:tr>
      <w:tr>
        <w:tc>
          <w:tcPr/>
          <w:p>
            <w:pPr>
              <w:pStyle w:val="Compact"/>
            </w:pPr>
            <w:r>
              <w:t xml:space="preserve">Futura 75</w:t>
            </w:r>
          </w:p>
        </w:tc>
        <w:tc>
          <w:tcPr/>
          <w:p>
            <w:pPr>
              <w:pStyle w:val="Compact"/>
            </w:pPr>
            <w:r>
              <w:t xml:space="preserve">Monoica francesa</w:t>
            </w:r>
          </w:p>
        </w:tc>
        <w:tc>
          <w:tcPr/>
          <w:p>
            <w:pPr>
              <w:pStyle w:val="Compact"/>
            </w:pPr>
            <w:r>
              <w:t xml:space="preserve">&lt;0,2%</w:t>
            </w:r>
          </w:p>
        </w:tc>
        <w:tc>
          <w:tcPr/>
          <w:p>
            <w:pPr>
              <w:pStyle w:val="Compact"/>
            </w:pPr>
            <w:r>
              <w:t xml:space="preserve">4,60</w:t>
            </w:r>
          </w:p>
        </w:tc>
        <w:tc>
          <w:tcPr/>
          <w:p>
            <w:pPr>
              <w:pStyle w:val="Compact"/>
            </w:pPr>
            <w:r>
              <w:rPr>
                <w:i/>
                <w:iCs/>
              </w:rPr>
              <w:t xml:space="preserve">baseline</w:t>
            </w:r>
          </w:p>
        </w:tc>
      </w:tr>
      <w:tr>
        <w:tc>
          <w:tcPr/>
          <w:p>
            <w:pPr>
              <w:pStyle w:val="Compact"/>
            </w:pPr>
            <w:r>
              <w:t xml:space="preserve">Fedora 17</w:t>
            </w:r>
          </w:p>
        </w:tc>
        <w:tc>
          <w:tcPr/>
          <w:p>
            <w:pPr>
              <w:pStyle w:val="Compact"/>
            </w:pPr>
            <w:r>
              <w:t xml:space="preserve">Monoica francesa</w:t>
            </w:r>
          </w:p>
        </w:tc>
        <w:tc>
          <w:tcPr/>
          <w:p>
            <w:pPr>
              <w:pStyle w:val="Compact"/>
            </w:pPr>
            <w:r>
              <w:t xml:space="preserve">&lt;0,2%</w:t>
            </w:r>
          </w:p>
        </w:tc>
        <w:tc>
          <w:tcPr/>
          <w:p>
            <w:pPr>
              <w:pStyle w:val="Compact"/>
            </w:pPr>
            <w:r>
              <w:t xml:space="preserve">4,35</w:t>
            </w:r>
          </w:p>
        </w:tc>
        <w:tc>
          <w:tcPr/>
          <w:p>
            <w:pPr>
              <w:pStyle w:val="Compact"/>
            </w:pPr>
            <w:r>
              <w:t xml:space="preserve">-5,4%</w:t>
            </w:r>
          </w:p>
        </w:tc>
      </w:tr>
    </w:tbl>
    <w:p>
      <w:pPr>
        <w:pStyle w:val="BodyText"/>
      </w:pPr>
      <w:r>
        <w:rPr>
          <w:b/>
          <w:bCs/>
        </w:rPr>
        <w:t xml:space="preserve">Carmagnola</w:t>
      </w:r>
      <w:r>
        <w:t xml:space="preserve">, la variedad dioica tradicional del Piamonte con contenido histórico de THC 0,4-0,6%, produce</w:t>
      </w:r>
      <w:r>
        <w:t xml:space="preserve"> </w:t>
      </w:r>
      <w:r>
        <w:rPr>
          <w:b/>
          <w:bCs/>
        </w:rPr>
        <w:t xml:space="preserve">8,62 toneladas por hectárea</w:t>
      </w:r>
      <w:r>
        <w:t xml:space="preserve"> </w:t>
      </w:r>
      <w:r>
        <w:t xml:space="preserve">—prácticamente el doble que las monoicas francesas conformes. Sin embargo, esta variedad está</w:t>
      </w:r>
      <w:r>
        <w:t xml:space="preserve"> </w:t>
      </w:r>
      <w:r>
        <w:rPr>
          <w:b/>
          <w:bCs/>
        </w:rPr>
        <w:t xml:space="preserve">funcionalmente excluida del mercado europeo</w:t>
      </w:r>
      <w:r>
        <w:t xml:space="preserve"> </w:t>
      </w:r>
      <w:r>
        <w:t xml:space="preserve">por exceder el umbral del 0,3%.</w:t>
      </w:r>
    </w:p>
    <w:p>
      <w:pPr>
        <w:pStyle w:val="BodyText"/>
      </w:pPr>
      <w:r>
        <w:t xml:space="preserve">El programa húngaro de mejoramiento dirigido por Bócsa (1994-2019) cuantificó adicionalmente el coste sistemático del sistema monoico:</w:t>
      </w:r>
      <w:r>
        <w:t xml:space="preserve"> </w:t>
      </w:r>
      <w:r>
        <w:rPr>
          <w:b/>
          <w:bCs/>
        </w:rPr>
        <w:t xml:space="preserve">“All monoecious cultivars yielded 10 to 20% less than dioecious cultivars due to inbreeding depression from self-pollination.”</w:t>
      </w:r>
      <w:r>
        <w:t xml:space="preserve"> </w:t>
      </w:r>
      <w:r>
        <w:t xml:space="preserve">Este diferencial de 10-20% representa el</w:t>
      </w:r>
      <w:r>
        <w:t xml:space="preserve"> </w:t>
      </w:r>
      <w:r>
        <w:rPr>
          <w:b/>
          <w:bCs/>
        </w:rPr>
        <w:t xml:space="preserve">precio agronómico</w:t>
      </w:r>
      <w:r>
        <w:t xml:space="preserve"> </w:t>
      </w:r>
      <w:r>
        <w:t xml:space="preserve">de la estabilidad química exigida por umbrales restrictivos.</w:t>
      </w:r>
    </w:p>
    <w:p>
      <w:pPr>
        <w:pStyle w:val="BodyText"/>
      </w:pPr>
      <w:r>
        <w:t xml:space="preserve">La implicación es directa: Europa sacrifica sistemáticamente entre</w:t>
      </w:r>
      <w:r>
        <w:t xml:space="preserve"> </w:t>
      </w:r>
      <w:r>
        <w:rPr>
          <w:b/>
          <w:bCs/>
        </w:rPr>
        <w:t xml:space="preserve">2-4 toneladas de biomasa por hectárea</w:t>
      </w:r>
      <w:r>
        <w:t xml:space="preserve"> </w:t>
      </w:r>
      <w:r>
        <w:t xml:space="preserve">por motivos exclusivamente regulatorios.</w:t>
      </w:r>
    </w:p>
    <w:bookmarkEnd w:id="22"/>
    <w:bookmarkStart w:id="23" w:name="Xb767f345f042daed8c522bec1572dd6d008d509"/>
    <w:p>
      <w:pPr>
        <w:pStyle w:val="Heading3"/>
      </w:pPr>
      <w:r>
        <w:t xml:space="preserve">La brecha competitiva internacional: benchmarking con germoplasma chino</w:t>
      </w:r>
    </w:p>
    <w:p>
      <w:pPr>
        <w:pStyle w:val="FirstParagraph"/>
      </w:pPr>
      <w:r>
        <w:t xml:space="preserve">Los ensayos de la Universidad Estatal de Carolina del Norte con accesiones chinas revelan la magnitud del</w:t>
      </w:r>
      <w:r>
        <w:t xml:space="preserve"> </w:t>
      </w:r>
      <w:r>
        <w:rPr>
          <w:b/>
          <w:bCs/>
        </w:rPr>
        <w:t xml:space="preserve">coste competitivo</w:t>
      </w:r>
      <w:r>
        <w:t xml:space="preserve"> </w:t>
      </w:r>
      <w:r>
        <w:t xml:space="preserve">del umbral europeo. Halker et al. [5] evaluaron variedades de fibra en condiciones controladas:</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990"/>
        <w:gridCol w:w="2079"/>
        <w:gridCol w:w="2970"/>
        <w:gridCol w:w="1881"/>
      </w:tblGrid>
      <w:tr>
        <w:trPr>
          <w:tblHeader w:val="on"/>
        </w:trPr>
        <w:tc>
          <w:tcPr/>
          <w:p>
            <w:pPr>
              <w:pStyle w:val="Compact"/>
            </w:pPr>
            <w:r>
              <w:t xml:space="preserve">Accesión</w:t>
            </w:r>
          </w:p>
        </w:tc>
        <w:tc>
          <w:tcPr/>
          <w:p>
            <w:pPr>
              <w:pStyle w:val="Compact"/>
            </w:pPr>
            <w:r>
              <w:t xml:space="preserve">THC documentado (%)</w:t>
            </w:r>
          </w:p>
        </w:tc>
        <w:tc>
          <w:tcPr/>
          <w:p>
            <w:pPr>
              <w:pStyle w:val="Compact"/>
            </w:pPr>
            <w:r>
              <w:t xml:space="preserve">Rendimiento tallo seco (t/ha)</w:t>
            </w:r>
          </w:p>
        </w:tc>
        <w:tc>
          <w:tcPr/>
          <w:p>
            <w:pPr>
              <w:pStyle w:val="Compact"/>
            </w:pPr>
            <w:r>
              <w:t xml:space="preserve">Ratio vs UE actual</w:t>
            </w:r>
          </w:p>
        </w:tc>
      </w:tr>
      <w:tr>
        <w:tc>
          <w:tcPr/>
          <w:p>
            <w:pPr>
              <w:pStyle w:val="Compact"/>
            </w:pPr>
            <w:r>
              <w:rPr>
                <w:b/>
                <w:bCs/>
              </w:rPr>
              <w:t xml:space="preserve">Yuma</w:t>
            </w:r>
          </w:p>
        </w:tc>
        <w:tc>
          <w:tcPr/>
          <w:p>
            <w:pPr>
              <w:pStyle w:val="Compact"/>
            </w:pPr>
            <w:r>
              <w:rPr>
                <w:b/>
                <w:bCs/>
              </w:rPr>
              <w:t xml:space="preserve">0,723</w:t>
            </w:r>
          </w:p>
        </w:tc>
        <w:tc>
          <w:tcPr/>
          <w:p>
            <w:pPr>
              <w:pStyle w:val="Compact"/>
            </w:pPr>
            <w:r>
              <w:rPr>
                <w:b/>
                <w:bCs/>
              </w:rPr>
              <w:t xml:space="preserve">35,1</w:t>
            </w:r>
          </w:p>
        </w:tc>
        <w:tc>
          <w:tcPr/>
          <w:p>
            <w:pPr>
              <w:pStyle w:val="Compact"/>
            </w:pPr>
            <w:r>
              <w:rPr>
                <w:b/>
                <w:bCs/>
              </w:rPr>
              <w:t xml:space="preserve">×7,6</w:t>
            </w:r>
          </w:p>
        </w:tc>
      </w:tr>
      <w:tr>
        <w:tc>
          <w:tcPr/>
          <w:p>
            <w:pPr>
              <w:pStyle w:val="Compact"/>
            </w:pPr>
            <w:r>
              <w:rPr>
                <w:b/>
                <w:bCs/>
              </w:rPr>
              <w:t xml:space="preserve">Bama</w:t>
            </w:r>
          </w:p>
        </w:tc>
        <w:tc>
          <w:tcPr/>
          <w:p>
            <w:pPr>
              <w:pStyle w:val="Compact"/>
            </w:pPr>
            <w:r>
              <w:rPr>
                <w:b/>
                <w:bCs/>
              </w:rPr>
              <w:t xml:space="preserve">0,506</w:t>
            </w:r>
          </w:p>
        </w:tc>
        <w:tc>
          <w:tcPr/>
          <w:p>
            <w:pPr>
              <w:pStyle w:val="Compact"/>
            </w:pPr>
            <w:r>
              <w:rPr>
                <w:b/>
                <w:bCs/>
              </w:rPr>
              <w:t xml:space="preserve">22,3</w:t>
            </w:r>
          </w:p>
        </w:tc>
        <w:tc>
          <w:tcPr/>
          <w:p>
            <w:pPr>
              <w:pStyle w:val="Compact"/>
            </w:pPr>
            <w:r>
              <w:rPr>
                <w:b/>
                <w:bCs/>
              </w:rPr>
              <w:t xml:space="preserve">×4,8</w:t>
            </w:r>
          </w:p>
        </w:tc>
      </w:tr>
      <w:tr>
        <w:tc>
          <w:tcPr/>
          <w:p>
            <w:pPr>
              <w:pStyle w:val="Compact"/>
            </w:pPr>
            <w:r>
              <w:rPr>
                <w:i/>
                <w:iCs/>
              </w:rPr>
              <w:t xml:space="preserve">Baseline UE</w:t>
            </w:r>
          </w:p>
        </w:tc>
        <w:tc>
          <w:tcPr/>
          <w:p>
            <w:pPr>
              <w:pStyle w:val="Compact"/>
            </w:pPr>
            <w:r>
              <w:t xml:space="preserve">&lt;0,3</w:t>
            </w:r>
          </w:p>
        </w:tc>
        <w:tc>
          <w:tcPr/>
          <w:p>
            <w:pPr>
              <w:pStyle w:val="Compact"/>
            </w:pPr>
            <w:r>
              <w:t xml:space="preserve">~4,6</w:t>
            </w:r>
          </w:p>
        </w:tc>
        <w:tc>
          <w:tcPr/>
          <w:p>
            <w:pPr>
              <w:pStyle w:val="Compact"/>
            </w:pPr>
            <w:r>
              <w:t xml:space="preserve">—</w:t>
            </w:r>
          </w:p>
        </w:tc>
      </w:tr>
    </w:tbl>
    <w:p>
      <w:pPr>
        <w:pStyle w:val="BodyText"/>
      </w:pPr>
      <w:r>
        <w:t xml:space="preserve">Los resultados son sistemáticos y reproducibles: las variedades</w:t>
      </w:r>
      <w:r>
        <w:t xml:space="preserve"> </w:t>
      </w:r>
      <w:r>
        <w:rPr>
          <w:b/>
          <w:bCs/>
        </w:rPr>
        <w:t xml:space="preserve">Yuma</w:t>
      </w:r>
      <w:r>
        <w:t xml:space="preserve"> </w:t>
      </w:r>
      <w:r>
        <w:t xml:space="preserve">(0,723% THC) y</w:t>
      </w:r>
      <w:r>
        <w:t xml:space="preserve"> </w:t>
      </w:r>
      <w:r>
        <w:rPr>
          <w:b/>
          <w:bCs/>
        </w:rPr>
        <w:t xml:space="preserve">Bama</w:t>
      </w:r>
      <w:r>
        <w:t xml:space="preserve"> </w:t>
      </w:r>
      <w:r>
        <w:t xml:space="preserve">(0,506% THC) alcanzan rendimientos de</w:t>
      </w:r>
      <w:r>
        <w:t xml:space="preserve"> </w:t>
      </w:r>
      <w:r>
        <w:rPr>
          <w:b/>
          <w:bCs/>
        </w:rPr>
        <w:t xml:space="preserve">35,1 y 22,3 t/ha</w:t>
      </w:r>
      <w:r>
        <w:t xml:space="preserve"> </w:t>
      </w:r>
      <w:r>
        <w:t xml:space="preserve">respectivamente —entre</w:t>
      </w:r>
      <w:r>
        <w:t xml:space="preserve"> </w:t>
      </w:r>
      <w:r>
        <w:rPr>
          <w:b/>
          <w:bCs/>
        </w:rPr>
        <w:t xml:space="preserve">4,8 y 7,6 veces superiores</w:t>
      </w:r>
      <w:r>
        <w:t xml:space="preserve"> </w:t>
      </w:r>
      <w:r>
        <w:t xml:space="preserve">a las variedades europeas actuales.</w:t>
      </w:r>
    </w:p>
    <w:p>
      <w:pPr>
        <w:pStyle w:val="BodyText"/>
      </w:pPr>
      <w:r>
        <w:rPr>
          <w:b/>
          <w:bCs/>
        </w:rPr>
        <w:t xml:space="preserve">El patrón es inequívoco</w:t>
      </w:r>
      <w:r>
        <w:t xml:space="preserve">: Halker et al. [5], en su estudio</w:t>
      </w:r>
      <w:r>
        <w:t xml:space="preserve"> </w:t>
      </w:r>
      <w:r>
        <w:rPr>
          <w:i/>
          <w:iCs/>
        </w:rPr>
        <w:t xml:space="preserve">“Evaluating Chinese fiber hemp varieties and planting dates in North Carolina”</w:t>
      </w:r>
      <w:r>
        <w:t xml:space="preserve">, concluyeron que las variedades chinas de alto rendimiento, con niveles de THC entre</w:t>
      </w:r>
      <w:r>
        <w:t xml:space="preserve"> </w:t>
      </w:r>
      <w:r>
        <w:rPr>
          <w:b/>
          <w:bCs/>
        </w:rPr>
        <w:t xml:space="preserve">0,4% y 0,9%</w:t>
      </w:r>
      <w:r>
        <w:t xml:space="preserve">, son</w:t>
      </w:r>
      <w:r>
        <w:t xml:space="preserve"> </w:t>
      </w:r>
      <w:r>
        <w:rPr>
          <w:b/>
          <w:bCs/>
        </w:rPr>
        <w:t xml:space="preserve">inviables para el mercado europeo</w:t>
      </w:r>
      <w:r>
        <w:t xml:space="preserve"> </w:t>
      </w:r>
      <w:r>
        <w:t xml:space="preserve">bajo el umbral actual del 0,3%. Esto significa que Europa renuncia deliberadamente al germoplasma más productivo del mundo por una restricción regulatoria sin base científica sólida.</w:t>
      </w:r>
    </w:p>
    <w:p>
      <w:pPr>
        <w:pStyle w:val="BodyText"/>
      </w:pPr>
      <w:r>
        <w:t xml:space="preserve">Mientras Europa optimiza para cumplimiento químico, China desarrolla variedades capaces de producir</w:t>
      </w:r>
      <w:r>
        <w:t xml:space="preserve"> </w:t>
      </w:r>
      <w:r>
        <w:rPr>
          <w:b/>
          <w:bCs/>
        </w:rPr>
        <w:t xml:space="preserve">más de 35 toneladas de biomasa por hectárea</w:t>
      </w:r>
      <w:r>
        <w:t xml:space="preserve">. La divergencia estratégica no puede ser más clara:</w:t>
      </w:r>
      <w:r>
        <w:t xml:space="preserve"> </w:t>
      </w:r>
      <w:r>
        <w:rPr>
          <w:b/>
          <w:bCs/>
        </w:rPr>
        <w:t xml:space="preserve">selección por productividad versus selección por cumplimiento regulatorio</w:t>
      </w:r>
      <w:r>
        <w:t xml:space="preserve">.</w:t>
      </w:r>
    </w:p>
    <w:bookmarkEnd w:id="23"/>
    <w:bookmarkStart w:id="24" w:name="Xbbad177e43f693141bed4ce2cdf92999ce4a338"/>
    <w:p>
      <w:pPr>
        <w:pStyle w:val="Heading3"/>
      </w:pPr>
      <w:r>
        <w:t xml:space="preserve">Implicaciones para los objetivos climáticos europeos</w:t>
      </w:r>
    </w:p>
    <w:p>
      <w:pPr>
        <w:pStyle w:val="FirstParagraph"/>
      </w:pPr>
      <w:r>
        <w:t xml:space="preserve">El Parlamento Europeo reconoce explícitamente que el cáñamo</w:t>
      </w:r>
      <w:r>
        <w:t xml:space="preserve"> </w:t>
      </w:r>
      <w:r>
        <w:rPr>
          <w:b/>
          <w:bCs/>
        </w:rPr>
        <w:t xml:space="preserve">“contribuye a la salud del suelo y a la biodiversidad”</w:t>
      </w:r>
      <w:r>
        <w:t xml:space="preserve"> </w:t>
      </w:r>
      <w:r>
        <w:t xml:space="preserve">y constituye un cultivo de bajo impacto ambiental. Sin embargo, las restricciones al THC limitan drásticamente el potencial de captura de carbono del sector.</w:t>
      </w:r>
    </w:p>
    <w:p>
      <w:pPr>
        <w:pStyle w:val="BodyText"/>
      </w:pPr>
      <w:r>
        <w:t xml:space="preserve">Utilizando la conversión estequiométrica estándar (1 kg biomasa seca = 1,62 kg CO₂ absorbido) y la superficie actual de cáñamo europeo (~40.000 ha), los cálculos revelan el coste climático del umbral restrictivo:</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2002"/>
        <w:gridCol w:w="1092"/>
        <w:gridCol w:w="1820"/>
        <w:gridCol w:w="1820"/>
        <w:gridCol w:w="1183"/>
      </w:tblGrid>
      <w:tr>
        <w:trPr>
          <w:tblHeader w:val="on"/>
        </w:trPr>
        <w:tc>
          <w:tcPr/>
          <w:p>
            <w:pPr>
              <w:pStyle w:val="Compact"/>
            </w:pPr>
            <w:r>
              <w:t xml:space="preserve">Escenario regulatorio</w:t>
            </w:r>
          </w:p>
        </w:tc>
        <w:tc>
          <w:tcPr/>
          <w:p>
            <w:pPr>
              <w:pStyle w:val="Compact"/>
            </w:pPr>
            <w:r>
              <w:t xml:space="preserve">THC máximo</w:t>
            </w:r>
          </w:p>
        </w:tc>
        <w:tc>
          <w:tcPr/>
          <w:p>
            <w:pPr>
              <w:pStyle w:val="Compact"/>
            </w:pPr>
            <w:r>
              <w:t xml:space="preserve">Biomasa total anual</w:t>
            </w:r>
          </w:p>
        </w:tc>
        <w:tc>
          <w:tcPr/>
          <w:p>
            <w:pPr>
              <w:pStyle w:val="Compact"/>
            </w:pPr>
            <w:r>
              <w:t xml:space="preserve">CO₂ secuestrado anual</w:t>
            </w:r>
          </w:p>
        </w:tc>
        <w:tc>
          <w:tcPr/>
          <w:p>
            <w:pPr>
              <w:pStyle w:val="Compact"/>
            </w:pPr>
            <w:r>
              <w:t xml:space="preserve">Diferencial</w:t>
            </w:r>
          </w:p>
        </w:tc>
      </w:tr>
      <w:tr>
        <w:tc>
          <w:tcPr/>
          <w:p>
            <w:pPr>
              <w:pStyle w:val="Compact"/>
            </w:pPr>
            <w:r>
              <w:rPr>
                <w:b/>
                <w:bCs/>
              </w:rPr>
              <w:t xml:space="preserve">Status quo UE</w:t>
            </w:r>
          </w:p>
        </w:tc>
        <w:tc>
          <w:tcPr/>
          <w:p>
            <w:pPr>
              <w:pStyle w:val="Compact"/>
            </w:pPr>
            <w:r>
              <w:t xml:space="preserve">0,2-0,3%</w:t>
            </w:r>
          </w:p>
        </w:tc>
        <w:tc>
          <w:tcPr/>
          <w:p>
            <w:pPr>
              <w:pStyle w:val="Compact"/>
            </w:pPr>
            <w:r>
              <w:t xml:space="preserve">200.000 t</w:t>
            </w:r>
          </w:p>
        </w:tc>
        <w:tc>
          <w:tcPr/>
          <w:p>
            <w:pPr>
              <w:pStyle w:val="Compact"/>
            </w:pPr>
            <w:r>
              <w:t xml:space="preserve">324.000 t</w:t>
            </w:r>
          </w:p>
        </w:tc>
        <w:tc>
          <w:tcPr/>
          <w:p>
            <w:pPr>
              <w:pStyle w:val="Compact"/>
            </w:pPr>
            <w:r>
              <w:rPr>
                <w:i/>
                <w:iCs/>
              </w:rPr>
              <w:t xml:space="preserve">baseline</w:t>
            </w:r>
          </w:p>
        </w:tc>
      </w:tr>
      <w:tr>
        <w:tc>
          <w:tcPr/>
          <w:p>
            <w:pPr>
              <w:pStyle w:val="Compact"/>
            </w:pPr>
            <w:r>
              <w:rPr>
                <w:b/>
                <w:bCs/>
              </w:rPr>
              <w:t xml:space="preserve">Carmagnola (histórico)</w:t>
            </w:r>
          </w:p>
        </w:tc>
        <w:tc>
          <w:tcPr/>
          <w:p>
            <w:pPr>
              <w:pStyle w:val="Compact"/>
            </w:pPr>
            <w:r>
              <w:t xml:space="preserve">0,5%</w:t>
            </w:r>
          </w:p>
        </w:tc>
        <w:tc>
          <w:tcPr/>
          <w:p>
            <w:pPr>
              <w:pStyle w:val="Compact"/>
            </w:pPr>
            <w:r>
              <w:t xml:space="preserve">344.800 t</w:t>
            </w:r>
          </w:p>
        </w:tc>
        <w:tc>
          <w:tcPr/>
          <w:p>
            <w:pPr>
              <w:pStyle w:val="Compact"/>
            </w:pPr>
            <w:r>
              <w:t xml:space="preserve">558.576 t</w:t>
            </w:r>
          </w:p>
        </w:tc>
        <w:tc>
          <w:tcPr/>
          <w:p>
            <w:pPr>
              <w:pStyle w:val="Compact"/>
            </w:pPr>
            <w:r>
              <w:rPr>
                <w:b/>
                <w:bCs/>
              </w:rPr>
              <w:t xml:space="preserve">+72%</w:t>
            </w:r>
          </w:p>
        </w:tc>
      </w:tr>
      <w:tr>
        <w:tc>
          <w:tcPr/>
          <w:p>
            <w:pPr>
              <w:pStyle w:val="Compact"/>
            </w:pPr>
            <w:r>
              <w:rPr>
                <w:b/>
                <w:bCs/>
              </w:rPr>
              <w:t xml:space="preserve">Germoplasma asiático</w:t>
            </w:r>
          </w:p>
        </w:tc>
        <w:tc>
          <w:tcPr/>
          <w:p>
            <w:pPr>
              <w:pStyle w:val="Compact"/>
            </w:pPr>
            <w:r>
              <w:t xml:space="preserve">0,7-1,0%</w:t>
            </w:r>
          </w:p>
        </w:tc>
        <w:tc>
          <w:tcPr/>
          <w:p>
            <w:pPr>
              <w:pStyle w:val="Compact"/>
            </w:pPr>
            <w:r>
              <w:t xml:space="preserve">1.000.000 t</w:t>
            </w:r>
          </w:p>
        </w:tc>
        <w:tc>
          <w:tcPr/>
          <w:p>
            <w:pPr>
              <w:pStyle w:val="Compact"/>
            </w:pPr>
            <w:r>
              <w:rPr>
                <w:b/>
                <w:bCs/>
              </w:rPr>
              <w:t xml:space="preserve">1.620.000 t</w:t>
            </w:r>
          </w:p>
        </w:tc>
        <w:tc>
          <w:tcPr/>
          <w:p>
            <w:pPr>
              <w:pStyle w:val="Compact"/>
            </w:pPr>
            <w:r>
              <w:rPr>
                <w:b/>
                <w:bCs/>
              </w:rPr>
              <w:t xml:space="preserve">+400%</w:t>
            </w:r>
          </w:p>
        </w:tc>
      </w:tr>
    </w:tbl>
    <w:p>
      <w:pPr>
        <w:pStyle w:val="BodyText"/>
      </w:pPr>
      <w:r>
        <w:rPr>
          <w:b/>
          <w:bCs/>
        </w:rPr>
        <w:t xml:space="preserve">Coste de oportunidad climático: 1.296.000 toneladas de CO₂ anuales no capturadas.</w:t>
      </w:r>
    </w:p>
    <w:p>
      <w:pPr>
        <w:pStyle w:val="BodyText"/>
      </w:pPr>
      <w:r>
        <w:t xml:space="preserve">Para contextualizar esta magnitud en términos de políticas climáticas europeas:</w:t>
      </w:r>
    </w:p>
    <w:p>
      <w:pPr>
        <w:pStyle w:val="Compact"/>
        <w:numPr>
          <w:ilvl w:val="0"/>
          <w:numId w:val="1006"/>
        </w:numPr>
      </w:pPr>
      <w:r>
        <w:rPr>
          <w:b/>
          <w:bCs/>
        </w:rPr>
        <w:t xml:space="preserve">Equivale a las emisiones anuales</w:t>
      </w:r>
      <w:r>
        <w:t xml:space="preserve"> </w:t>
      </w:r>
      <w:r>
        <w:t xml:space="preserve">de 324.000 automóviles europeos promedio</w:t>
      </w:r>
    </w:p>
    <w:p>
      <w:pPr>
        <w:pStyle w:val="Compact"/>
        <w:numPr>
          <w:ilvl w:val="0"/>
          <w:numId w:val="1006"/>
        </w:numPr>
      </w:pPr>
      <w:r>
        <w:rPr>
          <w:b/>
          <w:bCs/>
        </w:rPr>
        <w:t xml:space="preserve">Representa la capacidad de absorción de 400.000 hectáreas de selva amazónica</w:t>
      </w:r>
      <w:r>
        <w:t xml:space="preserve"> </w:t>
      </w:r>
      <w:r>
        <w:t xml:space="preserve">—una superficie mayor que Luxemburgo</w:t>
      </w:r>
    </w:p>
    <w:p>
      <w:pPr>
        <w:pStyle w:val="Compact"/>
        <w:numPr>
          <w:ilvl w:val="0"/>
          <w:numId w:val="1006"/>
        </w:numPr>
      </w:pPr>
      <w:r>
        <w:rPr>
          <w:b/>
          <w:bCs/>
        </w:rPr>
        <w:t xml:space="preserve">Supera 13 veces</w:t>
      </w:r>
      <w:r>
        <w:t xml:space="preserve"> </w:t>
      </w:r>
      <w:r>
        <w:t xml:space="preserve">las emisiones anuales de CO₂ del Parlamento Europeo (100.000 t)</w:t>
      </w:r>
    </w:p>
    <w:p>
      <w:pPr>
        <w:pStyle w:val="Compact"/>
        <w:numPr>
          <w:ilvl w:val="0"/>
          <w:numId w:val="1006"/>
        </w:numPr>
      </w:pPr>
      <w:r>
        <w:rPr>
          <w:b/>
          <w:bCs/>
        </w:rPr>
        <w:t xml:space="preserve">Constituye el 0,04%</w:t>
      </w:r>
      <w:r>
        <w:t xml:space="preserve"> </w:t>
      </w:r>
      <w:r>
        <w:t xml:space="preserve">del objetivo de reducción neta de emisiones de la UE para 2030</w:t>
      </w:r>
    </w:p>
    <w:p>
      <w:pPr>
        <w:pStyle w:val="FirstParagraph"/>
      </w:pPr>
      <w:r>
        <w:rPr>
          <w:b/>
          <w:bCs/>
        </w:rPr>
        <w:t xml:space="preserve">La paradoja regulatoria es evidente</w:t>
      </w:r>
      <w:r>
        <w:t xml:space="preserve">: mientras la UE invierte miles de millones en tecnologías de captura de carbono, simultáneamente restringe el acceso a germoplasma vegetal que podría quintuplicar la eficiencia de secuestro del sector cáñamo</w:t>
      </w:r>
      <w:r>
        <w:t xml:space="preserve"> </w:t>
      </w:r>
      <w:r>
        <w:rPr>
          <w:b/>
          <w:bCs/>
        </w:rPr>
        <w:t xml:space="preserve">sin coste adicional de superficie agrícola</w:t>
      </w:r>
      <w:r>
        <w:t xml:space="preserve">.</w:t>
      </w:r>
    </w:p>
    <w:bookmarkEnd w:id="24"/>
    <w:bookmarkStart w:id="25" w:name="X1e0955e62fcb2ec9d85bfd0c410f873580af704"/>
    <w:p>
      <w:pPr>
        <w:pStyle w:val="Heading3"/>
      </w:pPr>
      <w:r>
        <w:t xml:space="preserve">Conclusión: coherencia política y evidencia científica</w:t>
      </w:r>
    </w:p>
    <w:p>
      <w:pPr>
        <w:pStyle w:val="FirstParagraph"/>
      </w:pPr>
      <w:r>
        <w:t xml:space="preserve">La evidencia empírica presentada revela una</w:t>
      </w:r>
      <w:r>
        <w:t xml:space="preserve"> </w:t>
      </w:r>
      <w:r>
        <w:rPr>
          <w:b/>
          <w:bCs/>
        </w:rPr>
        <w:t xml:space="preserve">incongruencia fundamental</w:t>
      </w:r>
      <w:r>
        <w:t xml:space="preserve"> </w:t>
      </w:r>
      <w:r>
        <w:t xml:space="preserve">en el marco regulatorio europeo. El Parlamento Europeo reconoce oficialmente que el cáñamo industrial contribuye a los objetivos climáticos, de biodiversidad y de sostenibilidad agrícola. Simultáneamente, las restricciones al contenido de THC excluyen sistemáticamente el germoplasma que maximizaría estas contribuciones.</w:t>
      </w:r>
    </w:p>
    <w:p>
      <w:pPr>
        <w:pStyle w:val="BodyText"/>
      </w:pPr>
      <w:r>
        <w:t xml:space="preserve">Los datos son inequívocos:</w:t>
      </w:r>
    </w:p>
    <w:p>
      <w:pPr>
        <w:pStyle w:val="Compact"/>
        <w:numPr>
          <w:ilvl w:val="0"/>
          <w:numId w:val="1007"/>
        </w:numPr>
      </w:pPr>
      <w:r>
        <w:rPr>
          <w:b/>
          <w:bCs/>
        </w:rPr>
        <w:t xml:space="preserve">Carmagnola</w:t>
      </w:r>
      <w:r>
        <w:t xml:space="preserve"> </w:t>
      </w:r>
      <w:r>
        <w:t xml:space="preserve">(+87% rendimiento) permanece excluida por 0,1-0,3 puntos porcentuales de THC</w:t>
      </w:r>
    </w:p>
    <w:p>
      <w:pPr>
        <w:pStyle w:val="Compact"/>
        <w:numPr>
          <w:ilvl w:val="0"/>
          <w:numId w:val="1007"/>
        </w:numPr>
      </w:pPr>
      <w:r>
        <w:rPr>
          <w:b/>
          <w:bCs/>
        </w:rPr>
        <w:t xml:space="preserve">Variedades asiáticas de élite</w:t>
      </w:r>
      <w:r>
        <w:t xml:space="preserve"> </w:t>
      </w:r>
      <w:r>
        <w:t xml:space="preserve">(×4-7 rendimiento superior) son inaccesibles bajo el umbral actual</w:t>
      </w:r>
    </w:p>
    <w:p>
      <w:pPr>
        <w:pStyle w:val="Compact"/>
        <w:numPr>
          <w:ilvl w:val="0"/>
          <w:numId w:val="1007"/>
        </w:numPr>
      </w:pPr>
      <w:r>
        <w:rPr>
          <w:b/>
          <w:bCs/>
        </w:rPr>
        <w:t xml:space="preserve">1.296.000 toneladas anuales de CO₂</w:t>
      </w:r>
      <w:r>
        <w:t xml:space="preserve"> </w:t>
      </w:r>
      <w:r>
        <w:t xml:space="preserve">no se capturan por restricciones regulatorias, no agronómicas</w:t>
      </w:r>
    </w:p>
    <w:p>
      <w:pPr>
        <w:pStyle w:val="FirstParagraph"/>
      </w:pPr>
      <w:r>
        <w:t xml:space="preserve">La evidencia científica presentada conduce a una conclusión inequívoca:</w:t>
      </w:r>
      <w:r>
        <w:t xml:space="preserve"> </w:t>
      </w:r>
      <w:r>
        <w:rPr>
          <w:b/>
          <w:bCs/>
        </w:rPr>
        <w:t xml:space="preserve">las variedades de cáñamo con mayor potencial agronómico y medioambiental se sitúan sistemáticamente por encima del 0,5% de THC</w:t>
      </w:r>
      <w:r>
        <w:t xml:space="preserve">. Las genéticas de élite —tanto europeas tradicionales como asiáticas— expresan perfiles de THC en el rango 0,4-0,9%, incompatibles con cualquier umbral inferior al 1,0%.</w:t>
      </w:r>
    </w:p>
    <w:p>
      <w:pPr>
        <w:pStyle w:val="BodyText"/>
      </w:pPr>
      <w:r>
        <w:t xml:space="preserve">Esta observación científica coincide con la valoración del Dr. Ernest Small, autor original del criterio del 0,3%, quien en 2021 concluyó que</w:t>
      </w:r>
      <w:r>
        <w:t xml:space="preserve"> </w:t>
      </w:r>
      <w:r>
        <w:rPr>
          <w:i/>
          <w:iCs/>
        </w:rPr>
        <w:t xml:space="preserve">“1% THC would be a more suitable criterion”</w:t>
      </w:r>
      <w:r>
        <w:t xml:space="preserve"> </w:t>
      </w:r>
      <w:r>
        <w:t xml:space="preserve">para el cáñamo industrial, reconociendo que el potencial de abuso práctico requiere concentraciones significativamente superiores.</w:t>
      </w:r>
    </w:p>
    <w:p>
      <w:pPr>
        <w:pStyle w:val="BodyText"/>
      </w:pPr>
      <w:r>
        <w:t xml:space="preserve">La cuestión central trasciende la química analítica:</w:t>
      </w:r>
      <w:r>
        <w:t xml:space="preserve"> </w:t>
      </w:r>
      <w:r>
        <w:rPr>
          <w:b/>
          <w:bCs/>
        </w:rPr>
        <w:t xml:space="preserve">¿debe la política agrícola europea optimizar para el cumplimiento de umbrales arbitrarios o para la maximización de beneficios agronómicos, ambientales y climáticos?</w:t>
      </w:r>
    </w:p>
    <w:p>
      <w:pPr>
        <w:pStyle w:val="BodyText"/>
      </w:pPr>
      <w:r>
        <w:t xml:space="preserve">Los datos sugieren que el coste de oportunidad del status quo —medido en competitividad perdida, captura de carbono no realizada y potencial agronómico desaprovechado— excede ampliamente cualquier beneficio regulatorio de mantener restricciones ultra-conservadoras sobre una materia prima industrial segura y legal.</w:t>
      </w:r>
    </w:p>
    <w:p>
      <w:pPr>
        <w:pStyle w:val="BodyText"/>
      </w:pPr>
      <w:r>
        <w:rPr>
          <w:b/>
          <w:bCs/>
        </w:rPr>
        <w:t xml:space="preserve">Esta evidencia científica ya está influyendo en la política internacional</w:t>
      </w:r>
      <w:r>
        <w:t xml:space="preserve">: un número creciente de jurisdicciones ha adoptado el umbral del 1% THC, reconociendo las realidades agronómicas que la presente sección ha documentado.</w:t>
      </w:r>
    </w:p>
    <w:p>
      <w:r>
        <w:pict>
          <v:rect style="width:0;height:1.5pt" o:hralign="center" o:hrstd="t" o:hr="t"/>
        </w:pict>
      </w:r>
    </w:p>
    <w:bookmarkEnd w:id="25"/>
    <w:bookmarkEnd w:id="26"/>
    <w:bookmarkStart w:id="34" w:name="X6bc7e6deea55a7b7e66a65f852672ec26f81f5c"/>
    <w:p>
      <w:pPr>
        <w:pStyle w:val="Heading2"/>
      </w:pPr>
      <w:r>
        <w:t xml:space="preserve">2.3 ARGUMENTO POLÍTICO-ECONÓMICO: EUROPA DEBE ALINEARSE CON LA TENDENCIA INTERNACIONAL</w:t>
      </w:r>
    </w:p>
    <w:p>
      <w:pPr>
        <w:pStyle w:val="FirstParagraph"/>
      </w:pPr>
      <w:r>
        <w:t xml:space="preserve">El análisis global actualizado a enero 2026 confirma que el</w:t>
      </w:r>
      <w:r>
        <w:t xml:space="preserve"> </w:t>
      </w:r>
      <w:r>
        <w:rPr>
          <w:b/>
          <w:bCs/>
        </w:rPr>
        <w:t xml:space="preserve">1% THC</w:t>
      </w:r>
      <w:r>
        <w:t xml:space="preserve"> </w:t>
      </w:r>
      <w:r>
        <w:t xml:space="preserve">no es una propuesta radical, sino un</w:t>
      </w:r>
      <w:r>
        <w:t xml:space="preserve"> </w:t>
      </w:r>
      <w:r>
        <w:rPr>
          <w:b/>
          <w:bCs/>
        </w:rPr>
        <w:t xml:space="preserve">estándar internacional consolidado</w:t>
      </w:r>
      <w:r>
        <w:t xml:space="preserve">. La Unión Europea debe considerar esta realidad para mantener su competitividad en el mercado global del cáñamo industrial.</w:t>
      </w:r>
    </w:p>
    <w:p>
      <w:pPr>
        <w:pStyle w:val="BodyText"/>
      </w:pPr>
      <w:r>
        <w:t xml:space="preserve">El caso más avanzado es</w:t>
      </w:r>
      <w:r>
        <w:t xml:space="preserve"> </w:t>
      </w:r>
      <w:r>
        <w:rPr>
          <w:b/>
          <w:bCs/>
        </w:rPr>
        <w:t xml:space="preserve">Sudáfrica</w:t>
      </w:r>
      <w:r>
        <w:t xml:space="preserve">, que en diciembre 2025 elevó su umbral al</w:t>
      </w:r>
      <w:r>
        <w:t xml:space="preserve"> </w:t>
      </w:r>
      <w:r>
        <w:rPr>
          <w:b/>
          <w:bCs/>
        </w:rPr>
        <w:t xml:space="preserve">2,0% THC</w:t>
      </w:r>
      <w:r>
        <w:t xml:space="preserve">, justificándolo por condiciones climáticas que aumentan naturalmente el contenido de THC y la necesidad de evitar pérdidas de cultivos (</w:t>
      </w:r>
      <w:r>
        <w:t xml:space="preserve">“hot crops”</w:t>
      </w:r>
      <w:r>
        <w:t xml:space="preserve">). Este precedente demuestra que incluso umbrales superiores al 1% son viables sin comprometer la seguridad pública.</w:t>
      </w:r>
    </w:p>
    <w:p>
      <w:pPr>
        <w:pStyle w:val="BodyText"/>
      </w:pPr>
      <w:r>
        <w:t xml:space="preserve">Sin embargo, el</w:t>
      </w:r>
      <w:r>
        <w:t xml:space="preserve"> </w:t>
      </w:r>
      <w:r>
        <w:rPr>
          <w:b/>
          <w:bCs/>
        </w:rPr>
        <w:t xml:space="preserve">estándar internacional predominante es el 1% THC</w:t>
      </w:r>
      <w:r>
        <w:t xml:space="preserve">, adoptado por más de 20 jurisdicciones en todos los continentes:</w:t>
      </w:r>
    </w:p>
    <w:bookmarkStart w:id="28" w:name="zona-europea-y-espacio-económico"/>
    <w:p>
      <w:pPr>
        <w:pStyle w:val="Heading3"/>
      </w:pPr>
      <w:r>
        <w:t xml:space="preserve">Zona Europea y Espacio Económico</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Suiza</w:t>
            </w:r>
          </w:p>
        </w:tc>
        <w:tc>
          <w:tcPr/>
          <w:p>
            <w:pPr>
              <w:pStyle w:val="Compact"/>
            </w:pPr>
            <w:r>
              <w:t xml:space="preserve">1,0%</w:t>
            </w:r>
          </w:p>
        </w:tc>
        <w:tc>
          <w:tcPr/>
          <w:p>
            <w:pPr>
              <w:pStyle w:val="Compact"/>
            </w:pPr>
            <w:r>
              <w:t xml:space="preserve">Ley de Estupefacientes (LStup)</w:t>
            </w:r>
          </w:p>
        </w:tc>
        <w:tc>
          <w:tcPr/>
          <w:p>
            <w:pPr>
              <w:pStyle w:val="Compact"/>
            </w:pPr>
            <w:r>
              <w:t xml:space="preserve">2011</w:t>
            </w:r>
          </w:p>
        </w:tc>
        <w:tc>
          <w:tcPr/>
          <w:p>
            <w:pPr>
              <w:pStyle w:val="Compact"/>
            </w:pPr>
            <w:r>
              <w:t xml:space="preserve">Pionera europea. Comercializa en mercado UE &gt;10 años sin incidentes.</w:t>
            </w:r>
          </w:p>
        </w:tc>
      </w:tr>
      <w:tr>
        <w:tc>
          <w:tcPr/>
          <w:p>
            <w:pPr>
              <w:pStyle w:val="Compact"/>
            </w:pPr>
            <w:r>
              <w:rPr>
                <w:b/>
                <w:bCs/>
              </w:rPr>
              <w:t xml:space="preserve">Luxemburgo</w:t>
            </w:r>
          </w:p>
        </w:tc>
        <w:tc>
          <w:tcPr/>
          <w:p>
            <w:pPr>
              <w:pStyle w:val="Compact"/>
            </w:pPr>
            <w:r>
              <w:t xml:space="preserve">≤1,0%</w:t>
            </w:r>
          </w:p>
        </w:tc>
        <w:tc>
          <w:tcPr/>
          <w:p>
            <w:pPr>
              <w:pStyle w:val="Compact"/>
            </w:pPr>
            <w:r>
              <w:t xml:space="preserve">Tobacco Control Act</w:t>
            </w:r>
          </w:p>
        </w:tc>
        <w:tc>
          <w:tcPr/>
          <w:p>
            <w:pPr>
              <w:pStyle w:val="Compact"/>
            </w:pPr>
            <w:r>
              <w:t xml:space="preserve">2023</w:t>
            </w:r>
          </w:p>
        </w:tc>
        <w:tc>
          <w:tcPr/>
          <w:p>
            <w:pPr>
              <w:pStyle w:val="Compact"/>
            </w:pPr>
            <w:r>
              <w:t xml:space="preserve">Estado miembro UE. Productos sustitutos de tabaco.</w:t>
            </w:r>
          </w:p>
        </w:tc>
      </w:tr>
      <w:tr>
        <w:tc>
          <w:tcPr/>
          <w:p>
            <w:pPr>
              <w:pStyle w:val="Compact"/>
            </w:pPr>
            <w:r>
              <w:rPr>
                <w:b/>
                <w:bCs/>
              </w:rPr>
              <w:t xml:space="preserve">República Checa</w:t>
            </w:r>
          </w:p>
        </w:tc>
        <w:tc>
          <w:tcPr/>
          <w:p>
            <w:pPr>
              <w:pStyle w:val="Compact"/>
            </w:pPr>
            <w:r>
              <w:t xml:space="preserve">1,0%</w:t>
            </w:r>
          </w:p>
        </w:tc>
        <w:tc>
          <w:tcPr/>
          <w:p>
            <w:pPr>
              <w:pStyle w:val="Compact"/>
            </w:pPr>
            <w:r>
              <w:t xml:space="preserve">Ley Sustancias Psicomodulatorias</w:t>
            </w:r>
          </w:p>
        </w:tc>
        <w:tc>
          <w:tcPr/>
          <w:p>
            <w:pPr>
              <w:pStyle w:val="Compact"/>
            </w:pPr>
            <w:r>
              <w:t xml:space="preserve">Ene 2025</w:t>
            </w:r>
          </w:p>
        </w:tc>
        <w:tc>
          <w:tcPr/>
          <w:p>
            <w:pPr>
              <w:pStyle w:val="Compact"/>
            </w:pPr>
            <w:r>
              <w:t xml:space="preserve">Acuerdos bilaterales con Uruguay para importación.</w:t>
            </w:r>
          </w:p>
        </w:tc>
      </w:tr>
      <w:tr>
        <w:tc>
          <w:tcPr/>
          <w:p>
            <w:pPr>
              <w:pStyle w:val="Compact"/>
            </w:pPr>
            <w:r>
              <w:rPr>
                <w:b/>
                <w:bCs/>
              </w:rPr>
              <w:t xml:space="preserve">Albania</w:t>
            </w:r>
          </w:p>
        </w:tc>
        <w:tc>
          <w:tcPr/>
          <w:p>
            <w:pPr>
              <w:pStyle w:val="Compact"/>
            </w:pPr>
            <w:r>
              <w:t xml:space="preserve">≤1,0%</w:t>
            </w:r>
          </w:p>
        </w:tc>
        <w:tc>
          <w:tcPr/>
          <w:p>
            <w:pPr>
              <w:pStyle w:val="Compact"/>
            </w:pPr>
            <w:r>
              <w:t xml:space="preserve">Cannabis Law 61/2023</w:t>
            </w:r>
          </w:p>
        </w:tc>
        <w:tc>
          <w:tcPr/>
          <w:p>
            <w:pPr>
              <w:pStyle w:val="Compact"/>
            </w:pPr>
            <w:r>
              <w:t xml:space="preserve">2023</w:t>
            </w:r>
          </w:p>
        </w:tc>
        <w:tc>
          <w:tcPr/>
          <w:p>
            <w:pPr>
              <w:pStyle w:val="Compact"/>
            </w:pPr>
            <w:r>
              <w:t xml:space="preserve">Cáñamo industrial.</w:t>
            </w:r>
          </w:p>
        </w:tc>
      </w:tr>
      <w:tr>
        <w:tc>
          <w:tcPr/>
          <w:p>
            <w:pPr>
              <w:pStyle w:val="Compact"/>
            </w:pPr>
            <w:r>
              <w:rPr>
                <w:b/>
                <w:bCs/>
              </w:rPr>
              <w:t xml:space="preserve">España</w:t>
            </w:r>
          </w:p>
        </w:tc>
        <w:tc>
          <w:tcPr/>
          <w:p>
            <w:pPr>
              <w:pStyle w:val="Compact"/>
            </w:pPr>
            <w:r>
              <w:t xml:space="preserve">1,0%</w:t>
            </w:r>
          </w:p>
        </w:tc>
        <w:tc>
          <w:tcPr/>
          <w:p>
            <w:pPr>
              <w:pStyle w:val="Compact"/>
            </w:pPr>
            <w:r>
              <w:t xml:space="preserve">PNL 161/004332</w:t>
            </w:r>
          </w:p>
        </w:tc>
        <w:tc>
          <w:tcPr/>
          <w:p>
            <w:pPr>
              <w:pStyle w:val="Compact"/>
            </w:pPr>
            <w:r>
              <w:t xml:space="preserve">Ene 2023</w:t>
            </w:r>
          </w:p>
        </w:tc>
        <w:tc>
          <w:tcPr/>
          <w:p>
            <w:pPr>
              <w:pStyle w:val="Compact"/>
            </w:pPr>
            <w:r>
              <w:t xml:space="preserve">Mandato parlamentario pendiente de implementación.</w:t>
            </w:r>
          </w:p>
        </w:tc>
      </w:tr>
      <w:tr>
        <w:tc>
          <w:tcPr/>
          <w:p>
            <w:pPr>
              <w:pStyle w:val="Compact"/>
            </w:pPr>
            <w:r>
              <w:rPr>
                <w:b/>
                <w:bCs/>
              </w:rPr>
              <w:t xml:space="preserve">Alemania</w:t>
            </w:r>
          </w:p>
        </w:tc>
        <w:tc>
          <w:tcPr/>
          <w:p>
            <w:pPr>
              <w:pStyle w:val="Compact"/>
            </w:pPr>
            <w:r>
              <w:t xml:space="preserve">1,0%</w:t>
            </w:r>
          </w:p>
        </w:tc>
        <w:tc>
          <w:tcPr/>
          <w:p>
            <w:pPr>
              <w:pStyle w:val="Compact"/>
            </w:pPr>
            <w:r>
              <w:t xml:space="preserve">DAB 2020 - Cannabis extractum normatum</w:t>
            </w:r>
          </w:p>
        </w:tc>
        <w:tc>
          <w:tcPr/>
          <w:p>
            <w:pPr>
              <w:pStyle w:val="Compact"/>
            </w:pPr>
            <w:r>
              <w:t xml:space="preserve">Jun 2020</w:t>
            </w:r>
          </w:p>
        </w:tc>
        <w:tc>
          <w:tcPr/>
          <w:p>
            <w:pPr>
              <w:pStyle w:val="Compact"/>
            </w:pPr>
            <w:hyperlink r:id="rId27">
              <w:r>
                <w:rPr>
                  <w:rStyle w:val="Hyperlink"/>
                </w:rPr>
                <w:t xml:space="preserve">Monografía oficial extractos</w:t>
              </w:r>
            </w:hyperlink>
            <w:r>
              <w:t xml:space="preserve">: mínimo 1% THC (BfArM). Si bien no es límite para cáñamo, la monografía oficial define que</w:t>
            </w:r>
            <w:r>
              <w:t xml:space="preserve"> </w:t>
            </w:r>
            <w:r>
              <w:rPr>
                <w:b/>
                <w:bCs/>
              </w:rPr>
              <w:t xml:space="preserve">por debajo del 1% no se considera medicinal</w:t>
            </w:r>
            <w:r>
              <w:t xml:space="preserve">.</w:t>
            </w:r>
          </w:p>
        </w:tc>
      </w:tr>
    </w:tbl>
    <w:bookmarkEnd w:id="28"/>
    <w:bookmarkStart w:id="31" w:name="zona-mercosur-y-latinoamérica"/>
    <w:p>
      <w:pPr>
        <w:pStyle w:val="Heading3"/>
      </w:pPr>
      <w:r>
        <w:t xml:space="preserve">Zona Mercosur y Latinoamérica</w:t>
      </w:r>
    </w:p>
    <w:p>
      <w:pPr>
        <w:pStyle w:val="FirstParagraph"/>
      </w:pPr>
      <w:r>
        <w:t xml:space="preserve">El bloque latinoamericano ha adoptado mayoritariamente el</w:t>
      </w:r>
      <w:r>
        <w:t xml:space="preserve"> </w:t>
      </w:r>
      <w:r>
        <w:rPr>
          <w:b/>
          <w:bCs/>
        </w:rPr>
        <w:t xml:space="preserve">1% THC</w:t>
      </w:r>
      <w:r>
        <w:t xml:space="preserve">, con implicaciones directas para la política comercial europea:</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Uruguay</w:t>
            </w:r>
          </w:p>
        </w:tc>
        <w:tc>
          <w:tcPr/>
          <w:p>
            <w:pPr>
              <w:pStyle w:val="Compact"/>
            </w:pPr>
            <w:r>
              <w:t xml:space="preserve">1,0%</w:t>
            </w:r>
          </w:p>
        </w:tc>
        <w:tc>
          <w:tcPr/>
          <w:p>
            <w:pPr>
              <w:pStyle w:val="Compact"/>
            </w:pPr>
            <w:r>
              <w:t xml:space="preserve">Ley 19.172 + Decreto 372/2014</w:t>
            </w:r>
          </w:p>
        </w:tc>
        <w:tc>
          <w:tcPr/>
          <w:p>
            <w:pPr>
              <w:pStyle w:val="Compact"/>
            </w:pPr>
            <w:r>
              <w:t xml:space="preserve">Dic 2013</w:t>
            </w:r>
          </w:p>
        </w:tc>
        <w:tc>
          <w:tcPr/>
          <w:p>
            <w:pPr>
              <w:pStyle w:val="Compact"/>
            </w:pPr>
            <w:r>
              <w:t xml:space="preserve">Pionero regional.</w:t>
            </w:r>
            <w:r>
              <w:t xml:space="preserve"> </w:t>
            </w:r>
            <w:hyperlink r:id="rId29">
              <w:r>
                <w:rPr>
                  <w:rStyle w:val="Hyperlink"/>
                </w:rPr>
                <w:t xml:space="preserve">Protocolos de exportación activos</w:t>
              </w:r>
            </w:hyperlink>
            <w:r>
              <w:t xml:space="preserve"> </w:t>
            </w:r>
            <w:r>
              <w:t xml:space="preserve">(MGAP, 2022).</w:t>
            </w:r>
          </w:p>
        </w:tc>
      </w:tr>
      <w:tr>
        <w:tc>
          <w:tcPr/>
          <w:p>
            <w:pPr>
              <w:pStyle w:val="Compact"/>
            </w:pPr>
            <w:r>
              <w:rPr>
                <w:b/>
                <w:bCs/>
              </w:rPr>
              <w:t xml:space="preserve">Argentina</w:t>
            </w:r>
          </w:p>
        </w:tc>
        <w:tc>
          <w:tcPr/>
          <w:p>
            <w:pPr>
              <w:pStyle w:val="Compact"/>
            </w:pPr>
            <w:r>
              <w:t xml:space="preserve">1,0%</w:t>
            </w:r>
          </w:p>
        </w:tc>
        <w:tc>
          <w:tcPr/>
          <w:p>
            <w:pPr>
              <w:pStyle w:val="Compact"/>
            </w:pPr>
            <w:r>
              <w:t xml:space="preserve">Ley 27.669 + Decreto 405/2023</w:t>
            </w:r>
          </w:p>
        </w:tc>
        <w:tc>
          <w:tcPr/>
          <w:p>
            <w:pPr>
              <w:pStyle w:val="Compact"/>
            </w:pPr>
            <w:r>
              <w:t xml:space="preserve">2022-2023</w:t>
            </w:r>
          </w:p>
        </w:tc>
        <w:tc>
          <w:tcPr/>
          <w:p>
            <w:pPr>
              <w:pStyle w:val="Compact"/>
            </w:pPr>
            <w:r>
              <w:t xml:space="preserve">Marco integral cáñamo industrial.</w:t>
            </w:r>
          </w:p>
        </w:tc>
      </w:tr>
      <w:tr>
        <w:tc>
          <w:tcPr/>
          <w:p>
            <w:pPr>
              <w:pStyle w:val="Compact"/>
            </w:pPr>
            <w:r>
              <w:rPr>
                <w:b/>
                <w:bCs/>
              </w:rPr>
              <w:t xml:space="preserve">Chile</w:t>
            </w:r>
          </w:p>
        </w:tc>
        <w:tc>
          <w:tcPr/>
          <w:p>
            <w:pPr>
              <w:pStyle w:val="Compact"/>
            </w:pPr>
            <w:r>
              <w:t xml:space="preserve">≤1,0%</w:t>
            </w:r>
          </w:p>
        </w:tc>
        <w:tc>
          <w:tcPr/>
          <w:p>
            <w:pPr>
              <w:pStyle w:val="Compact"/>
            </w:pPr>
            <w:r>
              <w:t xml:space="preserve">Ley 20.000 + criterio SAG/ISP</w:t>
            </w:r>
          </w:p>
        </w:tc>
        <w:tc>
          <w:tcPr/>
          <w:p>
            <w:pPr>
              <w:pStyle w:val="Compact"/>
            </w:pPr>
            <w:r>
              <w:t xml:space="preserve">2021</w:t>
            </w:r>
          </w:p>
        </w:tc>
        <w:tc>
          <w:tcPr/>
          <w:p>
            <w:pPr>
              <w:pStyle w:val="Compact"/>
            </w:pPr>
            <w:r>
              <w:t xml:space="preserve">Exclusión control estupefacientes.</w:t>
            </w:r>
          </w:p>
        </w:tc>
      </w:tr>
      <w:tr>
        <w:tc>
          <w:tcPr/>
          <w:p>
            <w:pPr>
              <w:pStyle w:val="Compact"/>
            </w:pPr>
            <w:r>
              <w:rPr>
                <w:b/>
                <w:bCs/>
              </w:rPr>
              <w:t xml:space="preserve">Paraguay</w:t>
            </w:r>
          </w:p>
        </w:tc>
        <w:tc>
          <w:tcPr/>
          <w:p>
            <w:pPr>
              <w:pStyle w:val="Compact"/>
            </w:pPr>
            <w:r>
              <w:t xml:space="preserve">≤1,0%</w:t>
            </w:r>
          </w:p>
        </w:tc>
        <w:tc>
          <w:tcPr/>
          <w:p>
            <w:pPr>
              <w:pStyle w:val="Compact"/>
            </w:pPr>
            <w:r>
              <w:t xml:space="preserve">Decreto 2725/2019</w:t>
            </w:r>
          </w:p>
        </w:tc>
        <w:tc>
          <w:tcPr/>
          <w:p>
            <w:pPr>
              <w:pStyle w:val="Compact"/>
            </w:pPr>
            <w:r>
              <w:t xml:space="preserve">2019</w:t>
            </w:r>
          </w:p>
        </w:tc>
        <w:tc>
          <w:tcPr/>
          <w:p>
            <w:pPr>
              <w:pStyle w:val="Compact"/>
            </w:pPr>
            <w:r>
              <w:t xml:space="preserve">Cáñamo industrial.</w:t>
            </w:r>
          </w:p>
        </w:tc>
      </w:tr>
      <w:tr>
        <w:tc>
          <w:tcPr/>
          <w:p>
            <w:pPr>
              <w:pStyle w:val="Compact"/>
            </w:pPr>
            <w:r>
              <w:rPr>
                <w:b/>
                <w:bCs/>
              </w:rPr>
              <w:t xml:space="preserve">Colombia</w:t>
            </w:r>
          </w:p>
        </w:tc>
        <w:tc>
          <w:tcPr/>
          <w:p>
            <w:pPr>
              <w:pStyle w:val="Compact"/>
            </w:pPr>
            <w:r>
              <w:t xml:space="preserve">1,0%</w:t>
            </w:r>
          </w:p>
        </w:tc>
        <w:tc>
          <w:tcPr/>
          <w:p>
            <w:pPr>
              <w:pStyle w:val="Compact"/>
            </w:pPr>
            <w:r>
              <w:t xml:space="preserve">Ley 1787/2016 + Decreto 613/2017</w:t>
            </w:r>
          </w:p>
        </w:tc>
        <w:tc>
          <w:tcPr/>
          <w:p>
            <w:pPr>
              <w:pStyle w:val="Compact"/>
            </w:pPr>
            <w:r>
              <w:t xml:space="preserve">2016-2017</w:t>
            </w:r>
          </w:p>
        </w:tc>
        <w:tc>
          <w:tcPr/>
          <w:p>
            <w:pPr>
              <w:pStyle w:val="Compact"/>
            </w:pPr>
            <w:r>
              <w:t xml:space="preserve">Potencia exportadora de derivados CBD.</w:t>
            </w:r>
          </w:p>
        </w:tc>
      </w:tr>
      <w:tr>
        <w:tc>
          <w:tcPr/>
          <w:p>
            <w:pPr>
              <w:pStyle w:val="Compact"/>
            </w:pPr>
            <w:r>
              <w:rPr>
                <w:b/>
                <w:bCs/>
              </w:rPr>
              <w:t xml:space="preserve">Ecuador</w:t>
            </w:r>
          </w:p>
        </w:tc>
        <w:tc>
          <w:tcPr/>
          <w:p>
            <w:pPr>
              <w:pStyle w:val="Compact"/>
            </w:pPr>
            <w:r>
              <w:t xml:space="preserve">1,0%</w:t>
            </w:r>
          </w:p>
        </w:tc>
        <w:tc>
          <w:tcPr/>
          <w:p>
            <w:pPr>
              <w:pStyle w:val="Compact"/>
            </w:pPr>
            <w:r>
              <w:t xml:space="preserve">Acuerdo Ministerial 109-2020</w:t>
            </w:r>
          </w:p>
        </w:tc>
        <w:tc>
          <w:tcPr/>
          <w:p>
            <w:pPr>
              <w:pStyle w:val="Compact"/>
            </w:pPr>
            <w:r>
              <w:t xml:space="preserve">2020</w:t>
            </w:r>
          </w:p>
        </w:tc>
        <w:tc>
          <w:tcPr/>
          <w:p>
            <w:pPr>
              <w:pStyle w:val="Compact"/>
            </w:pPr>
            <w:r>
              <w:t xml:space="preserve">Cannabis no psicoactivo.</w:t>
            </w:r>
          </w:p>
        </w:tc>
      </w:tr>
      <w:tr>
        <w:tc>
          <w:tcPr/>
          <w:p>
            <w:pPr>
              <w:pStyle w:val="Compact"/>
            </w:pPr>
            <w:r>
              <w:rPr>
                <w:b/>
                <w:bCs/>
              </w:rPr>
              <w:t xml:space="preserve">Perú</w:t>
            </w:r>
          </w:p>
        </w:tc>
        <w:tc>
          <w:tcPr/>
          <w:p>
            <w:pPr>
              <w:pStyle w:val="Compact"/>
            </w:pPr>
            <w:r>
              <w:t xml:space="preserve">1,0%</w:t>
            </w:r>
          </w:p>
        </w:tc>
        <w:tc>
          <w:tcPr/>
          <w:p>
            <w:pPr>
              <w:pStyle w:val="Compact"/>
            </w:pPr>
            <w:r>
              <w:t xml:space="preserve">Ley 32195</w:t>
            </w:r>
          </w:p>
        </w:tc>
        <w:tc>
          <w:tcPr/>
          <w:p>
            <w:pPr>
              <w:pStyle w:val="Compact"/>
            </w:pPr>
            <w:r>
              <w:t xml:space="preserve">Dic 2024</w:t>
            </w:r>
          </w:p>
        </w:tc>
        <w:tc>
          <w:tcPr/>
          <w:p>
            <w:pPr>
              <w:pStyle w:val="Compact"/>
            </w:pPr>
            <w:r>
              <w:t xml:space="preserve">Cáñamo industrial.</w:t>
            </w:r>
          </w:p>
        </w:tc>
      </w:tr>
      <w:tr>
        <w:tc>
          <w:tcPr/>
          <w:p>
            <w:pPr>
              <w:pStyle w:val="Compact"/>
            </w:pPr>
            <w:r>
              <w:rPr>
                <w:b/>
                <w:bCs/>
              </w:rPr>
              <w:t xml:space="preserve">México</w:t>
            </w:r>
          </w:p>
        </w:tc>
        <w:tc>
          <w:tcPr/>
          <w:p>
            <w:pPr>
              <w:pStyle w:val="Compact"/>
            </w:pPr>
            <w:r>
              <w:t xml:space="preserve">1,0%</w:t>
            </w:r>
          </w:p>
        </w:tc>
        <w:tc>
          <w:tcPr/>
          <w:p>
            <w:pPr>
              <w:pStyle w:val="Compact"/>
            </w:pPr>
            <w:r>
              <w:t xml:space="preserve">Ley General de Salud Art. 245</w:t>
            </w:r>
          </w:p>
        </w:tc>
        <w:tc>
          <w:tcPr/>
          <w:p>
            <w:pPr>
              <w:pStyle w:val="Compact"/>
            </w:pPr>
            <w:r>
              <w:t xml:space="preserve">2017</w:t>
            </w:r>
          </w:p>
        </w:tc>
        <w:tc>
          <w:tcPr/>
          <w:p>
            <w:pPr>
              <w:pStyle w:val="Compact"/>
            </w:pPr>
            <w:r>
              <w:t xml:space="preserve">Productos industriales.</w:t>
            </w:r>
          </w:p>
        </w:tc>
      </w:tr>
      <w:tr>
        <w:tc>
          <w:tcPr/>
          <w:p>
            <w:pPr>
              <w:pStyle w:val="Compact"/>
            </w:pPr>
            <w:r>
              <w:rPr>
                <w:b/>
                <w:bCs/>
              </w:rPr>
              <w:t xml:space="preserve">Costa Rica</w:t>
            </w:r>
          </w:p>
        </w:tc>
        <w:tc>
          <w:tcPr/>
          <w:p>
            <w:pPr>
              <w:pStyle w:val="Compact"/>
            </w:pPr>
            <w:r>
              <w:t xml:space="preserve">1,0%</w:t>
            </w:r>
          </w:p>
        </w:tc>
        <w:tc>
          <w:tcPr/>
          <w:p>
            <w:pPr>
              <w:pStyle w:val="Compact"/>
            </w:pPr>
            <w:r>
              <w:t xml:space="preserve">Ley 10113 + RTCR 515:2024</w:t>
            </w:r>
          </w:p>
        </w:tc>
        <w:tc>
          <w:tcPr/>
          <w:p>
            <w:pPr>
              <w:pStyle w:val="Compact"/>
            </w:pPr>
            <w:r>
              <w:t xml:space="preserve">2022</w:t>
            </w:r>
          </w:p>
        </w:tc>
        <w:tc>
          <w:tcPr/>
          <w:p>
            <w:pPr>
              <w:pStyle w:val="Compact"/>
            </w:pPr>
            <w:r>
              <w:t xml:space="preserve">Marco técnico completo.</w:t>
            </w:r>
          </w:p>
        </w:tc>
      </w:tr>
      <w:tr>
        <w:tc>
          <w:tcPr/>
          <w:p>
            <w:pPr>
              <w:pStyle w:val="Compact"/>
            </w:pPr>
            <w:r>
              <w:rPr>
                <w:b/>
                <w:bCs/>
              </w:rPr>
              <w:t xml:space="preserve">Panamá</w:t>
            </w:r>
          </w:p>
        </w:tc>
        <w:tc>
          <w:tcPr/>
          <w:p>
            <w:pPr>
              <w:pStyle w:val="Compact"/>
            </w:pPr>
            <w:r>
              <w:t xml:space="preserve">1,0%</w:t>
            </w:r>
          </w:p>
        </w:tc>
        <w:tc>
          <w:tcPr/>
          <w:p>
            <w:pPr>
              <w:pStyle w:val="Compact"/>
            </w:pPr>
            <w:r>
              <w:t xml:space="preserve">Ley 464</w:t>
            </w:r>
          </w:p>
        </w:tc>
        <w:tc>
          <w:tcPr/>
          <w:p>
            <w:pPr>
              <w:pStyle w:val="Compact"/>
            </w:pPr>
            <w:r>
              <w:t xml:space="preserve">Mar 2025</w:t>
            </w:r>
          </w:p>
        </w:tc>
        <w:tc>
          <w:tcPr/>
          <w:p>
            <w:pPr>
              <w:pStyle w:val="Compact"/>
            </w:pPr>
            <w:r>
              <w:t xml:space="preserve">Cáñamo industrial.</w:t>
            </w:r>
          </w:p>
        </w:tc>
      </w:tr>
      <w:tr>
        <w:tc>
          <w:tcPr/>
          <w:p>
            <w:pPr>
              <w:pStyle w:val="Compact"/>
            </w:pPr>
            <w:r>
              <w:rPr>
                <w:b/>
                <w:bCs/>
              </w:rPr>
              <w:t xml:space="preserve">Jamaica</w:t>
            </w:r>
          </w:p>
        </w:tc>
        <w:tc>
          <w:tcPr/>
          <w:p>
            <w:pPr>
              <w:pStyle w:val="Compact"/>
            </w:pPr>
            <w:r>
              <w:t xml:space="preserve">≤1,0%</w:t>
            </w:r>
          </w:p>
        </w:tc>
        <w:tc>
          <w:tcPr/>
          <w:p>
            <w:pPr>
              <w:pStyle w:val="Compact"/>
            </w:pPr>
            <w:r>
              <w:t xml:space="preserve">Dangerous Drugs Amendment Act</w:t>
            </w:r>
          </w:p>
        </w:tc>
        <w:tc>
          <w:tcPr/>
          <w:p>
            <w:pPr>
              <w:pStyle w:val="Compact"/>
            </w:pPr>
            <w:r>
              <w:t xml:space="preserve">Abr 2015</w:t>
            </w:r>
          </w:p>
        </w:tc>
        <w:tc>
          <w:tcPr/>
          <w:p>
            <w:pPr>
              <w:pStyle w:val="Compact"/>
            </w:pPr>
            <w:r>
              <w:t xml:space="preserve">Definición legal hemp.</w:t>
            </w:r>
          </w:p>
        </w:tc>
      </w:tr>
    </w:tbl>
    <w:p>
      <w:pPr>
        <w:pStyle w:val="BodyText"/>
      </w:pPr>
      <w:r>
        <w:rPr>
          <w:b/>
          <w:bCs/>
        </w:rPr>
        <w:t xml:space="preserve">Implicación jurídica para la UE</w:t>
      </w:r>
      <w:r>
        <w:t xml:space="preserve">: El</w:t>
      </w:r>
      <w:r>
        <w:t xml:space="preserve"> </w:t>
      </w:r>
      <w:hyperlink r:id="rId30">
        <w:r>
          <w:rPr>
            <w:rStyle w:val="Hyperlink"/>
          </w:rPr>
          <w:t xml:space="preserve">Acuerdo UE-Mercosur firmado el 17 enero 2026</w:t>
        </w:r>
      </w:hyperlink>
      <w:r>
        <w:t xml:space="preserve"> </w:t>
      </w:r>
      <w:r>
        <w:t xml:space="preserve">incorpora los principios OMC de Barreras Técnicas al Comercio (Capítulo 5 TBT). El</w:t>
      </w:r>
      <w:r>
        <w:t xml:space="preserve"> </w:t>
      </w:r>
      <w:r>
        <w:rPr>
          <w:b/>
          <w:bCs/>
        </w:rPr>
        <w:t xml:space="preserve">test de</w:t>
      </w:r>
      <w:r>
        <w:rPr>
          <w:b/>
          <w:bCs/>
        </w:rPr>
        <w:t xml:space="preserve"> </w:t>
      </w:r>
      <w:r>
        <w:rPr>
          <w:b/>
          <w:bCs/>
        </w:rPr>
        <w:t xml:space="preserve">“necesidad”</w:t>
      </w:r>
      <w:r>
        <w:rPr>
          <w:b/>
          <w:bCs/>
        </w:rPr>
        <w:t xml:space="preserve"> </w:t>
      </w:r>
      <w:r>
        <w:rPr>
          <w:b/>
          <w:bCs/>
        </w:rPr>
        <w:t xml:space="preserve">del Artículo 2.2 TBT</w:t>
      </w:r>
      <w:r>
        <w:t xml:space="preserve"> </w:t>
      </w:r>
      <w:r>
        <w:t xml:space="preserve">obliga a evaluar si el umbral europeo del 0,3% es</w:t>
      </w:r>
      <w:r>
        <w:t xml:space="preserve"> </w:t>
      </w:r>
      <w:r>
        <w:rPr>
          <w:b/>
          <w:bCs/>
        </w:rPr>
        <w:t xml:space="preserve">“más restrictivo de lo necesario”</w:t>
      </w:r>
      <w:r>
        <w:t xml:space="preserve"> </w:t>
      </w:r>
      <w:r>
        <w:t xml:space="preserve">para el objetivo legítimo de distinguir cáñamo de cannabis psicoactivo.</w:t>
      </w:r>
    </w:p>
    <w:p>
      <w:pPr>
        <w:pStyle w:val="BodyText"/>
      </w:pPr>
      <w:r>
        <w:t xml:space="preserve">Cuando</w:t>
      </w:r>
      <w:r>
        <w:t xml:space="preserve"> </w:t>
      </w:r>
      <w:r>
        <w:rPr>
          <w:b/>
          <w:bCs/>
        </w:rPr>
        <w:t xml:space="preserve">3 de 4 miembros del Mercosur</w:t>
      </w:r>
      <w:r>
        <w:t xml:space="preserve"> </w:t>
      </w:r>
      <w:r>
        <w:t xml:space="preserve">(Argentina, Paraguay, Uruguay) operan exitosamente al 1% THC sin problemas de seguridad pública, mantener el 0,3% constituye una</w:t>
      </w:r>
      <w:r>
        <w:t xml:space="preserve"> </w:t>
      </w:r>
      <w:r>
        <w:rPr>
          <w:b/>
          <w:bCs/>
        </w:rPr>
        <w:t xml:space="preserve">barrera técnica injustificada</w:t>
      </w:r>
      <w:r>
        <w:t xml:space="preserve"> </w:t>
      </w:r>
      <w:r>
        <w:t xml:space="preserve">que contradice los compromisos de armonización regulatoria del propio acuerdo que la UE acaba de ratificar.</w:t>
      </w:r>
    </w:p>
    <w:bookmarkEnd w:id="31"/>
    <w:bookmarkStart w:id="32" w:name="asia-pacífico-y-áfrica"/>
    <w:p>
      <w:pPr>
        <w:pStyle w:val="Heading3"/>
      </w:pPr>
      <w:r>
        <w:t xml:space="preserve">Asia-Pacífico y África</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Nueva Zelanda</w:t>
            </w:r>
          </w:p>
        </w:tc>
        <w:tc>
          <w:tcPr/>
          <w:p>
            <w:pPr>
              <w:pStyle w:val="Compact"/>
            </w:pPr>
            <w:r>
              <w:t xml:space="preserve">≤1,0%</w:t>
            </w:r>
          </w:p>
        </w:tc>
        <w:tc>
          <w:tcPr/>
          <w:p>
            <w:pPr>
              <w:pStyle w:val="Compact"/>
            </w:pPr>
            <w:r>
              <w:t xml:space="preserve">Reforma regulatoria</w:t>
            </w:r>
          </w:p>
        </w:tc>
        <w:tc>
          <w:tcPr/>
          <w:p>
            <w:pPr>
              <w:pStyle w:val="Compact"/>
            </w:pPr>
            <w:r>
              <w:t xml:space="preserve">Dic 2025</w:t>
            </w:r>
          </w:p>
        </w:tc>
        <w:tc>
          <w:tcPr/>
          <w:p>
            <w:pPr>
              <w:pStyle w:val="Compact"/>
            </w:pPr>
            <w:r>
              <w:t xml:space="preserve">Cultivo y productos.</w:t>
            </w:r>
          </w:p>
        </w:tc>
      </w:tr>
      <w:tr>
        <w:tc>
          <w:tcPr/>
          <w:p>
            <w:pPr>
              <w:pStyle w:val="Compact"/>
            </w:pPr>
            <w:r>
              <w:rPr>
                <w:b/>
                <w:bCs/>
              </w:rPr>
              <w:t xml:space="preserve">Fiyi</w:t>
            </w:r>
          </w:p>
        </w:tc>
        <w:tc>
          <w:tcPr/>
          <w:p>
            <w:pPr>
              <w:pStyle w:val="Compact"/>
            </w:pPr>
            <w:r>
              <w:t xml:space="preserve">1,0%</w:t>
            </w:r>
          </w:p>
        </w:tc>
        <w:tc>
          <w:tcPr/>
          <w:p>
            <w:pPr>
              <w:pStyle w:val="Compact"/>
            </w:pPr>
            <w:r>
              <w:t xml:space="preserve">Illicit Drugs Control Act 2022</w:t>
            </w:r>
          </w:p>
        </w:tc>
        <w:tc>
          <w:tcPr/>
          <w:p>
            <w:pPr>
              <w:pStyle w:val="Compact"/>
            </w:pPr>
            <w:r>
              <w:t xml:space="preserve">Jul 2022</w:t>
            </w:r>
          </w:p>
        </w:tc>
        <w:tc>
          <w:tcPr/>
          <w:p>
            <w:pPr>
              <w:pStyle w:val="Compact"/>
            </w:pPr>
            <w:r>
              <w:t xml:space="preserve">Cultivo y productos.</w:t>
            </w:r>
          </w:p>
        </w:tc>
      </w:tr>
      <w:tr>
        <w:tc>
          <w:tcPr/>
          <w:p>
            <w:pPr>
              <w:pStyle w:val="Compact"/>
            </w:pPr>
            <w:r>
              <w:rPr>
                <w:b/>
                <w:bCs/>
              </w:rPr>
              <w:t xml:space="preserve">Australia</w:t>
            </w:r>
          </w:p>
        </w:tc>
        <w:tc>
          <w:tcPr/>
          <w:p>
            <w:pPr>
              <w:pStyle w:val="Compact"/>
            </w:pPr>
            <w:r>
              <w:t xml:space="preserve">1,0%</w:t>
            </w:r>
          </w:p>
        </w:tc>
        <w:tc>
          <w:tcPr/>
          <w:p>
            <w:pPr>
              <w:pStyle w:val="Compact"/>
            </w:pPr>
            <w:r>
              <w:t xml:space="preserve">Legislación estatal</w:t>
            </w:r>
          </w:p>
        </w:tc>
        <w:tc>
          <w:tcPr/>
          <w:p>
            <w:pPr>
              <w:pStyle w:val="Compact"/>
            </w:pPr>
            <w:r>
              <w:t xml:space="preserve">Variable</w:t>
            </w:r>
          </w:p>
        </w:tc>
        <w:tc>
          <w:tcPr/>
          <w:p>
            <w:pPr>
              <w:pStyle w:val="Compact"/>
            </w:pPr>
            <w:r>
              <w:t xml:space="preserve">Umbral de cosecha reconoce fluctuación natural del cultivo.</w:t>
            </w:r>
          </w:p>
        </w:tc>
      </w:tr>
      <w:tr>
        <w:tc>
          <w:tcPr/>
          <w:p>
            <w:pPr>
              <w:pStyle w:val="Compact"/>
            </w:pPr>
            <w:r>
              <w:rPr>
                <w:b/>
                <w:bCs/>
              </w:rPr>
              <w:t xml:space="preserve">Marruecos</w:t>
            </w:r>
          </w:p>
        </w:tc>
        <w:tc>
          <w:tcPr/>
          <w:p>
            <w:pPr>
              <w:pStyle w:val="Compact"/>
            </w:pPr>
            <w:r>
              <w:t xml:space="preserve">1,0%</w:t>
            </w:r>
          </w:p>
        </w:tc>
        <w:tc>
          <w:tcPr/>
          <w:p>
            <w:pPr>
              <w:pStyle w:val="Compact"/>
            </w:pPr>
            <w:r>
              <w:t xml:space="preserve">Ley 13-21 + ANRAC</w:t>
            </w:r>
          </w:p>
        </w:tc>
        <w:tc>
          <w:tcPr/>
          <w:p>
            <w:pPr>
              <w:pStyle w:val="Compact"/>
            </w:pPr>
            <w:r>
              <w:t xml:space="preserve">2021</w:t>
            </w:r>
          </w:p>
        </w:tc>
        <w:tc>
          <w:tcPr/>
          <w:p>
            <w:pPr>
              <w:pStyle w:val="Compact"/>
            </w:pPr>
            <w:r>
              <w:t xml:space="preserve">País vecino y socio comercial UE.</w:t>
            </w:r>
          </w:p>
        </w:tc>
      </w:tr>
      <w:tr>
        <w:tc>
          <w:tcPr/>
          <w:p>
            <w:pPr>
              <w:pStyle w:val="Compact"/>
            </w:pPr>
            <w:r>
              <w:rPr>
                <w:b/>
                <w:bCs/>
              </w:rPr>
              <w:t xml:space="preserve">Líbano</w:t>
            </w:r>
          </w:p>
        </w:tc>
        <w:tc>
          <w:tcPr/>
          <w:p>
            <w:pPr>
              <w:pStyle w:val="Compact"/>
            </w:pPr>
            <w:r>
              <w:t xml:space="preserve">≤1,0%</w:t>
            </w:r>
          </w:p>
        </w:tc>
        <w:tc>
          <w:tcPr/>
          <w:p>
            <w:pPr>
              <w:pStyle w:val="Compact"/>
            </w:pPr>
            <w:r>
              <w:t xml:space="preserve">Ley 178/2020</w:t>
            </w:r>
          </w:p>
        </w:tc>
        <w:tc>
          <w:tcPr/>
          <w:p>
            <w:pPr>
              <w:pStyle w:val="Compact"/>
            </w:pPr>
            <w:r>
              <w:t xml:space="preserve">Abr 2020</w:t>
            </w:r>
          </w:p>
        </w:tc>
        <w:tc>
          <w:tcPr/>
          <w:p>
            <w:pPr>
              <w:pStyle w:val="Compact"/>
            </w:pPr>
            <w:r>
              <w:t xml:space="preserve">Cannabis industrial.</w:t>
            </w:r>
          </w:p>
        </w:tc>
      </w:tr>
      <w:tr>
        <w:tc>
          <w:tcPr/>
          <w:p>
            <w:pPr>
              <w:pStyle w:val="Compact"/>
            </w:pPr>
            <w:r>
              <w:rPr>
                <w:b/>
                <w:bCs/>
              </w:rPr>
              <w:t xml:space="preserve">Malawi</w:t>
            </w:r>
          </w:p>
        </w:tc>
        <w:tc>
          <w:tcPr/>
          <w:p>
            <w:pPr>
              <w:pStyle w:val="Compact"/>
            </w:pPr>
            <w:r>
              <w:t xml:space="preserve">1,0%</w:t>
            </w:r>
          </w:p>
        </w:tc>
        <w:tc>
          <w:tcPr/>
          <w:p>
            <w:pPr>
              <w:pStyle w:val="Compact"/>
            </w:pPr>
            <w:r>
              <w:t xml:space="preserve">Cannabis Regulation Act 2020</w:t>
            </w:r>
          </w:p>
        </w:tc>
        <w:tc>
          <w:tcPr/>
          <w:p>
            <w:pPr>
              <w:pStyle w:val="Compact"/>
            </w:pPr>
            <w:r>
              <w:t xml:space="preserve">May 2020</w:t>
            </w:r>
          </w:p>
        </w:tc>
        <w:tc>
          <w:tcPr/>
          <w:p>
            <w:pPr>
              <w:pStyle w:val="Compact"/>
            </w:pPr>
            <w:r>
              <w:t xml:space="preserve">Cáñamo industrial.</w:t>
            </w:r>
          </w:p>
        </w:tc>
      </w:tr>
      <w:tr>
        <w:tc>
          <w:tcPr/>
          <w:p>
            <w:pPr>
              <w:pStyle w:val="Compact"/>
            </w:pPr>
            <w:r>
              <w:rPr>
                <w:b/>
                <w:bCs/>
              </w:rPr>
              <w:t xml:space="preserve">Zimbabue</w:t>
            </w:r>
          </w:p>
        </w:tc>
        <w:tc>
          <w:tcPr/>
          <w:p>
            <w:pPr>
              <w:pStyle w:val="Compact"/>
            </w:pPr>
            <w:r>
              <w:t xml:space="preserve">1,0%</w:t>
            </w:r>
          </w:p>
        </w:tc>
        <w:tc>
          <w:tcPr/>
          <w:p>
            <w:pPr>
              <w:pStyle w:val="Compact"/>
            </w:pPr>
            <w:r>
              <w:t xml:space="preserve">Criminal Law Amendment Bill</w:t>
            </w:r>
          </w:p>
        </w:tc>
        <w:tc>
          <w:tcPr/>
          <w:p>
            <w:pPr>
              <w:pStyle w:val="Compact"/>
            </w:pPr>
            <w:r>
              <w:t xml:space="preserve">Feb 2023</w:t>
            </w:r>
          </w:p>
        </w:tc>
        <w:tc>
          <w:tcPr/>
          <w:p>
            <w:pPr>
              <w:pStyle w:val="Compact"/>
            </w:pPr>
            <w:r>
              <w:t xml:space="preserve">Cáñamo industrial.</w:t>
            </w:r>
          </w:p>
        </w:tc>
      </w:tr>
    </w:tbl>
    <w:p>
      <w:pPr>
        <w:pStyle w:val="BodyText"/>
      </w:pPr>
      <w:r>
        <w:rPr>
          <w:b/>
          <w:bCs/>
        </w:rPr>
        <w:t xml:space="preserve">Nota sobre China</w:t>
      </w:r>
      <w:r>
        <w:t xml:space="preserve">: Aunque no establece límite específico de THC para cáñamo, sus programas de mejoramiento genético nunca restringieron artificialmente este cannabinoide. Los ensayos de Halker et al. (2024) documentaron que las variedades de fibra de élite (Bama 0,506%, Yuma 0,723%) alcanzan rendimientos de 22-35 t/ha —entre 4-7 veces superiores a las europeas— precisamente porque la</w:t>
      </w:r>
      <w:r>
        <w:t xml:space="preserve"> </w:t>
      </w:r>
      <w:r>
        <w:rPr>
          <w:b/>
          <w:bCs/>
        </w:rPr>
        <w:t xml:space="preserve">selección puramente agronómica</w:t>
      </w:r>
      <w:r>
        <w:t xml:space="preserve"> </w:t>
      </w:r>
      <w:r>
        <w:t xml:space="preserve">conduce naturalmente al rango 0,4-0,9% THC. Los ensayos de Brym et al. [18] confirmaron este patrón:</w:t>
      </w:r>
      <w:r>
        <w:t xml:space="preserve"> </w:t>
      </w:r>
      <w:r>
        <w:rPr>
          <w:b/>
          <w:bCs/>
        </w:rPr>
        <w:t xml:space="preserve">todas las variedades chinas de alto rendimiento superaron el 0,3%</w:t>
      </w:r>
      <w:r>
        <w:t xml:space="preserve"> </w:t>
      </w:r>
      <w:r>
        <w:t xml:space="preserve">al cultivarse hasta cosecha. Esto confirma que el umbral europeo del 0,3% va contra la naturaleza de la planta cuando se optimiza para rendimiento máximo.</w:t>
      </w:r>
    </w:p>
    <w:bookmarkEnd w:id="32"/>
    <w:bookmarkStart w:id="33" w:name="conclusión-alineamiento-estratégico"/>
    <w:p>
      <w:pPr>
        <w:pStyle w:val="Heading3"/>
      </w:pPr>
      <w:r>
        <w:t xml:space="preserve">Conclusión: alineamiento estratégico</w:t>
      </w:r>
    </w:p>
    <w:p>
      <w:pPr>
        <w:pStyle w:val="FirstParagraph"/>
      </w:pPr>
      <w:r>
        <w:t xml:space="preserve">Este panorama evidencia que el</w:t>
      </w:r>
      <w:r>
        <w:t xml:space="preserve"> </w:t>
      </w:r>
      <w:r>
        <w:rPr>
          <w:b/>
          <w:bCs/>
        </w:rPr>
        <w:t xml:space="preserve">1% THC</w:t>
      </w:r>
      <w:r>
        <w:t xml:space="preserve"> </w:t>
      </w:r>
      <w:r>
        <w:t xml:space="preserve">representa un equilibrio maduro entre control regulatorio y viabilidad comercial, adoptado por jurisdicciones de todos los continentes que han priorizado la</w:t>
      </w:r>
      <w:r>
        <w:t xml:space="preserve"> </w:t>
      </w:r>
      <w:r>
        <w:rPr>
          <w:b/>
          <w:bCs/>
        </w:rPr>
        <w:t xml:space="preserve">competitividad sectorial sin comprometer la seguridad pública</w:t>
      </w:r>
      <w:r>
        <w:t xml:space="preserve">.</w:t>
      </w:r>
    </w:p>
    <w:p>
      <w:pPr>
        <w:pStyle w:val="BodyText"/>
      </w:pPr>
      <w:r>
        <w:t xml:space="preserve">La Unión Europea, manteniendo el umbral del 0,3%, se sitúa en una posición de</w:t>
      </w:r>
      <w:r>
        <w:t xml:space="preserve"> </w:t>
      </w:r>
      <w:r>
        <w:rPr>
          <w:b/>
          <w:bCs/>
        </w:rPr>
        <w:t xml:space="preserve">desventaja competitiva estructural</w:t>
      </w:r>
      <w:r>
        <w:t xml:space="preserve"> </w:t>
      </w:r>
      <w:r>
        <w:t xml:space="preserve">frente a productores globales que operan con márgenes regulatorios más realistas.</w:t>
      </w:r>
    </w:p>
    <w:p>
      <w:r>
        <w:pict>
          <v:rect style="width:0;height:1.5pt" o:hralign="center" o:hrstd="t" o:hr="t"/>
        </w:pict>
      </w:r>
    </w:p>
    <w:bookmarkEnd w:id="33"/>
    <w:bookmarkEnd w:id="34"/>
    <w:bookmarkStart w:id="47" w:name="Xf1b70bd6746508f60034eafb1708fc6f35b54eb"/>
    <w:p>
      <w:pPr>
        <w:pStyle w:val="Heading2"/>
      </w:pPr>
      <w:r>
        <w:t xml:space="preserve">2.4 ARGUMENTO SOCIAL: SEGURIDAD Y SALUD PÚBLICA</w:t>
      </w:r>
    </w:p>
    <w:bookmarkStart w:id="36" w:name="X2fa126c29433b7a4bacc0c2d1de0b5ec4ecaf5a"/>
    <w:p>
      <w:pPr>
        <w:pStyle w:val="Heading3"/>
      </w:pPr>
      <w:r>
        <w:t xml:space="preserve">2.4.0 Marco de evaluación: realismo frente a teoría</w:t>
      </w:r>
    </w:p>
    <w:p>
      <w:pPr>
        <w:pStyle w:val="FirstParagraph"/>
      </w:pPr>
      <w:r>
        <w:t xml:space="preserve">Las preocupaciones sobre el potencial de abuso del cáñamo industrial son</w:t>
      </w:r>
      <w:r>
        <w:t xml:space="preserve"> </w:t>
      </w:r>
      <w:r>
        <w:rPr>
          <w:b/>
          <w:bCs/>
        </w:rPr>
        <w:t xml:space="preserve">legítimas y deben ser evaluadas rigurosamente</w:t>
      </w:r>
      <w:r>
        <w:t xml:space="preserve">. Sin embargo, esta evaluación debe realizarse de forma</w:t>
      </w:r>
      <w:r>
        <w:t xml:space="preserve"> </w:t>
      </w:r>
      <w:r>
        <w:rPr>
          <w:b/>
          <w:bCs/>
        </w:rPr>
        <w:t xml:space="preserve">realista, no teórica</w:t>
      </w:r>
      <w:r>
        <w:t xml:space="preserve">.</w:t>
      </w:r>
      <w:r>
        <w:rPr>
          <w:rStyle w:val="FootnoteReference"/>
        </w:rPr>
        <w:footnoteReference w:id="35"/>
      </w:r>
    </w:p>
    <w:p>
      <w:pPr>
        <w:pStyle w:val="BodyText"/>
      </w:pPr>
      <w:r>
        <w:t xml:space="preserve">El riesgo de abuso no viene determinado por la mera presencia de THC en la planta, sino por si la intoxicación es</w:t>
      </w:r>
      <w:r>
        <w:t xml:space="preserve"> </w:t>
      </w:r>
      <w:r>
        <w:rPr>
          <w:b/>
          <w:bCs/>
        </w:rPr>
        <w:t xml:space="preserve">práctica, técnica y económicamente factible</w:t>
      </w:r>
      <w:r>
        <w:t xml:space="preserve">. La evidencia científica y económica demuestra que esto</w:t>
      </w:r>
      <w:r>
        <w:t xml:space="preserve"> </w:t>
      </w:r>
      <w:r>
        <w:rPr>
          <w:b/>
          <w:bCs/>
        </w:rPr>
        <w:t xml:space="preserve">no es el caso</w:t>
      </w:r>
      <w:r>
        <w:t xml:space="preserve"> </w:t>
      </w:r>
      <w:r>
        <w:t xml:space="preserve">para el cáñamo industrial, incluso al 1% THC.</w:t>
      </w:r>
    </w:p>
    <w:bookmarkEnd w:id="36"/>
    <w:bookmarkStart w:id="37" w:name="qué-regula-este-umbral"/>
    <w:p>
      <w:pPr>
        <w:pStyle w:val="Heading3"/>
      </w:pPr>
      <w:r>
        <w:t xml:space="preserve">2.4.1 Qué regula este umbral</w:t>
      </w:r>
    </w:p>
    <w:p>
      <w:pPr>
        <w:pStyle w:val="FirstParagraph"/>
      </w:pPr>
      <w:r>
        <w:t xml:space="preserve">El umbral de</w:t>
      </w:r>
      <w:r>
        <w:t xml:space="preserve"> </w:t>
      </w:r>
      <w:r>
        <w:rPr>
          <w:b/>
          <w:bCs/>
        </w:rPr>
        <w:t xml:space="preserve">1,0% THC</w:t>
      </w:r>
      <w:r>
        <w:t xml:space="preserve"> </w:t>
      </w:r>
      <w:r>
        <w:t xml:space="preserve">propuesto opera como criterio de</w:t>
      </w:r>
      <w:r>
        <w:t xml:space="preserve"> </w:t>
      </w:r>
      <w:r>
        <w:rPr>
          <w:b/>
          <w:bCs/>
        </w:rPr>
        <w:t xml:space="preserve">clasificación de materias primas de cáñamo industrial</w:t>
      </w:r>
      <w:r>
        <w:t xml:space="preserve"> </w:t>
      </w:r>
      <w:r>
        <w:t xml:space="preserve">en el marco PAC/OCM, habilitando su cultivo, comercialización e importación dentro del mercado interior. Estas materias primas se destinan a:</w:t>
      </w:r>
    </w:p>
    <w:p>
      <w:pPr>
        <w:pStyle w:val="Compact"/>
        <w:numPr>
          <w:ilvl w:val="0"/>
          <w:numId w:val="1008"/>
        </w:numPr>
      </w:pPr>
      <w:r>
        <w:rPr>
          <w:b/>
          <w:bCs/>
        </w:rPr>
        <w:t xml:space="preserve">Usos industriales</w:t>
      </w:r>
      <w:r>
        <w:t xml:space="preserve"> </w:t>
      </w:r>
      <w:r>
        <w:t xml:space="preserve">(fibra, semilla, biomasa para transformación).</w:t>
      </w:r>
    </w:p>
    <w:p>
      <w:pPr>
        <w:pStyle w:val="Compact"/>
        <w:numPr>
          <w:ilvl w:val="0"/>
          <w:numId w:val="1008"/>
        </w:numPr>
      </w:pPr>
      <w:r>
        <w:rPr>
          <w:b/>
          <w:bCs/>
        </w:rPr>
        <w:t xml:space="preserve">Producción de productos legales</w:t>
      </w:r>
      <w:r>
        <w:t xml:space="preserve"> </w:t>
      </w:r>
      <w:r>
        <w:t xml:space="preserve">que, una vez transformados, quedan</w:t>
      </w:r>
      <w:r>
        <w:t xml:space="preserve"> </w:t>
      </w:r>
      <w:r>
        <w:rPr>
          <w:b/>
          <w:bCs/>
        </w:rPr>
        <w:t xml:space="preserve">regulados por cada Estado miembro</w:t>
      </w:r>
      <w:r>
        <w:t xml:space="preserve"> </w:t>
      </w:r>
      <w:r>
        <w:t xml:space="preserve">según el encaje que corresponda: industrial, alimentario, cosmético, medicinal u otros marcos sectoriales.</w:t>
      </w:r>
    </w:p>
    <w:p>
      <w:pPr>
        <w:pStyle w:val="FirstParagraph"/>
      </w:pPr>
      <w:r>
        <w:t xml:space="preserve">El riesgo de</w:t>
      </w:r>
      <w:r>
        <w:t xml:space="preserve"> </w:t>
      </w:r>
      <w:r>
        <w:rPr>
          <w:b/>
          <w:bCs/>
        </w:rPr>
        <w:t xml:space="preserve">desvío o mal uso</w:t>
      </w:r>
      <w:r>
        <w:t xml:space="preserve"> </w:t>
      </w:r>
      <w:r>
        <w:t xml:space="preserve">no debe gestionarse mediante un umbral artificialmente bajo que castiga al agricultor por variación agronómica o climática. El enfoque correcto es:</w:t>
      </w:r>
    </w:p>
    <w:p>
      <w:pPr>
        <w:pStyle w:val="Compact"/>
        <w:numPr>
          <w:ilvl w:val="0"/>
          <w:numId w:val="1009"/>
        </w:numPr>
      </w:pPr>
      <w:r>
        <w:rPr>
          <w:b/>
          <w:bCs/>
        </w:rPr>
        <w:t xml:space="preserve">Regulación clara</w:t>
      </w:r>
      <w:r>
        <w:t xml:space="preserve">: seguridad jurídica, trazabilidad documental y control oficial con el método armonizado UE.</w:t>
      </w:r>
    </w:p>
    <w:p>
      <w:pPr>
        <w:pStyle w:val="Compact"/>
        <w:numPr>
          <w:ilvl w:val="0"/>
          <w:numId w:val="1009"/>
        </w:numPr>
      </w:pPr>
      <w:r>
        <w:rPr>
          <w:b/>
          <w:bCs/>
        </w:rPr>
        <w:t xml:space="preserve">Proporcionalidad</w:t>
      </w:r>
      <w:r>
        <w:t xml:space="preserve">: separar el porcentaje en planta (clasificación) de la gestión específica de riesgos en producto final o conductas.</w:t>
      </w:r>
    </w:p>
    <w:p>
      <w:pPr>
        <w:pStyle w:val="FirstParagraph"/>
      </w:pPr>
      <w:r>
        <w:t xml:space="preserve">Un criterio PAC/OCM robusto (1%) combinado con una arquitectura de control efectiva protege mejor el mercado interior que un umbral frágil (0,3%) que genera litigios y pérdidas sin reducir el riesgo real de abuso.</w:t>
      </w:r>
    </w:p>
    <w:bookmarkEnd w:id="37"/>
    <w:bookmarkStart w:id="46" w:name="Xcadfd9a4e89e105d35cea4bdcd5223fb637d565"/>
    <w:p>
      <w:pPr>
        <w:pStyle w:val="Heading3"/>
      </w:pPr>
      <w:r>
        <w:t xml:space="preserve">2.4.2 Escenarios teóricos de abuso: por qué no son realistas</w:t>
      </w:r>
    </w:p>
    <w:p>
      <w:pPr>
        <w:pStyle w:val="FirstParagraph"/>
      </w:pPr>
      <w:r>
        <w:t xml:space="preserve">Para permitir el mal uso del cáñamo industrial con fines intoxicantes, el THC contenido en el material vegetal tendría que consumirse en cantidades suficientes para inducir un efecto psicoactivo. Esto podría teóricamente ocurrir de dos formas:</w:t>
      </w:r>
      <w:r>
        <w:t xml:space="preserve"> </w:t>
      </w:r>
      <w:r>
        <w:rPr>
          <w:b/>
          <w:bCs/>
        </w:rPr>
        <w:t xml:space="preserve">(a)</w:t>
      </w:r>
      <w:r>
        <w:t xml:space="preserve"> </w:t>
      </w:r>
      <w:r>
        <w:t xml:space="preserve">mediante la ingestión de productos procesados (horneados, extracción) o</w:t>
      </w:r>
      <w:r>
        <w:t xml:space="preserve"> </w:t>
      </w:r>
      <w:r>
        <w:rPr>
          <w:b/>
          <w:bCs/>
        </w:rPr>
        <w:t xml:space="preserve">(b)</w:t>
      </w:r>
      <w:r>
        <w:t xml:space="preserve"> </w:t>
      </w:r>
      <w:r>
        <w:t xml:space="preserve">mediante combustión directa (fumar o vaporizar).</w:t>
      </w:r>
    </w:p>
    <w:bookmarkStart w:id="38" w:name="X28b46d7561a36669d4a90c1718c00ffc7fe8bdc"/>
    <w:p>
      <w:pPr>
        <w:pStyle w:val="Heading4"/>
      </w:pPr>
      <w:r>
        <w:t xml:space="preserve">A. Escenario de procesado (horneado o extracción): irrelevante para este umbral</w:t>
      </w:r>
    </w:p>
    <w:p>
      <w:pPr>
        <w:pStyle w:val="FirstParagraph"/>
      </w:pPr>
      <w:r>
        <w:t xml:space="preserve">El escenario de horneado (</w:t>
      </w:r>
      <w:r>
        <w:t xml:space="preserve">“baking”</w:t>
      </w:r>
      <w:r>
        <w:t xml:space="preserve">) ha sido examinado como forma teórica de mal uso. En este caso, las flores de cáñamo industrial primero necesitarían procesarse —típicamente extrayendo cannabinoides en una grasa como mantequilla— que luego se incorporaría a productos horneados.</w:t>
      </w:r>
    </w:p>
    <w:p>
      <w:pPr>
        <w:pStyle w:val="BodyText"/>
      </w:pPr>
      <w:r>
        <w:t xml:space="preserve">Sin embargo, este método está sujeto a varios factores limitantes:</w:t>
      </w:r>
    </w:p>
    <w:p>
      <w:pPr>
        <w:pStyle w:val="Compact"/>
        <w:numPr>
          <w:ilvl w:val="0"/>
          <w:numId w:val="1010"/>
        </w:numPr>
      </w:pPr>
      <w:r>
        <w:rPr>
          <w:b/>
          <w:bCs/>
        </w:rPr>
        <w:t xml:space="preserve">Cantidad de material sustancial</w:t>
      </w:r>
      <w:r>
        <w:t xml:space="preserve"> </w:t>
      </w:r>
      <w:r>
        <w:t xml:space="preserve">para alcanzar una dosis mínima intoxicante, planteando problemas de palatabilidad, digestibilidad y aceptación.</w:t>
      </w:r>
    </w:p>
    <w:p>
      <w:pPr>
        <w:pStyle w:val="Compact"/>
        <w:numPr>
          <w:ilvl w:val="0"/>
          <w:numId w:val="1010"/>
        </w:numPr>
      </w:pPr>
      <w:r>
        <w:rPr>
          <w:b/>
          <w:bCs/>
        </w:rPr>
        <w:t xml:space="preserve">Conversión incompleta</w:t>
      </w:r>
      <w:r>
        <w:t xml:space="preserve">: la transformación del precursor no psicoactivo THCA en THC (descarboxilación) requiere condiciones específicas. Durante el horneado, más de la mitad del THC potencial puede permanecer sin convertir.</w:t>
      </w:r>
    </w:p>
    <w:p>
      <w:pPr>
        <w:pStyle w:val="Compact"/>
        <w:numPr>
          <w:ilvl w:val="0"/>
          <w:numId w:val="1010"/>
        </w:numPr>
      </w:pPr>
      <w:r>
        <w:rPr>
          <w:b/>
          <w:bCs/>
        </w:rPr>
        <w:t xml:space="preserve">Degradación térmica</w:t>
      </w:r>
      <w:r>
        <w:t xml:space="preserve">: el THC es termolábil y se degrada con calor excesivo, convirtiéndose en cannabinol (CBN), un compuesto sin efecto psicoactivo.</w:t>
      </w:r>
    </w:p>
    <w:p>
      <w:pPr>
        <w:pStyle w:val="FirstParagraph"/>
      </w:pPr>
      <w:r>
        <w:rPr>
          <w:b/>
          <w:bCs/>
        </w:rPr>
        <w:t xml:space="preserve">Observación crítica</w:t>
      </w:r>
      <w:r>
        <w:t xml:space="preserve">: Este escenario de procesado es</w:t>
      </w:r>
      <w:r>
        <w:t xml:space="preserve"> </w:t>
      </w:r>
      <w:r>
        <w:rPr>
          <w:b/>
          <w:bCs/>
        </w:rPr>
        <w:t xml:space="preserve">igualmente factible con material al 0,3% THC</w:t>
      </w:r>
      <w:r>
        <w:t xml:space="preserve"> </w:t>
      </w:r>
      <w:r>
        <w:t xml:space="preserve">que con material al 1%. Si alguien quisiera extraer cannabinoides para procesado doméstico, simplemente necesitaría más cantidad de material al 0,3% para lograr el mismo resultado. El umbral de clasificación PAC/OCM</w:t>
      </w:r>
      <w:r>
        <w:t xml:space="preserve"> </w:t>
      </w:r>
      <w:r>
        <w:rPr>
          <w:b/>
          <w:bCs/>
        </w:rPr>
        <w:t xml:space="preserve">no altera esta ecuación</w:t>
      </w:r>
      <w:r>
        <w:t xml:space="preserve">: quien tenga la intención, el equipo y el tiempo para realizar una extracción puede hacerlo con cualquier material que contenga THC.</w:t>
      </w:r>
    </w:p>
    <w:p>
      <w:pPr>
        <w:pStyle w:val="BodyText"/>
      </w:pPr>
      <w:r>
        <w:rPr>
          <w:b/>
          <w:bCs/>
        </w:rPr>
        <w:t xml:space="preserve">Argumento económico decisivo</w:t>
      </w:r>
      <w:r>
        <w:t xml:space="preserve">: Incluso asumiendo que este escenario fuera técnicamente viable,</w:t>
      </w:r>
      <w:r>
        <w:t xml:space="preserve"> </w:t>
      </w:r>
      <w:r>
        <w:rPr>
          <w:b/>
          <w:bCs/>
        </w:rPr>
        <w:t xml:space="preserve">en ningún caso constituiría una práctica atractiva para el narcotráfico</w:t>
      </w:r>
      <w:r>
        <w:t xml:space="preserve">. La extracción de THC a partir de cáñamo industrial —sea al 0,3% o al 1%— es</w:t>
      </w:r>
      <w:r>
        <w:t xml:space="preserve"> </w:t>
      </w:r>
      <w:r>
        <w:rPr>
          <w:b/>
          <w:bCs/>
        </w:rPr>
        <w:t xml:space="preserve">económicamente inviable</w:t>
      </w:r>
      <w:r>
        <w:t xml:space="preserve"> </w:t>
      </w:r>
      <w:r>
        <w:t xml:space="preserve">para el mercado negro. Un operador ilícito necesitaría procesar entre</w:t>
      </w:r>
      <w:r>
        <w:t xml:space="preserve"> </w:t>
      </w:r>
      <w:r>
        <w:rPr>
          <w:b/>
          <w:bCs/>
        </w:rPr>
        <w:t xml:space="preserve">13 y 43 veces más biomasa</w:t>
      </w:r>
      <w:r>
        <w:t xml:space="preserve"> </w:t>
      </w:r>
      <w:r>
        <w:t xml:space="preserve">para obtener la misma cantidad de THC que extraería del cannabis ilícito de alto contenido (&gt;13%), que además está ampliamente disponible. El coste en materia prima, tiempo, equipo y riesgo de detección hace que esta vía sea completamente irracional desde cualquier perspectiva criminal.</w:t>
      </w:r>
    </w:p>
    <w:p>
      <w:pPr>
        <w:pStyle w:val="BodyText"/>
      </w:pPr>
      <w:r>
        <w:t xml:space="preserve">Por tanto,</w:t>
      </w:r>
      <w:r>
        <w:t xml:space="preserve"> </w:t>
      </w:r>
      <w:r>
        <w:rPr>
          <w:b/>
          <w:bCs/>
        </w:rPr>
        <w:t xml:space="preserve">el escenario de procesado no constituye un argumento válido</w:t>
      </w:r>
      <w:r>
        <w:t xml:space="preserve"> </w:t>
      </w:r>
      <w:r>
        <w:t xml:space="preserve">para mantener un umbral artificialmente bajo: es igualmente ineficiente independientemente del umbral, y quien busque THC para fines ilícitos dispone de alternativas mucho más rentables.</w:t>
      </w:r>
    </w:p>
    <w:bookmarkEnd w:id="38"/>
    <w:bookmarkStart w:id="45" w:name="Xc51bc1a080a9dc0085f2663091235db2a125ed5"/>
    <w:p>
      <w:pPr>
        <w:pStyle w:val="Heading4"/>
      </w:pPr>
      <w:r>
        <w:t xml:space="preserve">B. Escenario de combustión directa: de riesgo hipotético a realidad comercial validada</w:t>
      </w:r>
    </w:p>
    <w:p>
      <w:pPr>
        <w:pStyle w:val="FirstParagraph"/>
      </w:pPr>
      <w:r>
        <w:t xml:space="preserve">El debate sobre si el cáñamo industrial podría fumarse no es una hipótesis académica:</w:t>
      </w:r>
      <w:r>
        <w:t xml:space="preserve"> </w:t>
      </w:r>
      <w:r>
        <w:rPr>
          <w:b/>
          <w:bCs/>
        </w:rPr>
        <w:t xml:space="preserve">es una realidad comercial de más de una década sin un solo incidente documentado de salud pública</w:t>
      </w:r>
      <w:r>
        <w:t xml:space="preserve">. Más aún: estos productos no solo no constituyen un riesgo, sino que representan una</w:t>
      </w:r>
      <w:r>
        <w:t xml:space="preserve"> </w:t>
      </w:r>
      <w:r>
        <w:rPr>
          <w:b/>
          <w:bCs/>
        </w:rPr>
        <w:t xml:space="preserve">alternativa de reducción de daños</w:t>
      </w:r>
      <w:r>
        <w:t xml:space="preserve"> </w:t>
      </w:r>
      <w:r>
        <w:t xml:space="preserve">frente al tabaco y al cannabis psicoactivo.</w:t>
      </w:r>
    </w:p>
    <w:bookmarkStart w:id="39" w:name="Xb35ae96c448ac852ec035ee55dd8612de2697a2"/>
    <w:p>
      <w:pPr>
        <w:pStyle w:val="Heading5"/>
      </w:pPr>
      <w:r>
        <w:t xml:space="preserve">B.1 El precedente europeo: validación política, regulatoria y sanitaria</w:t>
      </w:r>
    </w:p>
    <w:p>
      <w:pPr>
        <w:pStyle w:val="FirstParagraph"/>
      </w:pPr>
      <w:r>
        <w:rPr>
          <w:b/>
          <w:bCs/>
        </w:rPr>
        <w:t xml:space="preserve">Suiza</w:t>
      </w:r>
      <w:r>
        <w:t xml:space="preserve"> </w:t>
      </w:r>
      <w:r>
        <w:t xml:space="preserve">permite desde 2011 la venta libre de flores de cáñamo (&lt;1% THC) como</w:t>
      </w:r>
      <w:r>
        <w:t xml:space="preserve"> </w:t>
      </w:r>
      <w:r>
        <w:rPr>
          <w:b/>
          <w:bCs/>
        </w:rPr>
        <w:t xml:space="preserve">producto del tabaco herbal</w:t>
      </w:r>
      <w:r>
        <w:t xml:space="preserve">, comercializadas en estancos, supermercados y tiendas especializadas. En octubre de 2024, la nueva Ley de Productos del Tabaco (</w:t>
      </w:r>
      <w:r>
        <w:rPr>
          <w:i/>
          <w:iCs/>
        </w:rPr>
        <w:t xml:space="preserve">TobPA</w:t>
      </w:r>
      <w:r>
        <w:t xml:space="preserve">) formalizó este marco:</w:t>
      </w:r>
      <w:r>
        <w:t xml:space="preserve"> </w:t>
      </w:r>
      <w:r>
        <w:rPr>
          <w:i/>
          <w:iCs/>
        </w:rPr>
        <w:t xml:space="preserve">“el cannabis con un contenido total de THC inferior al 1,0% no se considera psicotrópico y puede venderse como producto herbal para fumar”</w:t>
      </w:r>
      <w:r>
        <w:t xml:space="preserve"> </w:t>
      </w:r>
      <w:r>
        <w:t xml:space="preserve">(Swissmedic, Guía CBD v8.0, mayo 2025).</w:t>
      </w:r>
    </w:p>
    <w:p>
      <w:pPr>
        <w:pStyle w:val="BodyText"/>
      </w:pPr>
      <w:r>
        <w:rPr>
          <w:b/>
          <w:bCs/>
        </w:rPr>
        <w:t xml:space="preserve">Relevancia para la UE</w:t>
      </w:r>
      <w:r>
        <w:t xml:space="preserve">: Suiza, aunque no es Estado miembro de la UE ni del EEE, mantiene</w:t>
      </w:r>
      <w:r>
        <w:t xml:space="preserve"> </w:t>
      </w:r>
      <w:r>
        <w:rPr>
          <w:b/>
          <w:bCs/>
        </w:rPr>
        <w:t xml:space="preserve">Acuerdos de Reconocimiento Mutuo (MRA)</w:t>
      </w:r>
      <w:r>
        <w:t xml:space="preserve"> </w:t>
      </w:r>
      <w:r>
        <w:t xml:space="preserve">con la Unión Europea en materia farmacéutica y de productos sanitarios.</w:t>
      </w:r>
      <w:r>
        <w:t xml:space="preserve"> </w:t>
      </w:r>
      <w:r>
        <w:rPr>
          <w:b/>
          <w:bCs/>
        </w:rPr>
        <w:t xml:space="preserve">Swissmedic</w:t>
      </w:r>
      <w:r>
        <w:t xml:space="preserve">, la Agencia Suiza de Productos Terapéuticos, opera bajo estándares equivalentes a la EMA y sus evaluaciones científicas tienen peso regulatorio en el espacio europeo. La clasificación suiza del cáñamo &lt;1% THC como producto</w:t>
      </w:r>
      <w:r>
        <w:t xml:space="preserve"> </w:t>
      </w:r>
      <w:r>
        <w:rPr>
          <w:b/>
          <w:bCs/>
        </w:rPr>
        <w:t xml:space="preserve">no sujeto a la Ley de Estupefacientes</w:t>
      </w:r>
      <w:r>
        <w:t xml:space="preserve"> </w:t>
      </w:r>
      <w:r>
        <w:t xml:space="preserve">constituye un precedente técnico que los Estados miembros pueden invocar bajo el principio de reconocimiento mutuo de evaluaciones científicas equivalentes.</w:t>
      </w:r>
    </w:p>
    <w:p>
      <w:pPr>
        <w:pStyle w:val="BodyText"/>
      </w:pPr>
      <w:r>
        <w:rPr>
          <w:b/>
          <w:bCs/>
        </w:rPr>
        <w:t xml:space="preserve">Luxemburgo</w:t>
      </w:r>
      <w:r>
        <w:t xml:space="preserve">, Estado miembro de la UE, ha adoptado el mismo enfoque bajo su</w:t>
      </w:r>
      <w:r>
        <w:t xml:space="preserve"> </w:t>
      </w:r>
      <w:r>
        <w:rPr>
          <w:i/>
          <w:iCs/>
        </w:rPr>
        <w:t xml:space="preserve">Tobacco Control Act</w:t>
      </w:r>
      <w:r>
        <w:t xml:space="preserve">, permitiendo la</w:t>
      </w:r>
      <w:r>
        <w:t xml:space="preserve"> </w:t>
      </w:r>
      <w:r>
        <w:rPr>
          <w:b/>
          <w:bCs/>
        </w:rPr>
        <w:t xml:space="preserve">importación y comercialización</w:t>
      </w:r>
      <w:r>
        <w:t xml:space="preserve"> </w:t>
      </w:r>
      <w:r>
        <w:t xml:space="preserve">de flores de cáñamo hasta 1% THC como sustitutos del tabaco. Este hecho es jurídicamente determinante:</w:t>
      </w:r>
      <w:r>
        <w:t xml:space="preserve"> </w:t>
      </w:r>
      <w:r>
        <w:rPr>
          <w:b/>
          <w:bCs/>
        </w:rPr>
        <w:t xml:space="preserve">un producto legalmente importado y comercializado en un Estado miembro de la UE está sujeto a libre circulación</w:t>
      </w:r>
      <w:r>
        <w:t xml:space="preserve"> </w:t>
      </w:r>
      <w:r>
        <w:t xml:space="preserve">bajo los artículos 34-36 TFUE.</w:t>
      </w:r>
    </w:p>
    <w:p>
      <w:pPr>
        <w:pStyle w:val="BodyText"/>
      </w:pPr>
      <w:r>
        <w:t xml:space="preserve">Más allá de estos marcos explícitos,</w:t>
      </w:r>
      <w:r>
        <w:t xml:space="preserve"> </w:t>
      </w:r>
      <w:r>
        <w:rPr>
          <w:b/>
          <w:bCs/>
        </w:rPr>
        <w:t xml:space="preserve">múltiples Estados miembros</w:t>
      </w:r>
      <w:r>
        <w:t xml:space="preserve"> </w:t>
      </w:r>
      <w:r>
        <w:t xml:space="preserve">—Austria, Bélgica, Polonia, Grecia, República Checa, Francia— cuentan con mercados activos de flores CBD para inhalación bajo diversas interpretaciones regulatorias.</w:t>
      </w:r>
    </w:p>
    <w:p>
      <w:pPr>
        <w:pStyle w:val="BodyText"/>
      </w:pPr>
      <w:r>
        <w:rPr>
          <w:b/>
          <w:bCs/>
        </w:rPr>
        <w:t xml:space="preserve">El dato determinante: ningún Estado miembro ha reportado jamás un incidente de salud pública asociado a estos productos en más de 13 años de comercialización.</w:t>
      </w:r>
    </w:p>
    <w:bookmarkEnd w:id="39"/>
    <w:bookmarkStart w:id="40" w:name="X6c8d0d27f8c362c83af38c2012857b5b4506e2a"/>
    <w:p>
      <w:pPr>
        <w:pStyle w:val="Heading5"/>
      </w:pPr>
      <w:r>
        <w:t xml:space="preserve">B.2 Una alternativa de salud pública: reducción de daños frente al tabaco y al cannabis psicoactivo</w:t>
      </w:r>
    </w:p>
    <w:p>
      <w:pPr>
        <w:pStyle w:val="FirstParagraph"/>
      </w:pPr>
      <w:r>
        <w:t xml:space="preserve">Los productos de cáñamo para inhalación (&lt;1% THC) no solo</w:t>
      </w:r>
      <w:r>
        <w:t xml:space="preserve"> </w:t>
      </w:r>
      <w:r>
        <w:rPr>
          <w:b/>
          <w:bCs/>
        </w:rPr>
        <w:t xml:space="preserve">no constituyen un riesgo</w:t>
      </w:r>
      <w:r>
        <w:t xml:space="preserve"> </w:t>
      </w:r>
      <w:r>
        <w:t xml:space="preserve">para la salud pública —son una</w:t>
      </w:r>
      <w:r>
        <w:t xml:space="preserve"> </w:t>
      </w:r>
      <w:r>
        <w:rPr>
          <w:b/>
          <w:bCs/>
        </w:rPr>
        <w:t xml:space="preserve">oportunidad de reducción de daños</w:t>
      </w:r>
      <w:r>
        <w:t xml:space="preserve">:</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1277"/>
        <w:gridCol w:w="1405"/>
        <w:gridCol w:w="1277"/>
        <w:gridCol w:w="2043"/>
        <w:gridCol w:w="1916"/>
      </w:tblGrid>
      <w:tr>
        <w:trPr>
          <w:tblHeader w:val="on"/>
        </w:trPr>
        <w:tc>
          <w:tcPr/>
          <w:p>
            <w:pPr>
              <w:pStyle w:val="Compact"/>
            </w:pPr>
            <w:r>
              <w:t xml:space="preserve">Producto</w:t>
            </w:r>
          </w:p>
        </w:tc>
        <w:tc>
          <w:tcPr/>
          <w:p>
            <w:pPr>
              <w:pStyle w:val="Compact"/>
            </w:pPr>
            <w:r>
              <w:t xml:space="preserve">Toxicidad</w:t>
            </w:r>
          </w:p>
        </w:tc>
        <w:tc>
          <w:tcPr/>
          <w:p>
            <w:pPr>
              <w:pStyle w:val="Compact"/>
            </w:pPr>
            <w:r>
              <w:t xml:space="preserve">Adicción</w:t>
            </w:r>
          </w:p>
        </w:tc>
        <w:tc>
          <w:tcPr/>
          <w:p>
            <w:pPr>
              <w:pStyle w:val="Compact"/>
            </w:pPr>
            <w:r>
              <w:t xml:space="preserve">Psicoactividad</w:t>
            </w:r>
          </w:p>
        </w:tc>
        <w:tc>
          <w:tcPr/>
          <w:p>
            <w:pPr>
              <w:pStyle w:val="Compact"/>
            </w:pPr>
            <w:r>
              <w:t xml:space="preserve">Regulación UE</w:t>
            </w:r>
          </w:p>
        </w:tc>
      </w:tr>
      <w:tr>
        <w:tc>
          <w:tcPr/>
          <w:p>
            <w:pPr>
              <w:pStyle w:val="Compact"/>
            </w:pPr>
            <w:r>
              <w:rPr>
                <w:b/>
                <w:bCs/>
              </w:rPr>
              <w:t xml:space="preserve">Tabaco</w:t>
            </w:r>
          </w:p>
        </w:tc>
        <w:tc>
          <w:tcPr/>
          <w:p>
            <w:pPr>
              <w:pStyle w:val="Compact"/>
            </w:pPr>
            <w:r>
              <w:t xml:space="preserve">Alta (carcinógeno demostrado)</w:t>
            </w:r>
          </w:p>
        </w:tc>
        <w:tc>
          <w:tcPr/>
          <w:p>
            <w:pPr>
              <w:pStyle w:val="Compact"/>
            </w:pPr>
            <w:r>
              <w:t xml:space="preserve">Alta (nicotina)</w:t>
            </w:r>
          </w:p>
        </w:tc>
        <w:tc>
          <w:tcPr/>
          <w:p>
            <w:pPr>
              <w:pStyle w:val="Compact"/>
            </w:pPr>
            <w:r>
              <w:t xml:space="preserve">Baja</w:t>
            </w:r>
          </w:p>
        </w:tc>
        <w:tc>
          <w:tcPr/>
          <w:p>
            <w:pPr>
              <w:pStyle w:val="Compact"/>
            </w:pPr>
            <w:r>
              <w:t xml:space="preserve">Legal, fiscalizado</w:t>
            </w:r>
          </w:p>
        </w:tc>
      </w:tr>
      <w:tr>
        <w:tc>
          <w:tcPr/>
          <w:p>
            <w:pPr>
              <w:pStyle w:val="Compact"/>
            </w:pPr>
            <w:r>
              <w:rPr>
                <w:b/>
                <w:bCs/>
              </w:rPr>
              <w:t xml:space="preserve">Cannabis psicoactivo (&gt;10% THC)</w:t>
            </w:r>
          </w:p>
        </w:tc>
        <w:tc>
          <w:tcPr/>
          <w:p>
            <w:pPr>
              <w:pStyle w:val="Compact"/>
            </w:pPr>
            <w:r>
              <w:t xml:space="preserve">Baja-moderada</w:t>
            </w:r>
          </w:p>
        </w:tc>
        <w:tc>
          <w:tcPr/>
          <w:p>
            <w:pPr>
              <w:pStyle w:val="Compact"/>
            </w:pPr>
            <w:r>
              <w:t xml:space="preserve">Moderada</w:t>
            </w:r>
          </w:p>
        </w:tc>
        <w:tc>
          <w:tcPr/>
          <w:p>
            <w:pPr>
              <w:pStyle w:val="Compact"/>
            </w:pPr>
            <w:r>
              <w:t xml:space="preserve">Alta</w:t>
            </w:r>
          </w:p>
        </w:tc>
        <w:tc>
          <w:tcPr/>
          <w:p>
            <w:pPr>
              <w:pStyle w:val="Compact"/>
            </w:pPr>
            <w:r>
              <w:t xml:space="preserve">Prohibido/controlado</w:t>
            </w:r>
          </w:p>
        </w:tc>
      </w:tr>
      <w:tr>
        <w:tc>
          <w:tcPr/>
          <w:p>
            <w:pPr>
              <w:pStyle w:val="Compact"/>
            </w:pPr>
            <w:r>
              <w:rPr>
                <w:b/>
                <w:bCs/>
              </w:rPr>
              <w:t xml:space="preserve">Cáñamo industrial (&lt;1% THC)</w:t>
            </w:r>
          </w:p>
        </w:tc>
        <w:tc>
          <w:tcPr/>
          <w:p>
            <w:pPr>
              <w:pStyle w:val="Compact"/>
            </w:pPr>
            <w:r>
              <w:t xml:space="preserve">Muy baja</w:t>
            </w:r>
          </w:p>
        </w:tc>
        <w:tc>
          <w:tcPr/>
          <w:p>
            <w:pPr>
              <w:pStyle w:val="Compact"/>
            </w:pPr>
            <w:r>
              <w:t xml:space="preserve">Nula</w:t>
            </w:r>
          </w:p>
        </w:tc>
        <w:tc>
          <w:tcPr/>
          <w:p>
            <w:pPr>
              <w:pStyle w:val="Compact"/>
            </w:pPr>
            <w:r>
              <w:t xml:space="preserve">Nula</w:t>
            </w:r>
          </w:p>
        </w:tc>
        <w:tc>
          <w:tcPr/>
          <w:p>
            <w:pPr>
              <w:pStyle w:val="Compact"/>
            </w:pPr>
            <w:r>
              <w:rPr>
                <w:i/>
                <w:iCs/>
              </w:rPr>
              <w:t xml:space="preserve">Sin marco armonizado</w:t>
            </w:r>
          </w:p>
        </w:tc>
      </w:tr>
    </w:tbl>
    <w:p>
      <w:pPr>
        <w:pStyle w:val="BodyText"/>
      </w:pPr>
      <w:r>
        <w:rPr>
          <w:b/>
          <w:bCs/>
        </w:rPr>
        <w:t xml:space="preserve">Frente al tabaco</w:t>
      </w:r>
      <w:r>
        <w:t xml:space="preserve">: El cáñamo para fumar es una alternativa</w:t>
      </w:r>
      <w:r>
        <w:t xml:space="preserve"> </w:t>
      </w:r>
      <w:r>
        <w:rPr>
          <w:b/>
          <w:bCs/>
        </w:rPr>
        <w:t xml:space="preserve">no tóxica</w:t>
      </w:r>
      <w:r>
        <w:t xml:space="preserve"> </w:t>
      </w:r>
      <w:r>
        <w:t xml:space="preserve">(sin los 70+ carcinógenos del tabaco) y</w:t>
      </w:r>
      <w:r>
        <w:t xml:space="preserve"> </w:t>
      </w:r>
      <w:r>
        <w:rPr>
          <w:b/>
          <w:bCs/>
        </w:rPr>
        <w:t xml:space="preserve">no adictiva</w:t>
      </w:r>
      <w:r>
        <w:t xml:space="preserve"> </w:t>
      </w:r>
      <w:r>
        <w:t xml:space="preserve">(sin nicotina). Suiza lo clasifica explícitamente como</w:t>
      </w:r>
      <w:r>
        <w:t xml:space="preserve"> </w:t>
      </w:r>
      <w:r>
        <w:t xml:space="preserve">“producto herbal sustituto del tabaco”</w:t>
      </w:r>
      <w:r>
        <w:t xml:space="preserve"> </w:t>
      </w:r>
      <w:r>
        <w:t xml:space="preserve">precisamente por este perfil de menor daño.</w:t>
      </w:r>
    </w:p>
    <w:p>
      <w:pPr>
        <w:pStyle w:val="BodyText"/>
      </w:pPr>
      <w:r>
        <w:rPr>
          <w:b/>
          <w:bCs/>
        </w:rPr>
        <w:t xml:space="preserve">Frente al cannabis psicoactivo</w:t>
      </w:r>
      <w:r>
        <w:t xml:space="preserve">: El cáñamo &lt;1% THC ofrece la experiencia sensorial del cannabis sin los efectos psicoactivos ni el riesgo de dependencia. En jurisdicciones donde el cannabis recreativo está prohibido,</w:t>
      </w:r>
      <w:r>
        <w:t xml:space="preserve"> </w:t>
      </w:r>
      <w:r>
        <w:rPr>
          <w:b/>
          <w:bCs/>
        </w:rPr>
        <w:t xml:space="preserve">canaliza la demanda hacia un producto legal y seguro</w:t>
      </w:r>
      <w:r>
        <w:t xml:space="preserve">, reduciendo el mercado negro.</w:t>
      </w:r>
    </w:p>
    <w:p>
      <w:pPr>
        <w:pStyle w:val="BodyText"/>
      </w:pPr>
      <w:r>
        <w:rPr>
          <w:b/>
          <w:bCs/>
        </w:rPr>
        <w:t xml:space="preserve">Conclusión de salud pública</w:t>
      </w:r>
      <w:r>
        <w:t xml:space="preserve">: Dar acceso regulado a estos productos no es neutral —es</w:t>
      </w:r>
      <w:r>
        <w:t xml:space="preserve"> </w:t>
      </w:r>
      <w:r>
        <w:rPr>
          <w:b/>
          <w:bCs/>
        </w:rPr>
        <w:t xml:space="preserve">positivo</w:t>
      </w:r>
      <w:r>
        <w:t xml:space="preserve"> </w:t>
      </w:r>
      <w:r>
        <w:t xml:space="preserve">para la salud pública. El verdadero riesgo no es permitirlos, sino</w:t>
      </w:r>
      <w:r>
        <w:t xml:space="preserve"> </w:t>
      </w:r>
      <w:r>
        <w:rPr>
          <w:b/>
          <w:bCs/>
        </w:rPr>
        <w:t xml:space="preserve">forzar a los consumidores hacia alternativas más dañinas</w:t>
      </w:r>
      <w:r>
        <w:t xml:space="preserve"> </w:t>
      </w:r>
      <w:r>
        <w:t xml:space="preserve">(tabaco) o ilegales (cannabis de alto THC).</w:t>
      </w:r>
    </w:p>
    <w:bookmarkEnd w:id="40"/>
    <w:bookmarkStart w:id="41" w:name="X670b94068a4519504a324625b184551aed30f95"/>
    <w:p>
      <w:pPr>
        <w:pStyle w:val="Heading5"/>
      </w:pPr>
      <w:r>
        <w:t xml:space="preserve">B.3 La doctrina Kanavape: la carga de la prueba está invertida</w:t>
      </w:r>
    </w:p>
    <w:p>
      <w:pPr>
        <w:pStyle w:val="FirstParagraph"/>
      </w:pPr>
      <w:r>
        <w:t xml:space="preserve">La sentencia del TJUE en el asunto</w:t>
      </w:r>
      <w:r>
        <w:t xml:space="preserve"> </w:t>
      </w:r>
      <w:r>
        <w:rPr>
          <w:b/>
          <w:bCs/>
        </w:rPr>
        <w:t xml:space="preserve">C-663/18 (Kanavape)</w:t>
      </w:r>
      <w:r>
        <w:t xml:space="preserve"> </w:t>
      </w:r>
      <w:r>
        <w:t xml:space="preserve">de 19 de noviembre de 2020 establece un principio jurídico que cierra definitivamente este debate:</w:t>
      </w:r>
    </w:p>
    <w:p>
      <w:pPr>
        <w:pStyle w:val="BlockText"/>
      </w:pPr>
      <w:r>
        <w:rPr>
          <w:i/>
          <w:iCs/>
        </w:rPr>
        <w:t xml:space="preserve">“Los artículos 34 TFUE y 36 TFUE deben interpretarse en el sentido de que</w:t>
      </w:r>
      <w:r>
        <w:rPr>
          <w:i/>
          <w:iCs/>
        </w:rPr>
        <w:t xml:space="preserve"> </w:t>
      </w:r>
      <w:r>
        <w:rPr>
          <w:b/>
          <w:bCs/>
          <w:i/>
          <w:iCs/>
        </w:rPr>
        <w:t xml:space="preserve">se oponen</w:t>
      </w:r>
      <w:r>
        <w:rPr>
          <w:i/>
          <w:iCs/>
        </w:rPr>
        <w:t xml:space="preserve"> </w:t>
      </w:r>
      <w:r>
        <w:rPr>
          <w:i/>
          <w:iCs/>
        </w:rPr>
        <w:t xml:space="preserve">a una normativa nacional que prohíbe la comercialización del [producto de cannabis] legalmente producido en otro Estado miembro,</w:t>
      </w:r>
      <w:r>
        <w:rPr>
          <w:i/>
          <w:iCs/>
        </w:rPr>
        <w:t xml:space="preserve"> </w:t>
      </w:r>
      <w:r>
        <w:rPr>
          <w:b/>
          <w:bCs/>
          <w:i/>
          <w:iCs/>
        </w:rPr>
        <w:t xml:space="preserve">a menos que</w:t>
      </w:r>
      <w:r>
        <w:rPr>
          <w:i/>
          <w:iCs/>
        </w:rPr>
        <w:t xml:space="preserve"> </w:t>
      </w:r>
      <w:r>
        <w:rPr>
          <w:i/>
          <w:iCs/>
        </w:rPr>
        <w:t xml:space="preserve">dicha normativa sea adecuada para garantizar la realización del objetivo de protección de la salud pública</w:t>
      </w:r>
      <w:r>
        <w:rPr>
          <w:i/>
          <w:iCs/>
        </w:rPr>
        <w:t xml:space="preserve"> </w:t>
      </w:r>
      <w:r>
        <w:rPr>
          <w:b/>
          <w:bCs/>
          <w:i/>
          <w:iCs/>
        </w:rPr>
        <w:t xml:space="preserve">y no exceda de lo necesario para alcanzarlo</w:t>
      </w:r>
      <w:r>
        <w:rPr>
          <w:i/>
          <w:iCs/>
        </w:rPr>
        <w:t xml:space="preserve">.”</w:t>
      </w:r>
    </w:p>
    <w:p>
      <w:pPr>
        <w:pStyle w:val="FirstParagraph"/>
      </w:pPr>
      <w:r>
        <w:t xml:space="preserve">El TJUE fue explícito en los apartados 88-92:</w:t>
      </w:r>
    </w:p>
    <w:p>
      <w:pPr>
        <w:pStyle w:val="Compact"/>
        <w:numPr>
          <w:ilvl w:val="0"/>
          <w:numId w:val="1011"/>
        </w:numPr>
      </w:pPr>
      <w:r>
        <w:t xml:space="preserve">Una prohibición</w:t>
      </w:r>
      <w:r>
        <w:t xml:space="preserve"> </w:t>
      </w:r>
      <w:r>
        <w:rPr>
          <w:i/>
          <w:iCs/>
        </w:rPr>
        <w:t xml:space="preserve">“solo puede adoptarse si</w:t>
      </w:r>
      <w:r>
        <w:rPr>
          <w:i/>
          <w:iCs/>
        </w:rPr>
        <w:t xml:space="preserve"> </w:t>
      </w:r>
      <w:r>
        <w:rPr>
          <w:b/>
          <w:bCs/>
          <w:i/>
          <w:iCs/>
        </w:rPr>
        <w:t xml:space="preserve">el riesgo real</w:t>
      </w:r>
      <w:r>
        <w:rPr>
          <w:i/>
          <w:iCs/>
        </w:rPr>
        <w:t xml:space="preserve"> </w:t>
      </w:r>
      <w:r>
        <w:rPr>
          <w:i/>
          <w:iCs/>
        </w:rPr>
        <w:t xml:space="preserve">para la salud pública resulta</w:t>
      </w:r>
      <w:r>
        <w:rPr>
          <w:i/>
          <w:iCs/>
        </w:rPr>
        <w:t xml:space="preserve"> </w:t>
      </w:r>
      <w:r>
        <w:rPr>
          <w:b/>
          <w:bCs/>
          <w:i/>
          <w:iCs/>
        </w:rPr>
        <w:t xml:space="preserve">suficientemente acreditado</w:t>
      </w:r>
      <w:r>
        <w:rPr>
          <w:i/>
          <w:iCs/>
        </w:rPr>
        <w:t xml:space="preserve"> </w:t>
      </w:r>
      <w:r>
        <w:rPr>
          <w:i/>
          <w:iCs/>
        </w:rPr>
        <w:t xml:space="preserve">sobre la base de los datos científicos más recientes”</w:t>
      </w:r>
    </w:p>
    <w:p>
      <w:pPr>
        <w:pStyle w:val="Compact"/>
        <w:numPr>
          <w:ilvl w:val="0"/>
          <w:numId w:val="1011"/>
        </w:numPr>
      </w:pPr>
      <w:r>
        <w:rPr>
          <w:i/>
          <w:iCs/>
        </w:rPr>
        <w:t xml:space="preserve">“El análisis del riesgo</w:t>
      </w:r>
      <w:r>
        <w:rPr>
          <w:i/>
          <w:iCs/>
        </w:rPr>
        <w:t xml:space="preserve"> </w:t>
      </w:r>
      <w:r>
        <w:rPr>
          <w:b/>
          <w:bCs/>
          <w:i/>
          <w:iCs/>
        </w:rPr>
        <w:t xml:space="preserve">no puede basarse en consideraciones puramente hipotéticas</w:t>
      </w:r>
      <w:r>
        <w:rPr>
          <w:i/>
          <w:iCs/>
        </w:rPr>
        <w:t xml:space="preserve">”</w:t>
      </w:r>
    </w:p>
    <w:p>
      <w:pPr>
        <w:pStyle w:val="Compact"/>
        <w:numPr>
          <w:ilvl w:val="0"/>
          <w:numId w:val="1011"/>
        </w:numPr>
      </w:pPr>
      <w:r>
        <w:t xml:space="preserve">Corresponde al Estado que prohíbe</w:t>
      </w:r>
      <w:r>
        <w:t xml:space="preserve"> </w:t>
      </w:r>
      <w:r>
        <w:rPr>
          <w:b/>
          <w:bCs/>
        </w:rPr>
        <w:t xml:space="preserve">demostrar</w:t>
      </w:r>
      <w:r>
        <w:t xml:space="preserve"> </w:t>
      </w:r>
      <w:r>
        <w:t xml:space="preserve">el daño, no al comerciante demostrar la inocuidad</w:t>
      </w:r>
    </w:p>
    <w:p>
      <w:pPr>
        <w:pStyle w:val="FirstParagraph"/>
      </w:pPr>
      <w:r>
        <w:rPr>
          <w:b/>
          <w:bCs/>
        </w:rPr>
        <w:t xml:space="preserve">Aplicación directa al cáñamo 1% THC fumado</w:t>
      </w:r>
      <w:r>
        <w:t xml:space="preserve">: Si productos de cáñamo &lt;1% THC se comercializan legalmente en Luxemburgo (Estado miembro UE), si Suiza los vende sin restricción desde 2011 bajo supervisión de Swissmedic, y si en más de 13 años</w:t>
      </w:r>
      <w:r>
        <w:t xml:space="preserve"> </w:t>
      </w:r>
      <w:r>
        <w:rPr>
          <w:b/>
          <w:bCs/>
        </w:rPr>
        <w:t xml:space="preserve">no existe un solo reporte de daño a la salud pública</w:t>
      </w:r>
      <w:r>
        <w:t xml:space="preserve"> </w:t>
      </w:r>
      <w:r>
        <w:t xml:space="preserve">—¿dónde está el</w:t>
      </w:r>
      <w:r>
        <w:t xml:space="preserve"> </w:t>
      </w:r>
      <w:r>
        <w:t xml:space="preserve">“riesgo real”</w:t>
      </w:r>
      <w:r>
        <w:t xml:space="preserve"> </w:t>
      </w:r>
      <w:r>
        <w:t xml:space="preserve">que justificaría prohibir o restringir?</w:t>
      </w:r>
    </w:p>
    <w:p>
      <w:pPr>
        <w:pStyle w:val="BodyText"/>
      </w:pPr>
      <w:r>
        <w:rPr>
          <w:b/>
          <w:bCs/>
        </w:rPr>
        <w:t xml:space="preserve">No existe.</w:t>
      </w:r>
      <w:r>
        <w:t xml:space="preserve"> </w:t>
      </w:r>
      <w:r>
        <w:t xml:space="preserve">La carga de la prueba está invertida y no hay evidencia que la satisfaga.</w:t>
      </w:r>
    </w:p>
    <w:bookmarkEnd w:id="41"/>
    <w:bookmarkStart w:id="42" w:name="X9f91711a0b81f352792107e12a637bf5a44714d"/>
    <w:p>
      <w:pPr>
        <w:pStyle w:val="Heading5"/>
      </w:pPr>
      <w:r>
        <w:t xml:space="preserve">B.4 El verdadero riesgo: la ausencia de regulación</w:t>
      </w:r>
    </w:p>
    <w:p>
      <w:pPr>
        <w:pStyle w:val="FirstParagraph"/>
      </w:pPr>
      <w:r>
        <w:t xml:space="preserve">El riesgo para la salud pública no proviene del cáñamo industrial fumado —la evidencia empírica de 13 años lo descarta— sino de la</w:t>
      </w:r>
      <w:r>
        <w:t xml:space="preserve"> </w:t>
      </w:r>
      <w:r>
        <w:rPr>
          <w:b/>
          <w:bCs/>
        </w:rPr>
        <w:t xml:space="preserve">fragmentación regulatoria actual</w:t>
      </w:r>
      <w:r>
        <w:t xml:space="preserve">:</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4106"/>
        <w:gridCol w:w="3813"/>
      </w:tblGrid>
      <w:tr>
        <w:trPr>
          <w:tblHeader w:val="on"/>
        </w:trPr>
        <w:tc>
          <w:tcPr/>
          <w:p>
            <w:pPr>
              <w:pStyle w:val="Compact"/>
            </w:pPr>
            <w:r>
              <w:t xml:space="preserve">Consecuencia de no regular</w:t>
            </w:r>
          </w:p>
        </w:tc>
        <w:tc>
          <w:tcPr/>
          <w:p>
            <w:pPr>
              <w:pStyle w:val="Compact"/>
            </w:pPr>
            <w:r>
              <w:t xml:space="preserve">Impacto en salud pública</w:t>
            </w:r>
          </w:p>
        </w:tc>
      </w:tr>
      <w:tr>
        <w:tc>
          <w:tcPr/>
          <w:p>
            <w:pPr>
              <w:pStyle w:val="Compact"/>
            </w:pPr>
            <w:r>
              <w:rPr>
                <w:b/>
                <w:bCs/>
              </w:rPr>
              <w:t xml:space="preserve">Operadores no trazados</w:t>
            </w:r>
          </w:p>
        </w:tc>
        <w:tc>
          <w:tcPr/>
          <w:p>
            <w:pPr>
              <w:pStyle w:val="Compact"/>
            </w:pPr>
            <w:r>
              <w:t xml:space="preserve">Comerciantes en zonas grises sin registro ni supervisión sanitaria</w:t>
            </w:r>
          </w:p>
        </w:tc>
      </w:tr>
      <w:tr>
        <w:tc>
          <w:tcPr/>
          <w:p>
            <w:pPr>
              <w:pStyle w:val="Compact"/>
            </w:pPr>
            <w:r>
              <w:rPr>
                <w:b/>
                <w:bCs/>
              </w:rPr>
              <w:t xml:space="preserve">Productos sin control de calidad</w:t>
            </w:r>
          </w:p>
        </w:tc>
        <w:tc>
          <w:tcPr/>
          <w:p>
            <w:pPr>
              <w:pStyle w:val="Compact"/>
            </w:pPr>
            <w:r>
              <w:t xml:space="preserve">Ausencia de estándares para pesticidas, metales pesados, microbiología, solventes residuales</w:t>
            </w:r>
          </w:p>
        </w:tc>
      </w:tr>
      <w:tr>
        <w:tc>
          <w:tcPr/>
          <w:p>
            <w:pPr>
              <w:pStyle w:val="Compact"/>
            </w:pPr>
            <w:r>
              <w:rPr>
                <w:b/>
                <w:bCs/>
              </w:rPr>
              <w:t xml:space="preserve">Consumidores sin información</w:t>
            </w:r>
          </w:p>
        </w:tc>
        <w:tc>
          <w:tcPr/>
          <w:p>
            <w:pPr>
              <w:pStyle w:val="Compact"/>
            </w:pPr>
            <w:r>
              <w:t xml:space="preserve">Etiquetado inconsistente, ausencia de advertencias sanitarias armonizadas</w:t>
            </w:r>
          </w:p>
        </w:tc>
      </w:tr>
      <w:tr>
        <w:tc>
          <w:tcPr/>
          <w:p>
            <w:pPr>
              <w:pStyle w:val="Compact"/>
            </w:pPr>
            <w:r>
              <w:rPr>
                <w:b/>
                <w:bCs/>
              </w:rPr>
              <w:t xml:space="preserve">Desplazamiento hacia alternativas peores</w:t>
            </w:r>
          </w:p>
        </w:tc>
        <w:tc>
          <w:tcPr/>
          <w:p>
            <w:pPr>
              <w:pStyle w:val="Compact"/>
            </w:pPr>
            <w:r>
              <w:t xml:space="preserve">Consumidores que buscan cáñamo legal pueden acabar en tabaco (más dañino) o mercado negro (más peligroso)</w:t>
            </w:r>
          </w:p>
        </w:tc>
      </w:tr>
      <w:tr>
        <w:tc>
          <w:tcPr/>
          <w:p>
            <w:pPr>
              <w:pStyle w:val="Compact"/>
            </w:pPr>
            <w:r>
              <w:rPr>
                <w:b/>
                <w:bCs/>
              </w:rPr>
              <w:t xml:space="preserve">Inseguridad jurídica</w:t>
            </w:r>
          </w:p>
        </w:tc>
        <w:tc>
          <w:tcPr/>
          <w:p>
            <w:pPr>
              <w:pStyle w:val="Compact"/>
            </w:pPr>
            <w:r>
              <w:t xml:space="preserve">Agricultores y empresas expuestos a interpretaciones arbitrarias</w:t>
            </w:r>
          </w:p>
        </w:tc>
      </w:tr>
    </w:tbl>
    <w:p>
      <w:pPr>
        <w:pStyle w:val="BodyText"/>
      </w:pPr>
      <w:r>
        <w:rPr>
          <w:b/>
          <w:bCs/>
        </w:rPr>
        <w:t xml:space="preserve">La urgencia no es prohibir lo que ya se ha demostrado seguro, sino regular lo que ya es una realidad comercial.</w:t>
      </w:r>
      <w:r>
        <w:t xml:space="preserve"> </w:t>
      </w:r>
      <w:r>
        <w:t xml:space="preserve">Un umbral armonizado al 1% THC convertiría un mercado</w:t>
      </w:r>
      <w:r>
        <w:t xml:space="preserve"> </w:t>
      </w:r>
      <w:r>
        <w:rPr>
          <w:i/>
          <w:iCs/>
        </w:rPr>
        <w:t xml:space="preserve">de facto</w:t>
      </w:r>
      <w:r>
        <w:t xml:space="preserve"> </w:t>
      </w:r>
      <w:r>
        <w:t xml:space="preserve">disperso en un sector</w:t>
      </w:r>
      <w:r>
        <w:t xml:space="preserve"> </w:t>
      </w:r>
      <w:r>
        <w:rPr>
          <w:i/>
          <w:iCs/>
        </w:rPr>
        <w:t xml:space="preserve">de iure</w:t>
      </w:r>
      <w:r>
        <w:t xml:space="preserve"> </w:t>
      </w:r>
      <w:r>
        <w:t xml:space="preserve">trazado, controlado y seguro —maximizando los beneficios de reducción de daños y minimizando los riesgos residuales.</w:t>
      </w:r>
    </w:p>
    <w:bookmarkEnd w:id="42"/>
    <w:bookmarkStart w:id="43" w:name="X7a27604cbfb04dd2f584fee02921ea10990c488"/>
    <w:p>
      <w:pPr>
        <w:pStyle w:val="Heading5"/>
      </w:pPr>
      <w:r>
        <w:t xml:space="preserve">B.5 Confirmación farmacocinética (respaldo cuantitativo)</w:t>
      </w:r>
    </w:p>
    <w:p>
      <w:pPr>
        <w:pStyle w:val="FirstParagraph"/>
      </w:pPr>
      <w:r>
        <w:t xml:space="preserve">Aunque el precedente comercial y jurídico es suficiente para cerrar el debate, la evidencia farmacocinética lo confirma. Fumar cáñamo al 1% THC produce dosis sistémicas muy por debajo de cualquier umbral de efecto:</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1049"/>
        <w:gridCol w:w="3816"/>
        <w:gridCol w:w="3053"/>
      </w:tblGrid>
      <w:tr>
        <w:trPr>
          <w:tblHeader w:val="on"/>
        </w:trPr>
        <w:tc>
          <w:tcPr/>
          <w:p>
            <w:pPr>
              <w:pStyle w:val="Compact"/>
            </w:pPr>
            <w:r>
              <w:t xml:space="preserve">Escenario</w:t>
            </w:r>
          </w:p>
        </w:tc>
        <w:tc>
          <w:tcPr/>
          <w:p>
            <w:pPr>
              <w:pStyle w:val="Compact"/>
            </w:pPr>
            <w:r>
              <w:t xml:space="preserve">THC sistémico (5-10% biodisponibilidad)</w:t>
            </w:r>
          </w:p>
        </w:tc>
        <w:tc>
          <w:tcPr/>
          <w:p>
            <w:pPr>
              <w:pStyle w:val="Compact"/>
            </w:pPr>
            <w:r>
              <w:t xml:space="preserve">vs</w:t>
            </w:r>
            <w:r>
              <w:t xml:space="preserve"> </w:t>
            </w:r>
            <w:r>
              <w:t xml:space="preserve">“desired high”</w:t>
            </w:r>
            <w:r>
              <w:t xml:space="preserve"> </w:t>
            </w:r>
            <w:r>
              <w:t xml:space="preserve">(3,1 mg i.v.)</w:t>
            </w:r>
          </w:p>
        </w:tc>
      </w:tr>
      <w:tr>
        <w:tc>
          <w:tcPr/>
          <w:p>
            <w:pPr>
              <w:pStyle w:val="Compact"/>
            </w:pPr>
            <w:r>
              <w:t xml:space="preserve">Cigarrillo típico (0,5 g @ 1% THC)</w:t>
            </w:r>
          </w:p>
        </w:tc>
        <w:tc>
          <w:tcPr/>
          <w:p>
            <w:pPr>
              <w:pStyle w:val="Compact"/>
            </w:pPr>
            <w:r>
              <w:t xml:space="preserve">0,25-0,50 mg</w:t>
            </w:r>
          </w:p>
        </w:tc>
        <w:tc>
          <w:tcPr/>
          <w:p>
            <w:pPr>
              <w:pStyle w:val="Compact"/>
            </w:pPr>
            <w:r>
              <w:rPr>
                <w:b/>
                <w:bCs/>
              </w:rPr>
              <w:t xml:space="preserve">×6-12 menos</w:t>
            </w:r>
          </w:p>
        </w:tc>
      </w:tr>
      <w:tr>
        <w:tc>
          <w:tcPr/>
          <w:p>
            <w:pPr>
              <w:pStyle w:val="Compact"/>
            </w:pPr>
            <w:r>
              <w:t xml:space="preserve">Peor caso (1 g @ 1% THC)</w:t>
            </w:r>
          </w:p>
        </w:tc>
        <w:tc>
          <w:tcPr/>
          <w:p>
            <w:pPr>
              <w:pStyle w:val="Compact"/>
            </w:pPr>
            <w:r>
              <w:t xml:space="preserve">0,50-1,00 mg</w:t>
            </w:r>
          </w:p>
        </w:tc>
        <w:tc>
          <w:tcPr/>
          <w:p>
            <w:pPr>
              <w:pStyle w:val="Compact"/>
            </w:pPr>
            <w:r>
              <w:rPr>
                <w:b/>
                <w:bCs/>
              </w:rPr>
              <w:t xml:space="preserve">×3-6 menos</w:t>
            </w:r>
          </w:p>
        </w:tc>
      </w:tr>
    </w:tbl>
    <w:p>
      <w:pPr>
        <w:pStyle w:val="BodyText"/>
      </w:pPr>
      <w:r>
        <w:t xml:space="preserve">Incluso en el escenario más desfavorable, fumar un gramo completo de cáñamo al 1% produce una dosis sistémica</w:t>
      </w:r>
      <w:r>
        <w:t xml:space="preserve"> </w:t>
      </w:r>
      <w:r>
        <w:rPr>
          <w:b/>
          <w:bCs/>
        </w:rPr>
        <w:t xml:space="preserve">3-6 veces inferior</w:t>
      </w:r>
      <w:r>
        <w:t xml:space="preserve"> </w:t>
      </w:r>
      <w:r>
        <w:t xml:space="preserve">al umbral documentado para efectos psicoactivos perceptibles (Perez-Reyes, 1972; EFSA, 2015).</w:t>
      </w:r>
    </w:p>
    <w:p>
      <w:pPr>
        <w:pStyle w:val="BodyText"/>
      </w:pPr>
      <w:r>
        <w:t xml:space="preserve">El efecto antagonista del CBD presente en el cáñamo (ratios CBD:THC típicas de 2:1 a 17:1) reduce aún más cualquier impacto, modulando negativamente la activación de receptores CB1.</w:t>
      </w:r>
    </w:p>
    <w:bookmarkEnd w:id="43"/>
    <w:bookmarkStart w:id="44" w:name="Xa4adfeda080419d748bae1997fa4fb0a850bfb2"/>
    <w:p>
      <w:pPr>
        <w:pStyle w:val="Heading5"/>
      </w:pPr>
      <w:r>
        <w:t xml:space="preserve">B.6 Conclusión: el 1% THC es seguro Y beneficioso para cualquier uso</w:t>
      </w:r>
    </w:p>
    <w:p>
      <w:pPr>
        <w:pStyle w:val="FirstParagraph"/>
      </w:pPr>
      <w:r>
        <w:t xml:space="preserve">El escenario de combustión directa:</w:t>
      </w:r>
    </w:p>
    <w:p>
      <w:pPr>
        <w:pStyle w:val="Compact"/>
        <w:numPr>
          <w:ilvl w:val="0"/>
          <w:numId w:val="1012"/>
        </w:numPr>
      </w:pPr>
      <w:r>
        <w:rPr>
          <w:b/>
          <w:bCs/>
        </w:rPr>
        <w:t xml:space="preserve">Ya ocurre legalmente</w:t>
      </w:r>
      <w:r>
        <w:t xml:space="preserve"> </w:t>
      </w:r>
      <w:r>
        <w:t xml:space="preserve">en múltiples jurisdicciones europeas (Suiza desde 2011, Luxemburgo, mercados activos en &gt;6 Estados miembros)</w:t>
      </w:r>
    </w:p>
    <w:p>
      <w:pPr>
        <w:pStyle w:val="Compact"/>
        <w:numPr>
          <w:ilvl w:val="0"/>
          <w:numId w:val="1012"/>
        </w:numPr>
      </w:pPr>
      <w:r>
        <w:rPr>
          <w:b/>
          <w:bCs/>
        </w:rPr>
        <w:t xml:space="preserve">No ha generado</w:t>
      </w:r>
      <w:r>
        <w:t xml:space="preserve"> </w:t>
      </w:r>
      <w:r>
        <w:t xml:space="preserve">ningún incidente de salud pública en más de 13 años de comercialización</w:t>
      </w:r>
    </w:p>
    <w:p>
      <w:pPr>
        <w:pStyle w:val="Compact"/>
        <w:numPr>
          <w:ilvl w:val="0"/>
          <w:numId w:val="1012"/>
        </w:numPr>
      </w:pPr>
      <w:r>
        <w:rPr>
          <w:b/>
          <w:bCs/>
        </w:rPr>
        <w:t xml:space="preserve">Ha sido validado</w:t>
      </w:r>
      <w:r>
        <w:t xml:space="preserve"> </w:t>
      </w:r>
      <w:r>
        <w:t xml:space="preserve">por Swissmedic (autoridad con MRA con la UE) como producto no sujeto a control de estupefacientes</w:t>
      </w:r>
    </w:p>
    <w:p>
      <w:pPr>
        <w:pStyle w:val="Compact"/>
        <w:numPr>
          <w:ilvl w:val="0"/>
          <w:numId w:val="1012"/>
        </w:numPr>
      </w:pPr>
      <w:r>
        <w:rPr>
          <w:b/>
          <w:bCs/>
        </w:rPr>
        <w:t xml:space="preserve">No puede prohibirse</w:t>
      </w:r>
      <w:r>
        <w:t xml:space="preserve"> </w:t>
      </w:r>
      <w:r>
        <w:t xml:space="preserve">bajo doctrina Kanavape sin demostrar riesgo real (no hipotético)</w:t>
      </w:r>
    </w:p>
    <w:p>
      <w:pPr>
        <w:pStyle w:val="Compact"/>
        <w:numPr>
          <w:ilvl w:val="0"/>
          <w:numId w:val="1012"/>
        </w:numPr>
      </w:pPr>
      <w:r>
        <w:rPr>
          <w:b/>
          <w:bCs/>
        </w:rPr>
        <w:t xml:space="preserve">Representa una alternativa de reducción de daños</w:t>
      </w:r>
      <w:r>
        <w:t xml:space="preserve"> </w:t>
      </w:r>
      <w:r>
        <w:t xml:space="preserve">frente al tabaco (no tóxico, no adictivo) y al cannabis psicoactivo (no psicotrópico)</w:t>
      </w:r>
    </w:p>
    <w:p>
      <w:pPr>
        <w:pStyle w:val="Compact"/>
        <w:numPr>
          <w:ilvl w:val="0"/>
          <w:numId w:val="1012"/>
        </w:numPr>
      </w:pPr>
      <w:r>
        <w:rPr>
          <w:b/>
          <w:bCs/>
        </w:rPr>
        <w:t xml:space="preserve">Confirma farmacocinéticamente</w:t>
      </w:r>
      <w:r>
        <w:t xml:space="preserve"> </w:t>
      </w:r>
      <w:r>
        <w:t xml:space="preserve">márgenes de seguridad de ×3-6 mínimo</w:t>
      </w:r>
    </w:p>
    <w:p>
      <w:pPr>
        <w:pStyle w:val="FirstParagraph"/>
      </w:pPr>
      <w:r>
        <w:rPr>
          <w:b/>
          <w:bCs/>
        </w:rPr>
        <w:t xml:space="preserve">El verdadero imperativo de salud pública no es restringir estos productos, sino armonizar su regulación al 1% THC</w:t>
      </w:r>
      <w:r>
        <w:t xml:space="preserve">, convirtiendo un mercado fragmentado en un sector trazado, controlado y capaz de contribuir activamente a la reducción de daños del consumo de tabaco y cannabis ilícito en Europa.</w:t>
      </w:r>
    </w:p>
    <w:p>
      <w:r>
        <w:pict>
          <v:rect style="width:0;height:1.5pt" o:hralign="center" o:hrstd="t" o:hr="t"/>
        </w:pict>
      </w:r>
    </w:p>
    <w:bookmarkEnd w:id="44"/>
    <w:bookmarkEnd w:id="45"/>
    <w:bookmarkEnd w:id="46"/>
    <w:bookmarkEnd w:id="47"/>
    <w:bookmarkEnd w:id="48"/>
    <w:bookmarkStart w:id="55" w:name="conclusión-y-propuesta-de-enmienda"/>
    <w:p>
      <w:pPr>
        <w:pStyle w:val="Heading1"/>
      </w:pPr>
      <w:r>
        <w:t xml:space="preserve">3. CONCLUSIÓN Y PROPUESTA DE ENMIENDA</w:t>
      </w:r>
    </w:p>
    <w:bookmarkStart w:id="49" w:name="propuesta"/>
    <w:p>
      <w:pPr>
        <w:pStyle w:val="Heading2"/>
      </w:pPr>
      <w:r>
        <w:t xml:space="preserve">3.1 Propuesta</w:t>
      </w:r>
    </w:p>
    <w:p>
      <w:pPr>
        <w:pStyle w:val="FirstParagraph"/>
      </w:pPr>
      <w:r>
        <w:t xml:space="preserve">Cannabis Hub propone</w:t>
      </w:r>
      <w:r>
        <w:t xml:space="preserve"> </w:t>
      </w:r>
      <w:r>
        <w:rPr>
          <w:b/>
          <w:bCs/>
        </w:rPr>
        <w:t xml:space="preserve">sustituir el umbral del 0,3% por el 1,0% THC</w:t>
      </w:r>
      <w:r>
        <w:t xml:space="preserve"> </w:t>
      </w:r>
      <w:r>
        <w:t xml:space="preserve">en todas las disposiciones de la PAC y la OCM donde este criterio opera como definición de</w:t>
      </w:r>
      <w:r>
        <w:t xml:space="preserve"> </w:t>
      </w:r>
      <w:r>
        <w:rPr>
          <w:b/>
          <w:bCs/>
        </w:rPr>
        <w:t xml:space="preserve">cáñamo industrial</w:t>
      </w:r>
      <w:r>
        <w:t xml:space="preserve">, manteniendo la arquitectura de control existente y añadiendo una</w:t>
      </w:r>
      <w:r>
        <w:t xml:space="preserve"> </w:t>
      </w:r>
      <w:r>
        <w:rPr>
          <w:b/>
          <w:bCs/>
        </w:rPr>
        <w:t xml:space="preserve">cláusula técnica mínima</w:t>
      </w:r>
      <w:r>
        <w:t xml:space="preserve"> </w:t>
      </w:r>
      <w:r>
        <w:t xml:space="preserve">que cierre la ambigüedad interpretativa.</w:t>
      </w:r>
    </w:p>
    <w:p>
      <w:pPr>
        <w:pStyle w:val="BodyText"/>
      </w:pPr>
      <w:r>
        <w:t xml:space="preserve">Esta reforma:</w:t>
      </w:r>
      <w:r>
        <w:t xml:space="preserve"> </w:t>
      </w:r>
      <w:r>
        <w:t xml:space="preserve">-</w:t>
      </w:r>
      <w:r>
        <w:t xml:space="preserve"> </w:t>
      </w:r>
      <w:r>
        <w:rPr>
          <w:b/>
          <w:bCs/>
        </w:rPr>
        <w:t xml:space="preserve">Resuelve</w:t>
      </w:r>
      <w:r>
        <w:t xml:space="preserve"> </w:t>
      </w:r>
      <w:r>
        <w:t xml:space="preserve">la fragmentación del mercado interior y la inseguridad jurídica documentada.</w:t>
      </w:r>
      <w:r>
        <w:t xml:space="preserve"> </w:t>
      </w:r>
      <w:r>
        <w:t xml:space="preserve">-</w:t>
      </w:r>
      <w:r>
        <w:t xml:space="preserve"> </w:t>
      </w:r>
      <w:r>
        <w:rPr>
          <w:b/>
          <w:bCs/>
        </w:rPr>
        <w:t xml:space="preserve">Protege</w:t>
      </w:r>
      <w:r>
        <w:t xml:space="preserve"> </w:t>
      </w:r>
      <w:r>
        <w:t xml:space="preserve">al agricultor frente a pérdidas por variabilidad agronómica y climática (</w:t>
      </w:r>
      <w:r>
        <w:t xml:space="preserve">“hot crops”</w:t>
      </w:r>
      <w:r>
        <w:t xml:space="preserve">).</w:t>
      </w:r>
      <w:r>
        <w:t xml:space="preserve"> </w:t>
      </w:r>
      <w:r>
        <w:t xml:space="preserve">-</w:t>
      </w:r>
      <w:r>
        <w:t xml:space="preserve"> </w:t>
      </w:r>
      <w:r>
        <w:rPr>
          <w:b/>
          <w:bCs/>
        </w:rPr>
        <w:t xml:space="preserve">Alinea</w:t>
      </w:r>
      <w:r>
        <w:t xml:space="preserve"> </w:t>
      </w:r>
      <w:r>
        <w:t xml:space="preserve">la UE con el bloque internacional de 1% (18 jurisdicciones verificadas) y refuerza su competitividad.</w:t>
      </w:r>
      <w:r>
        <w:t xml:space="preserve"> </w:t>
      </w:r>
      <w:r>
        <w:t xml:space="preserve">-</w:t>
      </w:r>
      <w:r>
        <w:t xml:space="preserve"> </w:t>
      </w:r>
      <w:r>
        <w:rPr>
          <w:b/>
          <w:bCs/>
        </w:rPr>
        <w:t xml:space="preserve">Mantiene</w:t>
      </w:r>
      <w:r>
        <w:t xml:space="preserve"> </w:t>
      </w:r>
      <w:r>
        <w:t xml:space="preserve">el control oficial mediante el método armonizado UE (Reg. Delegado 2017/1155).</w:t>
      </w:r>
    </w:p>
    <w:p>
      <w:r>
        <w:pict>
          <v:rect style="width:0;height:1.5pt" o:hralign="center" o:hrstd="t" o:hr="t"/>
        </w:pict>
      </w:r>
    </w:p>
    <w:bookmarkEnd w:id="49"/>
    <w:bookmarkStart w:id="52" w:name="enmiendas-nucleares-03-10"/>
    <w:p>
      <w:pPr>
        <w:pStyle w:val="Heading2"/>
      </w:pPr>
      <w:r>
        <w:t xml:space="preserve">3.2 Enmiendas nucleares: 0,3% → 1,0%</w:t>
      </w:r>
    </w:p>
    <w:bookmarkStart w:id="50" w:name="pac-com2025-560"/>
    <w:p>
      <w:pPr>
        <w:pStyle w:val="Heading3"/>
      </w:pPr>
      <w:r>
        <w:t xml:space="preserve">PAC — COM(2025) 560</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3960"/>
        <w:gridCol w:w="3960"/>
      </w:tblGrid>
      <w:tr>
        <w:trPr>
          <w:tblHeader w:val="on"/>
        </w:trPr>
        <w:tc>
          <w:tcPr/>
          <w:p>
            <w:pPr>
              <w:pStyle w:val="Compact"/>
            </w:pPr>
            <w:r>
              <w:t xml:space="preserve">Propuesta Comisión</w:t>
            </w:r>
          </w:p>
        </w:tc>
        <w:tc>
          <w:tcPr/>
          <w:p>
            <w:pPr>
              <w:pStyle w:val="Compact"/>
            </w:pPr>
            <w:r>
              <w:t xml:space="preserve">Enmienda propuesta</w:t>
            </w:r>
          </w:p>
        </w:tc>
      </w:tr>
      <w:tr>
        <w:tc>
          <w:tcPr/>
          <w:p>
            <w:pPr>
              <w:pStyle w:val="Compact"/>
            </w:pPr>
            <w:r>
              <w:rPr>
                <w:b/>
                <w:bCs/>
              </w:rPr>
              <w:t xml:space="preserve">Artículo 5</w:t>
            </w:r>
            <w:r>
              <w:t xml:space="preserve"> </w:t>
            </w:r>
            <w:r>
              <w:t xml:space="preserve">— Tipos de ayuda</w:t>
            </w:r>
            <w:r>
              <w:t xml:space="preserve"> </w:t>
            </w:r>
            <w:r>
              <w:rPr>
                <w:i/>
                <w:iCs/>
              </w:rPr>
              <w:t xml:space="preserve">(…)</w:t>
            </w:r>
            <w:r>
              <w:t xml:space="preserve"> </w:t>
            </w:r>
            <w:r>
              <w:t xml:space="preserve">La producción de variedades de cáñamo con un contenido de tetrahidrocannabinol (THC) superior al</w:t>
            </w:r>
            <w:r>
              <w:t xml:space="preserve"> </w:t>
            </w:r>
            <w:r>
              <w:rPr>
                <w:b/>
                <w:bCs/>
              </w:rPr>
              <w:t xml:space="preserve">0,3%</w:t>
            </w:r>
            <w:r>
              <w:t xml:space="preserve"> </w:t>
            </w:r>
            <w:r>
              <w:t xml:space="preserve">no podrá optar a las ayudas en virtud del presente Reglamento.</w:t>
            </w:r>
          </w:p>
        </w:tc>
        <w:tc>
          <w:tcPr/>
          <w:p>
            <w:pPr>
              <w:pStyle w:val="Compact"/>
            </w:pPr>
            <w:r>
              <w:rPr>
                <w:b/>
                <w:bCs/>
              </w:rPr>
              <w:t xml:space="preserve">Artículo 5</w:t>
            </w:r>
            <w:r>
              <w:t xml:space="preserve"> </w:t>
            </w:r>
            <w:r>
              <w:t xml:space="preserve">— Tipos de ayuda</w:t>
            </w:r>
            <w:r>
              <w:t xml:space="preserve"> </w:t>
            </w:r>
            <w:r>
              <w:rPr>
                <w:i/>
                <w:iCs/>
              </w:rPr>
              <w:t xml:space="preserve">(…)</w:t>
            </w:r>
            <w:r>
              <w:t xml:space="preserve"> </w:t>
            </w:r>
            <w:r>
              <w:t xml:space="preserve">La producción de variedades de cáñamo con un contenido de tetrahidrocannabinol (THC) superior al</w:t>
            </w:r>
            <w:r>
              <w:t xml:space="preserve"> </w:t>
            </w:r>
            <w:r>
              <w:rPr>
                <w:b/>
                <w:bCs/>
              </w:rPr>
              <w:t xml:space="preserve">1,0%</w:t>
            </w:r>
            <w:r>
              <w:t xml:space="preserve"> </w:t>
            </w:r>
            <w:r>
              <w:t xml:space="preserve">no podrá optar a las ayudas en virtud del presente Reglamento.</w:t>
            </w:r>
          </w:p>
        </w:tc>
      </w:tr>
    </w:tbl>
    <w:bookmarkEnd w:id="50"/>
    <w:bookmarkStart w:id="51" w:name="X68a6f5b82b3ab7399ecf85ffa2f14872662aa10"/>
    <w:p>
      <w:pPr>
        <w:pStyle w:val="Heading3"/>
      </w:pPr>
      <w:r>
        <w:t xml:space="preserve">OCM — COM(2025) 553 (modifica Reg. (UE) 1308/2013)</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3960"/>
        <w:gridCol w:w="3960"/>
      </w:tblGrid>
      <w:tr>
        <w:trPr>
          <w:tblHeader w:val="on"/>
        </w:trPr>
        <w:tc>
          <w:tcPr/>
          <w:p>
            <w:pPr>
              <w:pStyle w:val="Compact"/>
            </w:pPr>
            <w:r>
              <w:t xml:space="preserve">Propuesta Comisión</w:t>
            </w:r>
          </w:p>
        </w:tc>
        <w:tc>
          <w:tcPr/>
          <w:p>
            <w:pPr>
              <w:pStyle w:val="Compact"/>
            </w:pPr>
            <w:r>
              <w:t xml:space="preserve">Enmienda propuesta</w:t>
            </w:r>
          </w:p>
        </w:tc>
      </w:tr>
      <w:tr>
        <w:tc>
          <w:tcPr/>
          <w:p>
            <w:pPr>
              <w:pStyle w:val="Compact"/>
            </w:pPr>
            <w:r>
              <w:rPr>
                <w:b/>
                <w:bCs/>
              </w:rPr>
              <w:t xml:space="preserve">Artículo 147 ter</w:t>
            </w:r>
            <w:r>
              <w:t xml:space="preserve"> </w:t>
            </w:r>
            <w:r>
              <w:t xml:space="preserve">— Producción de cáñamo. 1. Los siguientes productos podrán producirse en la Unión si proceden de una variedad de</w:t>
            </w:r>
            <w:r>
              <w:t xml:space="preserve"> </w:t>
            </w:r>
            <w:r>
              <w:rPr>
                <w:i/>
                <w:iCs/>
              </w:rPr>
              <w:t xml:space="preserve">Cannabis Sativa</w:t>
            </w:r>
            <w:r>
              <w:t xml:space="preserve"> </w:t>
            </w:r>
            <w:r>
              <w:t xml:space="preserve">L. registrada en el catálogo común cuyo contenido máximo de Δ9-tetrahidrocannabinol no supere el</w:t>
            </w:r>
            <w:r>
              <w:t xml:space="preserve"> </w:t>
            </w:r>
            <w:r>
              <w:rPr>
                <w:b/>
                <w:bCs/>
              </w:rPr>
              <w:t xml:space="preserve">0,3%</w:t>
            </w:r>
            <w:r>
              <w:t xml:space="preserve"> </w:t>
            </w:r>
            <w:r>
              <w:t xml:space="preserve">y cumplen las condiciones siguientes:</w:t>
            </w:r>
            <w:r>
              <w:t xml:space="preserve"> </w:t>
            </w:r>
            <w:r>
              <w:rPr>
                <w:i/>
                <w:iCs/>
              </w:rPr>
              <w:t xml:space="preserve">(…)</w:t>
            </w:r>
          </w:p>
        </w:tc>
        <w:tc>
          <w:tcPr/>
          <w:p>
            <w:pPr>
              <w:pStyle w:val="Compact"/>
            </w:pPr>
            <w:r>
              <w:rPr>
                <w:b/>
                <w:bCs/>
              </w:rPr>
              <w:t xml:space="preserve">Artículo 147 ter</w:t>
            </w:r>
            <w:r>
              <w:t xml:space="preserve"> </w:t>
            </w:r>
            <w:r>
              <w:t xml:space="preserve">— Producción de cáñamo. 1. Los siguientes productos podrán producirse en la Unión si proceden de una variedad de</w:t>
            </w:r>
            <w:r>
              <w:t xml:space="preserve"> </w:t>
            </w:r>
            <w:r>
              <w:rPr>
                <w:i/>
                <w:iCs/>
              </w:rPr>
              <w:t xml:space="preserve">Cannabis Sativa</w:t>
            </w:r>
            <w:r>
              <w:t xml:space="preserve"> </w:t>
            </w:r>
            <w:r>
              <w:t xml:space="preserve">L. registrada en el catálogo común cuyo contenido máximo de Δ9-tetrahidrocannabinol no supere el</w:t>
            </w:r>
            <w:r>
              <w:t xml:space="preserve"> </w:t>
            </w:r>
            <w:r>
              <w:rPr>
                <w:b/>
                <w:bCs/>
              </w:rPr>
              <w:t xml:space="preserve">1,0%</w:t>
            </w:r>
            <w:r>
              <w:t xml:space="preserve"> </w:t>
            </w:r>
            <w:r>
              <w:t xml:space="preserve">y cumplen las condiciones siguientes:</w:t>
            </w:r>
            <w:r>
              <w:t xml:space="preserve"> </w:t>
            </w:r>
            <w:r>
              <w:rPr>
                <w:i/>
                <w:iCs/>
              </w:rPr>
              <w:t xml:space="preserve">(…)</w:t>
            </w:r>
          </w:p>
        </w:tc>
      </w:tr>
      <w:tr>
        <w:tc>
          <w:tcPr/>
          <w:p>
            <w:pPr>
              <w:pStyle w:val="Compact"/>
            </w:pPr>
            <w:r>
              <w:rPr>
                <w:b/>
                <w:bCs/>
              </w:rPr>
              <w:t xml:space="preserve">Artículo 147 quater</w:t>
            </w:r>
            <w:r>
              <w:t xml:space="preserve"> </w:t>
            </w:r>
            <w:r>
              <w:t xml:space="preserve">— Comercialización de cáñamo. 1. Los productos siguientes únicamente podrán comercializarse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(c)</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p>
        </w:tc>
        <w:tc>
          <w:tcPr/>
          <w:p>
            <w:pPr>
              <w:pStyle w:val="Compact"/>
            </w:pPr>
            <w:r>
              <w:rPr>
                <w:b/>
                <w:bCs/>
              </w:rPr>
              <w:t xml:space="preserve">Artículo 147 quater</w:t>
            </w:r>
            <w:r>
              <w:t xml:space="preserve"> </w:t>
            </w:r>
            <w:r>
              <w:t xml:space="preserve">— Comercialización de cáñamo. 1. Los productos siguientes únicamente podrán comercializarse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(c)</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p>
        </w:tc>
      </w:tr>
      <w:tr>
        <w:tc>
          <w:tcPr/>
          <w:p>
            <w:pPr>
              <w:pStyle w:val="Compact"/>
            </w:pPr>
            <w:r>
              <w:rPr>
                <w:b/>
                <w:bCs/>
              </w:rPr>
              <w:t xml:space="preserve">Artículo 189</w:t>
            </w:r>
            <w:r>
              <w:t xml:space="preserve"> </w:t>
            </w:r>
            <w:r>
              <w:t xml:space="preserve">— Importaciones de cáñamo. 1. Los productos siguientes únicamente podrán importarse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(d)</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p>
        </w:tc>
        <w:tc>
          <w:tcPr/>
          <w:p>
            <w:pPr>
              <w:pStyle w:val="Compact"/>
            </w:pPr>
            <w:r>
              <w:rPr>
                <w:b/>
                <w:bCs/>
              </w:rPr>
              <w:t xml:space="preserve">Artículo 189</w:t>
            </w:r>
            <w:r>
              <w:t xml:space="preserve"> </w:t>
            </w:r>
            <w:r>
              <w:t xml:space="preserve">— Importaciones de cáñamo. 1. Los productos siguientes únicamente podrán importarse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(d)</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p>
        </w:tc>
      </w:tr>
    </w:tbl>
    <w:p>
      <w:pPr>
        <w:pStyle w:val="BlockText"/>
      </w:pPr>
      <w:r>
        <w:rPr>
          <w:b/>
          <w:bCs/>
        </w:rPr>
        <w:t xml:space="preserve">Nota sobre NC 1211 90 86</w:t>
      </w:r>
      <w:r>
        <w:t xml:space="preserve">: Este código (</w:t>
      </w:r>
      <w:r>
        <w:t xml:space="preserve">“las demás partes de la planta de cáñamo”</w:t>
      </w:r>
      <w:r>
        <w:t xml:space="preserve">) es la novedad clave de COM(2025) 553, incluyendo por primera vez</w:t>
      </w:r>
      <w:r>
        <w:t xml:space="preserve"> </w:t>
      </w:r>
      <w:r>
        <w:rPr>
          <w:b/>
          <w:bCs/>
        </w:rPr>
        <w:t xml:space="preserve">flores, sumidades y biomasa</w:t>
      </w:r>
      <w:r>
        <w:t xml:space="preserve"> </w:t>
      </w:r>
      <w:r>
        <w:t xml:space="preserve">en el marco regulatorio OCM. Es precisamente esta categoría la que requiere un umbral robusto (1%) para habilitar la cadena de valor de</w:t>
      </w:r>
      <w:r>
        <w:t xml:space="preserve"> </w:t>
      </w:r>
      <w:r>
        <w:rPr>
          <w:b/>
          <w:bCs/>
        </w:rPr>
        <w:t xml:space="preserve">extractos CBD</w:t>
      </w:r>
      <w:r>
        <w:t xml:space="preserve"> </w:t>
      </w:r>
      <w:r>
        <w:t xml:space="preserve">y productos derivados.</w:t>
      </w:r>
    </w:p>
    <w:p>
      <w:r>
        <w:pict>
          <v:rect style="width:0;height:1.5pt" o:hralign="center" o:hrstd="t" o:hr="t"/>
        </w:pict>
      </w:r>
    </w:p>
    <w:bookmarkEnd w:id="51"/>
    <w:bookmarkEnd w:id="52"/>
    <w:bookmarkStart w:id="53" w:name="cláusula-técnica-mínima-recomendada"/>
    <w:p>
      <w:pPr>
        <w:pStyle w:val="Heading2"/>
      </w:pPr>
      <w:r>
        <w:t xml:space="preserve">3.3 Cláusula técnica mínima recomendada</w:t>
      </w:r>
    </w:p>
    <w:p>
      <w:pPr>
        <w:pStyle w:val="FirstParagraph"/>
      </w:pPr>
      <w:r>
        <w:t xml:space="preserve">Para evitar litigios por interpretaciones divergentes, se recomienda añadir una remisión técnica en ambos instrumentos:</w:t>
      </w:r>
    </w:p>
    <w:p>
      <w:pPr>
        <w:pStyle w:val="BlockText"/>
      </w:pPr>
      <w:r>
        <w:rPr>
          <w:i/>
          <w:iCs/>
        </w:rPr>
        <w:t xml:space="preserve">«A efectos del presente Reglamento, el contenido de tetrahidrocannabinol (Δ9-THC) se determinará</w:t>
      </w:r>
      <w:r>
        <w:rPr>
          <w:i/>
          <w:iCs/>
        </w:rPr>
        <w:t xml:space="preserve"> </w:t>
      </w:r>
      <w:r>
        <w:rPr>
          <w:b/>
          <w:bCs/>
          <w:i/>
          <w:iCs/>
        </w:rPr>
        <w:t xml:space="preserve">en base a materia seca (peso constante)</w:t>
      </w:r>
      <w:r>
        <w:rPr>
          <w:i/>
          <w:iCs/>
        </w:rPr>
        <w:t xml:space="preserve"> </w:t>
      </w:r>
      <w:r>
        <w:rPr>
          <w:i/>
          <w:iCs/>
        </w:rPr>
        <w:t xml:space="preserve">y de conformidad con el</w:t>
      </w:r>
      <w:r>
        <w:rPr>
          <w:i/>
          <w:iCs/>
        </w:rPr>
        <w:t xml:space="preserve"> </w:t>
      </w:r>
      <w:r>
        <w:rPr>
          <w:b/>
          <w:bCs/>
          <w:i/>
          <w:iCs/>
        </w:rPr>
        <w:t xml:space="preserve">método de la Unión</w:t>
      </w:r>
      <w:r>
        <w:rPr>
          <w:i/>
          <w:iCs/>
        </w:rPr>
        <w:t xml:space="preserve"> </w:t>
      </w:r>
      <w:r>
        <w:rPr>
          <w:i/>
          <w:iCs/>
        </w:rPr>
        <w:t xml:space="preserve">establecido en el anexo III del Reglamento Delegado (UE) 2017/1155, o en el acto que lo sustituya.»</w:t>
      </w:r>
    </w:p>
    <w:p>
      <w:r>
        <w:pict>
          <v:rect style="width:0;height:1.5pt" o:hralign="center" o:hrstd="t" o:hr="t"/>
        </w:pict>
      </w:r>
    </w:p>
    <w:bookmarkEnd w:id="53"/>
    <w:bookmarkStart w:id="54" w:name="conclusiones"/>
    <w:p>
      <w:pPr>
        <w:pStyle w:val="Heading2"/>
      </w:pPr>
      <w:r>
        <w:t xml:space="preserve">3.4 Conclusiones</w:t>
      </w:r>
    </w:p>
    <w:p>
      <w:pPr>
        <w:pStyle w:val="FirstParagraph"/>
      </w:pPr>
      <w:r>
        <w:t xml:space="preserve">Elevar el umbral a</w:t>
      </w:r>
      <w:r>
        <w:t xml:space="preserve"> </w:t>
      </w:r>
      <w:r>
        <w:rPr>
          <w:b/>
          <w:bCs/>
        </w:rPr>
        <w:t xml:space="preserve">1,0% THC</w:t>
      </w:r>
      <w:r>
        <w:t xml:space="preserve"> </w:t>
      </w:r>
      <w:r>
        <w:t xml:space="preserve">no es una petición maximalista: es el cierre coherente del razonamiento que el propio Parlamento Europeo y el sector han iniciado. Los mismos argumentos que justifican 0,5% —proporcionalidad, realidad agronómica, competitividad, mercado interior— justifican con mayor solidez el 1%, respaldado además por:</w:t>
      </w:r>
    </w:p>
    <w:p>
      <w:pPr>
        <w:pStyle w:val="Compact"/>
        <w:numPr>
          <w:ilvl w:val="0"/>
          <w:numId w:val="1013"/>
        </w:numPr>
      </w:pPr>
      <w:r>
        <w:rPr>
          <w:b/>
          <w:bCs/>
        </w:rPr>
        <w:t xml:space="preserve">Evidencia primaria</w:t>
      </w:r>
      <w:r>
        <w:t xml:space="preserve">: el originador del 0,3% (Dr. Ernest Small) afirma que el potencial de abuso práctico requiere ~1% THC total.</w:t>
      </w:r>
    </w:p>
    <w:p>
      <w:pPr>
        <w:pStyle w:val="Compact"/>
        <w:numPr>
          <w:ilvl w:val="0"/>
          <w:numId w:val="1013"/>
        </w:numPr>
      </w:pPr>
      <w:r>
        <w:rPr>
          <w:b/>
          <w:bCs/>
        </w:rPr>
        <w:t xml:space="preserve">Bloque internacional consolidado</w:t>
      </w:r>
      <w:r>
        <w:t xml:space="preserve">: 18 jurisdicciones operan con 1% sin problemas de control.</w:t>
      </w:r>
    </w:p>
    <w:p>
      <w:pPr>
        <w:pStyle w:val="Compact"/>
        <w:numPr>
          <w:ilvl w:val="0"/>
          <w:numId w:val="1013"/>
        </w:numPr>
      </w:pPr>
      <w:r>
        <w:rPr>
          <w:b/>
          <w:bCs/>
        </w:rPr>
        <w:t xml:space="preserve">Compatibilidad técnica</w:t>
      </w:r>
      <w:r>
        <w:t xml:space="preserve">: el método UE funciona sin modificación con el nuevo umbral.</w:t>
      </w:r>
    </w:p>
    <w:p>
      <w:pPr>
        <w:pStyle w:val="FirstParagraph"/>
      </w:pPr>
      <w:r>
        <w:t xml:space="preserve">La reforma propuesta permitirá que el sector del cáñamo contribuya plenamente a los objetivos de la UE en bioeconomía, resiliencia climática y autonomía estratégica, con un marco regulatorio</w:t>
      </w:r>
      <w:r>
        <w:t xml:space="preserve"> </w:t>
      </w:r>
      <w:r>
        <w:rPr>
          <w:b/>
          <w:bCs/>
        </w:rPr>
        <w:t xml:space="preserve">armonizado, operable y defendible</w:t>
      </w:r>
      <w:r>
        <w:t xml:space="preserve">.</w:t>
      </w:r>
    </w:p>
    <w:p>
      <w:r>
        <w:pict>
          <v:rect style="width:0;height:1.5pt" o:hralign="center" o:hrstd="t" o:hr="t"/>
        </w:pict>
      </w:r>
    </w:p>
    <w:bookmarkEnd w:id="54"/>
    <w:bookmarkEnd w:id="55"/>
    <w:bookmarkStart w:id="70" w:name="anexos"/>
    <w:p>
      <w:pPr>
        <w:pStyle w:val="Heading1"/>
      </w:pPr>
      <w:r>
        <w:t xml:space="preserve">ANEXOS</w:t>
      </w:r>
    </w:p>
    <w:bookmarkStart w:id="60" w:name="anexo-a-evidencia-científica"/>
    <w:p>
      <w:pPr>
        <w:pStyle w:val="Heading2"/>
      </w:pPr>
      <w:r>
        <w:t xml:space="preserve">ANEXO A: EVIDENCIA CIENTÍFICA</w:t>
      </w:r>
    </w:p>
    <w:bookmarkStart w:id="56" w:name="X13cbce423ff74d9176ced4acdf6fb5e5b56a166"/>
    <w:p>
      <w:pPr>
        <w:pStyle w:val="Heading3"/>
      </w:pPr>
      <w:r>
        <w:t xml:space="preserve">A.1 Taxonomía y clasificación del cannabis</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3394"/>
        <w:gridCol w:w="4525"/>
      </w:tblGrid>
      <w:tr>
        <w:trPr>
          <w:tblHeader w:val="on"/>
        </w:trPr>
        <w:tc>
          <w:tcPr/>
          <w:p>
            <w:pPr>
              <w:pStyle w:val="Compact"/>
            </w:pPr>
            <w:r>
              <w:t xml:space="preserve">Referencia</w:t>
            </w:r>
          </w:p>
        </w:tc>
        <w:tc>
          <w:tcPr/>
          <w:p>
            <w:pPr>
              <w:pStyle w:val="Compact"/>
            </w:pPr>
            <w:r>
              <w:t xml:space="preserve">Hallazgo clave</w:t>
            </w:r>
          </w:p>
        </w:tc>
      </w:tr>
      <w:tr>
        <w:tc>
          <w:tcPr/>
          <w:p>
            <w:pPr>
              <w:pStyle w:val="Compact"/>
            </w:pPr>
            <w:r>
              <w:rPr>
                <w:b/>
                <w:bCs/>
              </w:rPr>
              <w:t xml:space="preserve">Small &amp; Cronquist (1976)</w:t>
            </w:r>
            <w:r>
              <w:t xml:space="preserve">,</w:t>
            </w:r>
            <w:r>
              <w:t xml:space="preserve"> </w:t>
            </w:r>
            <w:r>
              <w:rPr>
                <w:i/>
                <w:iCs/>
              </w:rPr>
              <w:t xml:space="preserve">Taxon</w:t>
            </w:r>
            <w:r>
              <w:t xml:space="preserve"> </w:t>
            </w:r>
            <w:r>
              <w:t xml:space="preserve">25(4): 405-435</w:t>
            </w:r>
          </w:p>
        </w:tc>
        <w:tc>
          <w:tcPr/>
          <w:p>
            <w:pPr>
              <w:pStyle w:val="Compact"/>
            </w:pPr>
            <w:r>
              <w:t xml:space="preserve">Umbral 0,3% THC establecido</w:t>
            </w:r>
            <w:r>
              <w:t xml:space="preserve"> </w:t>
            </w:r>
            <w:r>
              <w:t xml:space="preserve">“arbitrarily”</w:t>
            </w:r>
            <w:r>
              <w:t xml:space="preserve"> </w:t>
            </w:r>
            <w:r>
              <w:t xml:space="preserve">para discriminación taxonómica en hojas jóvenes, no flores.</w:t>
            </w:r>
          </w:p>
        </w:tc>
      </w:tr>
      <w:tr>
        <w:tc>
          <w:tcPr/>
          <w:p>
            <w:pPr>
              <w:pStyle w:val="Compact"/>
            </w:pPr>
            <w:r>
              <w:rPr>
                <w:b/>
                <w:bCs/>
              </w:rPr>
              <w:t xml:space="preserve">Small (2021)</w:t>
            </w:r>
            <w:r>
              <w:t xml:space="preserve">, Statement on Regulated Maximum THC Levels</w:t>
            </w:r>
          </w:p>
        </w:tc>
        <w:tc>
          <w:tcPr/>
          <w:p>
            <w:pPr>
              <w:pStyle w:val="Compact"/>
            </w:pPr>
            <w:r>
              <w:t xml:space="preserve">Confirma que 0,3% fue criterio taxonómico; recomienda 1% como</w:t>
            </w:r>
            <w:r>
              <w:t xml:space="preserve"> </w:t>
            </w:r>
            <w:r>
              <w:t xml:space="preserve">“more suitable criterion”</w:t>
            </w:r>
            <w:r>
              <w:t xml:space="preserve"> </w:t>
            </w:r>
            <w:r>
              <w:t xml:space="preserve">para regulación industrial.</w:t>
            </w:r>
          </w:p>
        </w:tc>
      </w:tr>
      <w:tr>
        <w:tc>
          <w:tcPr/>
          <w:p>
            <w:pPr>
              <w:pStyle w:val="Compact"/>
            </w:pPr>
            <w:r>
              <w:rPr>
                <w:b/>
                <w:bCs/>
              </w:rPr>
              <w:t xml:space="preserve">Small, Beckstead &amp; Chan (1975)</w:t>
            </w:r>
            <w:r>
              <w:t xml:space="preserve">,</w:t>
            </w:r>
            <w:r>
              <w:t xml:space="preserve"> </w:t>
            </w:r>
            <w:r>
              <w:rPr>
                <w:i/>
                <w:iCs/>
              </w:rPr>
              <w:t xml:space="preserve">Evolution of Cannabinoid Phenotypes</w:t>
            </w:r>
          </w:p>
        </w:tc>
        <w:tc>
          <w:tcPr/>
          <w:p>
            <w:pPr>
              <w:pStyle w:val="Compact"/>
            </w:pPr>
            <w:r>
              <w:t xml:space="preserve">Documenta variación natural de THC entre partes de la planta y condiciones ambientales.</w:t>
            </w:r>
          </w:p>
        </w:tc>
      </w:tr>
    </w:tbl>
    <w:bookmarkEnd w:id="56"/>
    <w:bookmarkStart w:id="57" w:name="X34be7aa0ea27e0ff2007b807cb25f64755d8a3e"/>
    <w:p>
      <w:pPr>
        <w:pStyle w:val="Heading3"/>
      </w:pPr>
      <w:r>
        <w:t xml:space="preserve">A.2 Farmacocinética, dosis mínimas psicoactivas y umbrales toxicológicos</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3394"/>
        <w:gridCol w:w="4525"/>
      </w:tblGrid>
      <w:tr>
        <w:trPr>
          <w:tblHeader w:val="on"/>
        </w:trPr>
        <w:tc>
          <w:tcPr/>
          <w:p>
            <w:pPr>
              <w:pStyle w:val="Compact"/>
            </w:pPr>
            <w:r>
              <w:t xml:space="preserve">Referencia</w:t>
            </w:r>
          </w:p>
        </w:tc>
        <w:tc>
          <w:tcPr/>
          <w:p>
            <w:pPr>
              <w:pStyle w:val="Compact"/>
            </w:pPr>
            <w:r>
              <w:t xml:space="preserve">Hallazgo clave</w:t>
            </w:r>
          </w:p>
        </w:tc>
      </w:tr>
      <w:tr>
        <w:tc>
          <w:tcPr/>
          <w:p>
            <w:pPr>
              <w:pStyle w:val="Compact"/>
            </w:pPr>
            <w:r>
              <w:rPr>
                <w:b/>
                <w:bCs/>
              </w:rPr>
              <w:t xml:space="preserve">EFSA CONTAM Panel (2015)</w:t>
            </w:r>
            <w:r>
              <w:t xml:space="preserve">, EFSA Journal 13(6):4141</w:t>
            </w:r>
          </w:p>
        </w:tc>
        <w:tc>
          <w:tcPr/>
          <w:p>
            <w:pPr>
              <w:pStyle w:val="Compact"/>
            </w:pPr>
            <w:r>
              <w:t xml:space="preserve">LOAEL oral:</w:t>
            </w:r>
            <w:r>
              <w:t xml:space="preserve"> </w:t>
            </w:r>
            <w:r>
              <w:rPr>
                <w:b/>
                <w:bCs/>
              </w:rPr>
              <w:t xml:space="preserve">2,5 mg Δ9-THC/día</w:t>
            </w:r>
            <w:r>
              <w:t xml:space="preserve">; ARfD: 1 µg/kg. Oral genera ~3× más 11-OH-THC que fumar.</w:t>
            </w:r>
          </w:p>
        </w:tc>
      </w:tr>
      <w:tr>
        <w:tc>
          <w:tcPr/>
          <w:p>
            <w:pPr>
              <w:pStyle w:val="Compact"/>
            </w:pPr>
            <w:r>
              <w:rPr>
                <w:b/>
                <w:bCs/>
              </w:rPr>
              <w:t xml:space="preserve">Perez-Reyes et al. (1972)</w:t>
            </w:r>
            <w:r>
              <w:t xml:space="preserve"> </w:t>
            </w:r>
            <w:r>
              <w:t xml:space="preserve">vía EFSA</w:t>
            </w:r>
          </w:p>
        </w:tc>
        <w:tc>
          <w:tcPr/>
          <w:p>
            <w:pPr>
              <w:pStyle w:val="Compact"/>
            </w:pPr>
            <w:r>
              <w:t xml:space="preserve">“Desired marijuana high”</w:t>
            </w:r>
            <w:r>
              <w:t xml:space="preserve"> </w:t>
            </w:r>
            <w:r>
              <w:t xml:space="preserve">requiere</w:t>
            </w:r>
            <w:r>
              <w:t xml:space="preserve"> </w:t>
            </w:r>
            <w:r>
              <w:rPr>
                <w:b/>
                <w:bCs/>
              </w:rPr>
              <w:t xml:space="preserve">3,1 ± 0,9 mg Δ9-THC</w:t>
            </w:r>
            <w:r>
              <w:t xml:space="preserve"> </w:t>
            </w:r>
            <w:r>
              <w:t xml:space="preserve">sistémico (i.v.).</w:t>
            </w:r>
          </w:p>
        </w:tc>
      </w:tr>
      <w:tr>
        <w:tc>
          <w:tcPr/>
          <w:p>
            <w:pPr>
              <w:pStyle w:val="Compact"/>
            </w:pPr>
            <w:r>
              <w:rPr>
                <w:b/>
                <w:bCs/>
              </w:rPr>
              <w:t xml:space="preserve">Huestis et al. (1992, 2007)</w:t>
            </w:r>
            <w:r>
              <w:t xml:space="preserve">, PMID: 1338215, 17712819</w:t>
            </w:r>
          </w:p>
        </w:tc>
        <w:tc>
          <w:tcPr/>
          <w:p>
            <w:pPr>
              <w:pStyle w:val="Compact"/>
            </w:pPr>
            <w:r>
              <w:t xml:space="preserve">Biodisponibilidad fumado:</w:t>
            </w:r>
            <w:r>
              <w:t xml:space="preserve"> </w:t>
            </w:r>
            <w:r>
              <w:rPr>
                <w:b/>
                <w:bCs/>
              </w:rPr>
              <w:t xml:space="preserve">2-56%</w:t>
            </w:r>
            <w:r>
              <w:t xml:space="preserve"> </w:t>
            </w:r>
            <w:r>
              <w:t xml:space="preserve">(media ~30%). Gold standard farmacocinética THC inhalado.</w:t>
            </w:r>
          </w:p>
        </w:tc>
      </w:tr>
      <w:tr>
        <w:tc>
          <w:tcPr/>
          <w:p>
            <w:pPr>
              <w:pStyle w:val="Compact"/>
            </w:pPr>
            <w:r>
              <w:rPr>
                <w:b/>
                <w:bCs/>
              </w:rPr>
              <w:t xml:space="preserve">Sheehan et al. (2018)</w:t>
            </w:r>
            <w:r>
              <w:t xml:space="preserve">, PMID: 31304445</w:t>
            </w:r>
          </w:p>
        </w:tc>
        <w:tc>
          <w:tcPr/>
          <w:p>
            <w:pPr>
              <w:pStyle w:val="Compact"/>
            </w:pPr>
            <w:r>
              <w:t xml:space="preserve">Transfer mainstream smoke:</w:t>
            </w:r>
            <w:r>
              <w:t xml:space="preserve"> </w:t>
            </w:r>
            <w:r>
              <w:rPr>
                <w:b/>
                <w:bCs/>
              </w:rPr>
              <w:t xml:space="preserve">12,6% media</w:t>
            </w:r>
            <w:r>
              <w:t xml:space="preserve"> </w:t>
            </w:r>
            <w:r>
              <w:t xml:space="preserve">(7,2-28%). Condiciones realistas ISO.</w:t>
            </w:r>
          </w:p>
        </w:tc>
      </w:tr>
      <w:tr>
        <w:tc>
          <w:tcPr/>
          <w:p>
            <w:pPr>
              <w:pStyle w:val="Compact"/>
            </w:pPr>
            <w:r>
              <w:rPr>
                <w:b/>
                <w:bCs/>
              </w:rPr>
              <w:t xml:space="preserve">Naef et al. (2004)</w:t>
            </w:r>
            <w:r>
              <w:t xml:space="preserve">, PMID: 15067694</w:t>
            </w:r>
          </w:p>
        </w:tc>
        <w:tc>
          <w:tcPr/>
          <w:p>
            <w:pPr>
              <w:pStyle w:val="Compact"/>
            </w:pPr>
            <w:r>
              <w:t xml:space="preserve">Biodisponibilidad pulmonar:</w:t>
            </w:r>
            <w:r>
              <w:t xml:space="preserve"> </w:t>
            </w:r>
            <w:r>
              <w:rPr>
                <w:b/>
                <w:bCs/>
              </w:rPr>
              <w:t xml:space="preserve">28,7±8,2%</w:t>
            </w:r>
            <w:r>
              <w:t xml:space="preserve"> </w:t>
            </w:r>
            <w:r>
              <w:t xml:space="preserve">(vs i.v.). Metodología robusta.</w:t>
            </w:r>
          </w:p>
        </w:tc>
      </w:tr>
      <w:tr>
        <w:tc>
          <w:tcPr/>
          <w:p>
            <w:pPr>
              <w:pStyle w:val="Compact"/>
            </w:pPr>
            <w:r>
              <w:rPr>
                <w:b/>
                <w:bCs/>
              </w:rPr>
              <w:t xml:space="preserve">Grotenhermen &amp; Karus (1998)</w:t>
            </w:r>
            <w:r>
              <w:t xml:space="preserve">,</w:t>
            </w:r>
            <w:r>
              <w:t xml:space="preserve"> </w:t>
            </w:r>
            <w:r>
              <w:rPr>
                <w:i/>
                <w:iCs/>
              </w:rPr>
              <w:t xml:space="preserve">J. Int. Hemp Assoc.</w:t>
            </w:r>
            <w:r>
              <w:t xml:space="preserve"> </w:t>
            </w:r>
            <w:r>
              <w:t xml:space="preserve">5(2)</w:t>
            </w:r>
          </w:p>
        </w:tc>
        <w:tc>
          <w:tcPr/>
          <w:p>
            <w:pPr>
              <w:pStyle w:val="Compact"/>
            </w:pPr>
            <w:r>
              <w:t xml:space="preserve">Umbral discriminación sensorial placebo/activo:</w:t>
            </w:r>
            <w:r>
              <w:t xml:space="preserve"> </w:t>
            </w:r>
            <w:r>
              <w:rPr>
                <w:b/>
                <w:bCs/>
              </w:rPr>
              <w:t xml:space="preserve">0,8-1,0% THC</w:t>
            </w:r>
            <w:r>
              <w:t xml:space="preserve"> </w:t>
            </w:r>
            <w:r>
              <w:t xml:space="preserve">fumado.</w:t>
            </w:r>
          </w:p>
        </w:tc>
      </w:tr>
      <w:tr>
        <w:tc>
          <w:tcPr/>
          <w:p>
            <w:pPr>
              <w:pStyle w:val="Compact"/>
            </w:pPr>
            <w:r>
              <w:rPr>
                <w:b/>
                <w:bCs/>
              </w:rPr>
              <w:t xml:space="preserve">INTF España (2021)</w:t>
            </w:r>
            <w:r>
              <w:t xml:space="preserve">, Dosis mínimas psicoactivas</w:t>
            </w:r>
          </w:p>
        </w:tc>
        <w:tc>
          <w:tcPr/>
          <w:p>
            <w:pPr>
              <w:pStyle w:val="Compact"/>
            </w:pPr>
            <w:r>
              <w:t xml:space="preserve">10 mg THC (oral) como dosis mínima psicoactiva en tabla forense oficial.</w:t>
            </w:r>
          </w:p>
        </w:tc>
      </w:tr>
      <w:tr>
        <w:tc>
          <w:tcPr/>
          <w:p>
            <w:pPr>
              <w:pStyle w:val="Compact"/>
            </w:pPr>
            <w:r>
              <w:rPr>
                <w:b/>
                <w:bCs/>
              </w:rPr>
              <w:t xml:space="preserve">Farmacopea Europea</w:t>
            </w:r>
            <w:r>
              <w:t xml:space="preserve">, Monografía 3028 Cannabis flos</w:t>
            </w:r>
          </w:p>
        </w:tc>
        <w:tc>
          <w:tcPr/>
          <w:p>
            <w:pPr>
              <w:pStyle w:val="Compact"/>
            </w:pPr>
            <w:r>
              <w:t xml:space="preserve">Metodología de cuantificación de cannabinoides en material vegetal.</w:t>
            </w:r>
          </w:p>
        </w:tc>
      </w:tr>
    </w:tbl>
    <w:bookmarkEnd w:id="57"/>
    <w:bookmarkStart w:id="58" w:name="a.3-rendimiento-agronómico-y-genética"/>
    <w:p>
      <w:pPr>
        <w:pStyle w:val="Heading3"/>
      </w:pPr>
      <w:r>
        <w:t xml:space="preserve">A.3 Rendimiento agronómico y genética</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3394"/>
        <w:gridCol w:w="4525"/>
      </w:tblGrid>
      <w:tr>
        <w:trPr>
          <w:tblHeader w:val="on"/>
        </w:trPr>
        <w:tc>
          <w:tcPr/>
          <w:p>
            <w:pPr>
              <w:pStyle w:val="Compact"/>
            </w:pPr>
            <w:r>
              <w:t xml:space="preserve">Referencia</w:t>
            </w:r>
          </w:p>
        </w:tc>
        <w:tc>
          <w:tcPr/>
          <w:p>
            <w:pPr>
              <w:pStyle w:val="Compact"/>
            </w:pPr>
            <w:r>
              <w:t xml:space="preserve">Hallazgo clave</w:t>
            </w:r>
          </w:p>
        </w:tc>
      </w:tr>
      <w:tr>
        <w:tc>
          <w:tcPr/>
          <w:p>
            <w:pPr>
              <w:pStyle w:val="Compact"/>
            </w:pPr>
            <w:r>
              <w:rPr>
                <w:b/>
                <w:bCs/>
              </w:rPr>
              <w:t xml:space="preserve">Rahemi et al. (2021)</w:t>
            </w:r>
            <w:r>
              <w:t xml:space="preserve">,</w:t>
            </w:r>
            <w:r>
              <w:t xml:space="preserve"> </w:t>
            </w:r>
            <w:r>
              <w:rPr>
                <w:i/>
                <w:iCs/>
              </w:rPr>
              <w:t xml:space="preserve">Agronomy</w:t>
            </w:r>
            <w:r>
              <w:t xml:space="preserve"> </w:t>
            </w:r>
            <w:r>
              <w:t xml:space="preserve">11(11):2321</w:t>
            </w:r>
          </w:p>
        </w:tc>
        <w:tc>
          <w:tcPr/>
          <w:p>
            <w:pPr>
              <w:pStyle w:val="Compact"/>
            </w:pPr>
            <w:r>
              <w:t xml:space="preserve">Carmagnola (0,4-0,6% THC): 8,62 t/ha vs Futura 75 (&lt;0,2% THC): 4,60 t/ha (+87%).</w:t>
            </w:r>
          </w:p>
        </w:tc>
      </w:tr>
      <w:tr>
        <w:tc>
          <w:tcPr/>
          <w:p>
            <w:pPr>
              <w:pStyle w:val="Compact"/>
            </w:pPr>
            <w:r>
              <w:rPr>
                <w:b/>
                <w:bCs/>
              </w:rPr>
              <w:t xml:space="preserve">Halker et al. (2024)</w:t>
            </w:r>
            <w:r>
              <w:t xml:space="preserve">,</w:t>
            </w:r>
            <w:r>
              <w:t xml:space="preserve"> </w:t>
            </w:r>
            <w:r>
              <w:rPr>
                <w:i/>
                <w:iCs/>
              </w:rPr>
              <w:t xml:space="preserve">Agrosyst. Geosci. Environ.</w:t>
            </w:r>
            <w:r>
              <w:t xml:space="preserve"> </w:t>
            </w:r>
            <w:r>
              <w:t xml:space="preserve">7: e20569</w:t>
            </w:r>
          </w:p>
        </w:tc>
        <w:tc>
          <w:tcPr/>
          <w:p>
            <w:pPr>
              <w:pStyle w:val="Compact"/>
            </w:pPr>
            <w:r>
              <w:t xml:space="preserve">Variedades chinas de fibra en Carolina del Norte: Yuma (0,723% THC) = 35,1 t/ha; Bama (0,506% THC) = 22,3 t/ha. THC rango 0,4-0,9% en variedades de alto rendimiento.</w:t>
            </w:r>
          </w:p>
        </w:tc>
      </w:tr>
      <w:tr>
        <w:tc>
          <w:tcPr/>
          <w:p>
            <w:pPr>
              <w:pStyle w:val="Compact"/>
            </w:pPr>
            <w:r>
              <w:rPr>
                <w:b/>
                <w:bCs/>
              </w:rPr>
              <w:t xml:space="preserve">Bócsa (1994)</w:t>
            </w:r>
            <w:r>
              <w:t xml:space="preserve">,</w:t>
            </w:r>
            <w:r>
              <w:t xml:space="preserve"> </w:t>
            </w:r>
            <w:r>
              <w:rPr>
                <w:i/>
                <w:iCs/>
              </w:rPr>
              <w:t xml:space="preserve">J. Int. Hemp Assoc.</w:t>
            </w:r>
            <w:r>
              <w:t xml:space="preserve"> </w:t>
            </w:r>
            <w:r>
              <w:t xml:space="preserve">2(2)</w:t>
            </w:r>
          </w:p>
        </w:tc>
        <w:tc>
          <w:tcPr/>
          <w:p>
            <w:pPr>
              <w:pStyle w:val="Compact"/>
            </w:pPr>
            <w:r>
              <w:t xml:space="preserve">Variedades seleccionadas para estabilidad química rinden 10-20% menos que tradicionales.</w:t>
            </w:r>
          </w:p>
        </w:tc>
      </w:tr>
      <w:tr>
        <w:tc>
          <w:tcPr/>
          <w:p>
            <w:pPr>
              <w:pStyle w:val="Compact"/>
            </w:pPr>
            <w:r>
              <w:rPr>
                <w:b/>
                <w:bCs/>
              </w:rPr>
              <w:t xml:space="preserve">Clarke &amp; Merlin (2016)</w:t>
            </w:r>
            <w:r>
              <w:t xml:space="preserve">,</w:t>
            </w:r>
            <w:r>
              <w:t xml:space="preserve"> </w:t>
            </w:r>
            <w:r>
              <w:rPr>
                <w:i/>
                <w:iCs/>
              </w:rPr>
              <w:t xml:space="preserve">Crit. Rev. Plant Sci.</w:t>
            </w:r>
            <w:r>
              <w:t xml:space="preserve"> </w:t>
            </w:r>
            <w:r>
              <w:t xml:space="preserve">35:293-327</w:t>
            </w:r>
          </w:p>
        </w:tc>
        <w:tc>
          <w:tcPr/>
          <w:p>
            <w:pPr>
              <w:pStyle w:val="Compact"/>
            </w:pPr>
            <w:r>
              <w:t xml:space="preserve">Domesticación y mejoramiento: selección para bajo THC reduce diversidad genética y vigor.</w:t>
            </w:r>
          </w:p>
        </w:tc>
      </w:tr>
      <w:tr>
        <w:tc>
          <w:tcPr/>
          <w:p>
            <w:pPr>
              <w:pStyle w:val="Compact"/>
            </w:pPr>
            <w:r>
              <w:rPr>
                <w:b/>
                <w:bCs/>
              </w:rPr>
              <w:t xml:space="preserve">Zager et al. (2019)</w:t>
            </w:r>
            <w:r>
              <w:t xml:space="preserve">,</w:t>
            </w:r>
            <w:r>
              <w:t xml:space="preserve"> </w:t>
            </w:r>
            <w:r>
              <w:rPr>
                <w:i/>
                <w:iCs/>
              </w:rPr>
              <w:t xml:space="preserve">Plant Physiology</w:t>
            </w:r>
            <w:r>
              <w:t xml:space="preserve"> </w:t>
            </w:r>
            <w:r>
              <w:t xml:space="preserve">180(4):1877-1897</w:t>
            </w:r>
          </w:p>
        </w:tc>
        <w:tc>
          <w:tcPr/>
          <w:p>
            <w:pPr>
              <w:pStyle w:val="Compact"/>
            </w:pPr>
            <w:r>
              <w:t xml:space="preserve">Redes genéticas: rutas metabólicas compartidas entre cannabinoides, terpenoides y biomasa.</w:t>
            </w:r>
          </w:p>
        </w:tc>
      </w:tr>
      <w:tr>
        <w:tc>
          <w:tcPr/>
          <w:p>
            <w:pPr>
              <w:pStyle w:val="Compact"/>
            </w:pPr>
            <w:r>
              <w:rPr>
                <w:b/>
                <w:bCs/>
              </w:rPr>
              <w:t xml:space="preserve">Stack et al. (2023)</w:t>
            </w:r>
            <w:r>
              <w:t xml:space="preserve">,</w:t>
            </w:r>
            <w:r>
              <w:t xml:space="preserve"> </w:t>
            </w:r>
            <w:r>
              <w:rPr>
                <w:i/>
                <w:iCs/>
              </w:rPr>
              <w:t xml:space="preserve">Horticulture Research</w:t>
            </w:r>
            <w:r>
              <w:t xml:space="preserve"> </w:t>
            </w:r>
            <w:r>
              <w:t xml:space="preserve">10(11)</w:t>
            </w:r>
          </w:p>
        </w:tc>
        <w:tc>
          <w:tcPr/>
          <w:p>
            <w:pPr>
              <w:pStyle w:val="Compact"/>
            </w:pPr>
            <w:r>
              <w:t xml:space="preserve">Cannabinoides y ciclo fenológico: variedades tardías acumulan más biomasa y más THC.</w:t>
            </w:r>
          </w:p>
        </w:tc>
      </w:tr>
    </w:tbl>
    <w:bookmarkEnd w:id="58"/>
    <w:bookmarkStart w:id="59" w:name="a.4-interacción-cbd-thc"/>
    <w:p>
      <w:pPr>
        <w:pStyle w:val="Heading3"/>
      </w:pPr>
      <w:r>
        <w:t xml:space="preserve">A.4 Interacción CBD-THC</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3394"/>
        <w:gridCol w:w="4525"/>
      </w:tblGrid>
      <w:tr>
        <w:trPr>
          <w:tblHeader w:val="on"/>
        </w:trPr>
        <w:tc>
          <w:tcPr/>
          <w:p>
            <w:pPr>
              <w:pStyle w:val="Compact"/>
            </w:pPr>
            <w:r>
              <w:t xml:space="preserve">Referencia</w:t>
            </w:r>
          </w:p>
        </w:tc>
        <w:tc>
          <w:tcPr/>
          <w:p>
            <w:pPr>
              <w:pStyle w:val="Compact"/>
            </w:pPr>
            <w:r>
              <w:t xml:space="preserve">Hallazgo clave</w:t>
            </w:r>
          </w:p>
        </w:tc>
      </w:tr>
      <w:tr>
        <w:tc>
          <w:tcPr/>
          <w:p>
            <w:pPr>
              <w:pStyle w:val="Compact"/>
            </w:pPr>
            <w:r>
              <w:rPr>
                <w:b/>
                <w:bCs/>
              </w:rPr>
              <w:t xml:space="preserve">EIHA (2025)</w:t>
            </w:r>
          </w:p>
        </w:tc>
        <w:tc>
          <w:tcPr/>
          <w:p>
            <w:pPr>
              <w:pStyle w:val="Compact"/>
            </w:pPr>
            <w:r>
              <w:t xml:space="preserve">CBD antagoniza efectos del THC a nivel de receptor, reduciendo impacto psicoactivo.</w:t>
            </w:r>
          </w:p>
        </w:tc>
      </w:tr>
      <w:tr>
        <w:tc>
          <w:tcPr/>
          <w:p>
            <w:pPr>
              <w:pStyle w:val="Compact"/>
            </w:pPr>
            <w:r>
              <w:rPr>
                <w:b/>
                <w:bCs/>
              </w:rPr>
              <w:t xml:space="preserve">OMS (2018)</w:t>
            </w:r>
            <w:r>
              <w:t xml:space="preserve">, Informe CBD</w:t>
            </w:r>
          </w:p>
        </w:tc>
        <w:tc>
          <w:tcPr/>
          <w:p>
            <w:pPr>
              <w:pStyle w:val="Compact"/>
            </w:pPr>
            <w:r>
              <w:t xml:space="preserve">CBD no presenta potencial adictivo ni estupefaciente; no fiscalizado internacionalmente.</w:t>
            </w:r>
          </w:p>
        </w:tc>
      </w:tr>
    </w:tbl>
    <w:p>
      <w:r>
        <w:pict>
          <v:rect style="width:0;height:1.5pt" o:hralign="center" o:hrstd="t" o:hr="t"/>
        </w:pict>
      </w:r>
    </w:p>
    <w:bookmarkEnd w:id="59"/>
    <w:bookmarkEnd w:id="60"/>
    <w:bookmarkStart w:id="64" w:name="anexo-b-comparativa-internacional"/>
    <w:p>
      <w:pPr>
        <w:pStyle w:val="Heading2"/>
      </w:pPr>
      <w:r>
        <w:t xml:space="preserve">ANEXO B: COMPARATIVA INTERNACIONAL</w:t>
      </w:r>
    </w:p>
    <w:bookmarkStart w:id="61" w:name="X6bd172b85a896c5e57e5af39d24efba32047040"/>
    <w:p>
      <w:pPr>
        <w:pStyle w:val="Heading3"/>
      </w:pPr>
      <w:r>
        <w:t xml:space="preserve">B.1 Países con umbral ≥1% THC (verificado enero 2026)</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1131"/>
        <w:gridCol w:w="2074"/>
        <w:gridCol w:w="1508"/>
        <w:gridCol w:w="1320"/>
        <w:gridCol w:w="1885"/>
      </w:tblGrid>
      <w:tr>
        <w:trPr>
          <w:tblHeader w:val="on"/>
        </w:trPr>
        <w:tc>
          <w:tcPr/>
          <w:p>
            <w:pPr>
              <w:pStyle w:val="Compact"/>
            </w:pPr>
            <w:r>
              <w:t xml:space="preserve">País</w:t>
            </w:r>
          </w:p>
        </w:tc>
        <w:tc>
          <w:tcPr/>
          <w:p>
            <w:pPr>
              <w:pStyle w:val="Compact"/>
            </w:pPr>
            <w:r>
              <w:t xml:space="preserve">Umbral THC</w:t>
            </w:r>
          </w:p>
        </w:tc>
        <w:tc>
          <w:tcPr/>
          <w:p>
            <w:pPr>
              <w:pStyle w:val="Compact"/>
            </w:pPr>
            <w:r>
              <w:t xml:space="preserve">Ámbito</w:t>
            </w:r>
          </w:p>
        </w:tc>
        <w:tc>
          <w:tcPr/>
          <w:p>
            <w:pPr>
              <w:pStyle w:val="Compact"/>
            </w:pPr>
            <w:r>
              <w:t xml:space="preserve">Norma</w:t>
            </w:r>
          </w:p>
        </w:tc>
        <w:tc>
          <w:tcPr/>
          <w:p>
            <w:pPr>
              <w:pStyle w:val="Compact"/>
            </w:pPr>
            <w:r>
              <w:t xml:space="preserve">Vigencia</w:t>
            </w:r>
          </w:p>
        </w:tc>
      </w:tr>
      <w:tr>
        <w:tc>
          <w:tcPr/>
          <w:p>
            <w:pPr>
              <w:pStyle w:val="Compact"/>
            </w:pPr>
            <w:r>
              <w:rPr>
                <w:b/>
                <w:bCs/>
              </w:rPr>
              <w:t xml:space="preserve">Sudáfrica</w:t>
            </w:r>
          </w:p>
        </w:tc>
        <w:tc>
          <w:tcPr/>
          <w:p>
            <w:pPr>
              <w:pStyle w:val="Compact"/>
            </w:pPr>
            <w:r>
              <w:t xml:space="preserve">2,0%</w:t>
            </w:r>
          </w:p>
        </w:tc>
        <w:tc>
          <w:tcPr/>
          <w:p>
            <w:pPr>
              <w:pStyle w:val="Compact"/>
            </w:pPr>
            <w:r>
              <w:t xml:space="preserve">Cultivo</w:t>
            </w:r>
          </w:p>
        </w:tc>
        <w:tc>
          <w:tcPr/>
          <w:p>
            <w:pPr>
              <w:pStyle w:val="Compact"/>
            </w:pPr>
            <w:r>
              <w:t xml:space="preserve">Plant Improvement Act 2018 + Reglamentos 2025</w:t>
            </w:r>
          </w:p>
        </w:tc>
        <w:tc>
          <w:tcPr/>
          <w:p>
            <w:pPr>
              <w:pStyle w:val="Compact"/>
            </w:pPr>
            <w:r>
              <w:t xml:space="preserve">1 dic 2025</w:t>
            </w:r>
          </w:p>
        </w:tc>
      </w:tr>
      <w:tr>
        <w:tc>
          <w:tcPr/>
          <w:p>
            <w:pPr>
              <w:pStyle w:val="Compact"/>
            </w:pPr>
            <w:r>
              <w:rPr>
                <w:b/>
                <w:bCs/>
              </w:rPr>
              <w:t xml:space="preserve">Suiza</w:t>
            </w:r>
          </w:p>
        </w:tc>
        <w:tc>
          <w:tcPr/>
          <w:p>
            <w:pPr>
              <w:pStyle w:val="Compact"/>
            </w:pPr>
            <w:r>
              <w:t xml:space="preserve">1,0%</w:t>
            </w:r>
          </w:p>
        </w:tc>
        <w:tc>
          <w:tcPr/>
          <w:p>
            <w:pPr>
              <w:pStyle w:val="Compact"/>
            </w:pPr>
            <w:r>
              <w:t xml:space="preserve">Cultivo y productos</w:t>
            </w:r>
          </w:p>
        </w:tc>
        <w:tc>
          <w:tcPr/>
          <w:p>
            <w:pPr>
              <w:pStyle w:val="Compact"/>
            </w:pPr>
            <w:r>
              <w:t xml:space="preserve">Ley de Estupefacientes (LStup)</w:t>
            </w:r>
          </w:p>
        </w:tc>
        <w:tc>
          <w:tcPr/>
          <w:p>
            <w:pPr>
              <w:pStyle w:val="Compact"/>
            </w:pPr>
            <w:r>
              <w:t xml:space="preserve">~2011</w:t>
            </w:r>
          </w:p>
        </w:tc>
      </w:tr>
      <w:tr>
        <w:tc>
          <w:tcPr/>
          <w:p>
            <w:pPr>
              <w:pStyle w:val="Compact"/>
            </w:pPr>
            <w:r>
              <w:rPr>
                <w:b/>
                <w:bCs/>
              </w:rPr>
              <w:t xml:space="preserve">República Checa</w:t>
            </w:r>
          </w:p>
        </w:tc>
        <w:tc>
          <w:tcPr/>
          <w:p>
            <w:pPr>
              <w:pStyle w:val="Compact"/>
            </w:pPr>
            <w:r>
              <w:t xml:space="preserve">1,0%</w:t>
            </w:r>
          </w:p>
        </w:tc>
        <w:tc>
          <w:tcPr/>
          <w:p>
            <w:pPr>
              <w:pStyle w:val="Compact"/>
            </w:pPr>
            <w:r>
              <w:t xml:space="preserve">Cultivo y retail</w:t>
            </w:r>
          </w:p>
        </w:tc>
        <w:tc>
          <w:tcPr/>
          <w:p>
            <w:pPr>
              <w:pStyle w:val="Compact"/>
            </w:pPr>
            <w:r>
              <w:t xml:space="preserve">Ley Sustancias Psicomodulatorias</w:t>
            </w:r>
          </w:p>
        </w:tc>
        <w:tc>
          <w:tcPr/>
          <w:p>
            <w:pPr>
              <w:pStyle w:val="Compact"/>
            </w:pPr>
            <w:r>
              <w:t xml:space="preserve">1 ene 2025</w:t>
            </w:r>
          </w:p>
        </w:tc>
      </w:tr>
      <w:tr>
        <w:tc>
          <w:tcPr/>
          <w:p>
            <w:pPr>
              <w:pStyle w:val="Compact"/>
            </w:pPr>
            <w:r>
              <w:rPr>
                <w:b/>
                <w:bCs/>
              </w:rPr>
              <w:t xml:space="preserve">Chile</w:t>
            </w:r>
          </w:p>
        </w:tc>
        <w:tc>
          <w:tcPr/>
          <w:p>
            <w:pPr>
              <w:pStyle w:val="Compact"/>
            </w:pPr>
            <w:r>
              <w:t xml:space="preserve">&lt;1,0%</w:t>
            </w:r>
          </w:p>
        </w:tc>
        <w:tc>
          <w:tcPr/>
          <w:p>
            <w:pPr>
              <w:pStyle w:val="Compact"/>
            </w:pPr>
            <w:r>
              <w:t xml:space="preserve">Exclusión control estupefacientes</w:t>
            </w:r>
          </w:p>
        </w:tc>
        <w:tc>
          <w:tcPr/>
          <w:p>
            <w:pPr>
              <w:pStyle w:val="Compact"/>
            </w:pPr>
            <w:r>
              <w:t xml:space="preserve">Ley 20.000 + criterio SAG/ISP</w:t>
            </w:r>
          </w:p>
        </w:tc>
        <w:tc>
          <w:tcPr/>
          <w:p>
            <w:pPr>
              <w:pStyle w:val="Compact"/>
            </w:pPr>
            <w:r>
              <w:t xml:space="preserve">2021</w:t>
            </w:r>
          </w:p>
        </w:tc>
      </w:tr>
      <w:tr>
        <w:tc>
          <w:tcPr/>
          <w:p>
            <w:pPr>
              <w:pStyle w:val="Compact"/>
            </w:pPr>
            <w:r>
              <w:rPr>
                <w:b/>
                <w:bCs/>
              </w:rPr>
              <w:t xml:space="preserve">Uruguay</w:t>
            </w:r>
          </w:p>
        </w:tc>
        <w:tc>
          <w:tcPr/>
          <w:p>
            <w:pPr>
              <w:pStyle w:val="Compact"/>
            </w:pPr>
            <w:r>
              <w:t xml:space="preserve">1,0%</w:t>
            </w:r>
          </w:p>
        </w:tc>
        <w:tc>
          <w:tcPr/>
          <w:p>
            <w:pPr>
              <w:pStyle w:val="Compact"/>
            </w:pPr>
            <w:r>
              <w:t xml:space="preserve">Cultivo y partes de planta</w:t>
            </w:r>
          </w:p>
        </w:tc>
        <w:tc>
          <w:tcPr/>
          <w:p>
            <w:pPr>
              <w:pStyle w:val="Compact"/>
            </w:pPr>
            <w:r>
              <w:t xml:space="preserve">Ley 19.172 + Decreto 372/2014</w:t>
            </w:r>
          </w:p>
        </w:tc>
        <w:tc>
          <w:tcPr/>
          <w:p>
            <w:pPr>
              <w:pStyle w:val="Compact"/>
            </w:pPr>
            <w:r>
              <w:t xml:space="preserve">dic 2013</w:t>
            </w:r>
          </w:p>
        </w:tc>
      </w:tr>
      <w:tr>
        <w:tc>
          <w:tcPr/>
          <w:p>
            <w:pPr>
              <w:pStyle w:val="Compact"/>
            </w:pPr>
            <w:r>
              <w:rPr>
                <w:b/>
                <w:bCs/>
              </w:rPr>
              <w:t xml:space="preserve">Ecuador</w:t>
            </w:r>
          </w:p>
        </w:tc>
        <w:tc>
          <w:tcPr/>
          <w:p>
            <w:pPr>
              <w:pStyle w:val="Compact"/>
            </w:pPr>
            <w:r>
              <w:t xml:space="preserve">1,0%</w:t>
            </w:r>
          </w:p>
        </w:tc>
        <w:tc>
          <w:tcPr/>
          <w:p>
            <w:pPr>
              <w:pStyle w:val="Compact"/>
            </w:pPr>
            <w:r>
              <w:t xml:space="preserve">Cannabis no psicoactivo</w:t>
            </w:r>
          </w:p>
        </w:tc>
        <w:tc>
          <w:tcPr/>
          <w:p>
            <w:pPr>
              <w:pStyle w:val="Compact"/>
            </w:pPr>
            <w:r>
              <w:t xml:space="preserve">COIP + Acuerdo Min. 109-2020</w:t>
            </w:r>
          </w:p>
        </w:tc>
        <w:tc>
          <w:tcPr/>
          <w:p>
            <w:pPr>
              <w:pStyle w:val="Compact"/>
            </w:pPr>
            <w:r>
              <w:t xml:space="preserve">2020</w:t>
            </w:r>
          </w:p>
        </w:tc>
      </w:tr>
      <w:tr>
        <w:tc>
          <w:tcPr/>
          <w:p>
            <w:pPr>
              <w:pStyle w:val="Compact"/>
            </w:pPr>
            <w:r>
              <w:rPr>
                <w:b/>
                <w:bCs/>
              </w:rPr>
              <w:t xml:space="preserve">Colombia</w:t>
            </w:r>
          </w:p>
        </w:tc>
        <w:tc>
          <w:tcPr/>
          <w:p>
            <w:pPr>
              <w:pStyle w:val="Compact"/>
            </w:pPr>
            <w:r>
              <w:t xml:space="preserve">1,0%</w:t>
            </w:r>
          </w:p>
        </w:tc>
        <w:tc>
          <w:tcPr/>
          <w:p>
            <w:pPr>
              <w:pStyle w:val="Compact"/>
            </w:pPr>
            <w:r>
              <w:t xml:space="preserve">Derivados procesados</w:t>
            </w:r>
          </w:p>
        </w:tc>
        <w:tc>
          <w:tcPr/>
          <w:p>
            <w:pPr>
              <w:pStyle w:val="Compact"/>
            </w:pPr>
            <w:r>
              <w:t xml:space="preserve">Ley 1787/2016 + Decreto 613/2017</w:t>
            </w:r>
          </w:p>
        </w:tc>
        <w:tc>
          <w:tcPr/>
          <w:p>
            <w:pPr>
              <w:pStyle w:val="Compact"/>
            </w:pPr>
            <w:r>
              <w:t xml:space="preserve">2016-2017</w:t>
            </w:r>
          </w:p>
        </w:tc>
      </w:tr>
      <w:tr>
        <w:tc>
          <w:tcPr/>
          <w:p>
            <w:pPr>
              <w:pStyle w:val="Compact"/>
            </w:pPr>
            <w:r>
              <w:rPr>
                <w:b/>
                <w:bCs/>
              </w:rPr>
              <w:t xml:space="preserve">Argentina</w:t>
            </w:r>
          </w:p>
        </w:tc>
        <w:tc>
          <w:tcPr/>
          <w:p>
            <w:pPr>
              <w:pStyle w:val="Compact"/>
            </w:pPr>
            <w:r>
              <w:t xml:space="preserve">1,0%</w:t>
            </w:r>
          </w:p>
        </w:tc>
        <w:tc>
          <w:tcPr/>
          <w:p>
            <w:pPr>
              <w:pStyle w:val="Compact"/>
            </w:pPr>
            <w:r>
              <w:t xml:space="preserve">Cáñamo industrial</w:t>
            </w:r>
          </w:p>
        </w:tc>
        <w:tc>
          <w:tcPr/>
          <w:p>
            <w:pPr>
              <w:pStyle w:val="Compact"/>
            </w:pPr>
            <w:r>
              <w:t xml:space="preserve">Ley 27.669 + Decreto 405/2023</w:t>
            </w:r>
          </w:p>
        </w:tc>
        <w:tc>
          <w:tcPr/>
          <w:p>
            <w:pPr>
              <w:pStyle w:val="Compact"/>
            </w:pPr>
            <w:r>
              <w:t xml:space="preserve">2022-2023</w:t>
            </w:r>
          </w:p>
        </w:tc>
      </w:tr>
      <w:tr>
        <w:tc>
          <w:tcPr/>
          <w:p>
            <w:pPr>
              <w:pStyle w:val="Compact"/>
            </w:pPr>
            <w:r>
              <w:rPr>
                <w:b/>
                <w:bCs/>
              </w:rPr>
              <w:t xml:space="preserve">México</w:t>
            </w:r>
          </w:p>
        </w:tc>
        <w:tc>
          <w:tcPr/>
          <w:p>
            <w:pPr>
              <w:pStyle w:val="Compact"/>
            </w:pPr>
            <w:r>
              <w:t xml:space="preserve">1,0%</w:t>
            </w:r>
          </w:p>
        </w:tc>
        <w:tc>
          <w:tcPr/>
          <w:p>
            <w:pPr>
              <w:pStyle w:val="Compact"/>
            </w:pPr>
            <w:r>
              <w:t xml:space="preserve">Productos industriales</w:t>
            </w:r>
          </w:p>
        </w:tc>
        <w:tc>
          <w:tcPr/>
          <w:p>
            <w:pPr>
              <w:pStyle w:val="Compact"/>
            </w:pPr>
            <w:r>
              <w:t xml:space="preserve">Ley General de Salud Art. 245</w:t>
            </w:r>
          </w:p>
        </w:tc>
        <w:tc>
          <w:tcPr/>
          <w:p>
            <w:pPr>
              <w:pStyle w:val="Compact"/>
            </w:pPr>
            <w:r>
              <w:t xml:space="preserve">2017</w:t>
            </w:r>
          </w:p>
        </w:tc>
      </w:tr>
      <w:tr>
        <w:tc>
          <w:tcPr/>
          <w:p>
            <w:pPr>
              <w:pStyle w:val="Compact"/>
            </w:pPr>
            <w:r>
              <w:rPr>
                <w:b/>
                <w:bCs/>
              </w:rPr>
              <w:t xml:space="preserve">Perú</w:t>
            </w:r>
          </w:p>
        </w:tc>
        <w:tc>
          <w:tcPr/>
          <w:p>
            <w:pPr>
              <w:pStyle w:val="Compact"/>
            </w:pPr>
            <w:r>
              <w:t xml:space="preserve">1,0%</w:t>
            </w:r>
          </w:p>
        </w:tc>
        <w:tc>
          <w:tcPr/>
          <w:p>
            <w:pPr>
              <w:pStyle w:val="Compact"/>
            </w:pPr>
            <w:r>
              <w:t xml:space="preserve">Cáñamo industrial</w:t>
            </w:r>
          </w:p>
        </w:tc>
        <w:tc>
          <w:tcPr/>
          <w:p>
            <w:pPr>
              <w:pStyle w:val="Compact"/>
            </w:pPr>
            <w:r>
              <w:t xml:space="preserve">Ley 32195</w:t>
            </w:r>
          </w:p>
        </w:tc>
        <w:tc>
          <w:tcPr/>
          <w:p>
            <w:pPr>
              <w:pStyle w:val="Compact"/>
            </w:pPr>
            <w:r>
              <w:t xml:space="preserve">dic 2024</w:t>
            </w:r>
          </w:p>
        </w:tc>
      </w:tr>
      <w:tr>
        <w:tc>
          <w:tcPr/>
          <w:p>
            <w:pPr>
              <w:pStyle w:val="Compact"/>
            </w:pPr>
            <w:r>
              <w:rPr>
                <w:b/>
                <w:bCs/>
              </w:rPr>
              <w:t xml:space="preserve">Costa Rica</w:t>
            </w:r>
          </w:p>
        </w:tc>
        <w:tc>
          <w:tcPr/>
          <w:p>
            <w:pPr>
              <w:pStyle w:val="Compact"/>
            </w:pPr>
            <w:r>
              <w:t xml:space="preserve">1,0%</w:t>
            </w:r>
          </w:p>
        </w:tc>
        <w:tc>
          <w:tcPr/>
          <w:p>
            <w:pPr>
              <w:pStyle w:val="Compact"/>
            </w:pPr>
            <w:r>
              <w:t xml:space="preserve">Cáñamo industrial</w:t>
            </w:r>
          </w:p>
        </w:tc>
        <w:tc>
          <w:tcPr/>
          <w:p>
            <w:pPr>
              <w:pStyle w:val="Compact"/>
            </w:pPr>
            <w:r>
              <w:t xml:space="preserve">Ley 10113 + RTCR 515:2024</w:t>
            </w:r>
          </w:p>
        </w:tc>
        <w:tc>
          <w:tcPr/>
          <w:p>
            <w:pPr>
              <w:pStyle w:val="Compact"/>
            </w:pPr>
            <w:r>
              <w:t xml:space="preserve">2022</w:t>
            </w:r>
          </w:p>
        </w:tc>
      </w:tr>
      <w:tr>
        <w:tc>
          <w:tcPr/>
          <w:p>
            <w:pPr>
              <w:pStyle w:val="Compact"/>
            </w:pPr>
            <w:r>
              <w:rPr>
                <w:b/>
                <w:bCs/>
              </w:rPr>
              <w:t xml:space="preserve">Panamá</w:t>
            </w:r>
          </w:p>
        </w:tc>
        <w:tc>
          <w:tcPr/>
          <w:p>
            <w:pPr>
              <w:pStyle w:val="Compact"/>
            </w:pPr>
            <w:r>
              <w:t xml:space="preserve">1,0%</w:t>
            </w:r>
          </w:p>
        </w:tc>
        <w:tc>
          <w:tcPr/>
          <w:p>
            <w:pPr>
              <w:pStyle w:val="Compact"/>
            </w:pPr>
            <w:r>
              <w:t xml:space="preserve">Cáñamo industrial</w:t>
            </w:r>
          </w:p>
        </w:tc>
        <w:tc>
          <w:tcPr/>
          <w:p>
            <w:pPr>
              <w:pStyle w:val="Compact"/>
            </w:pPr>
            <w:r>
              <w:t xml:space="preserve">Ley 464</w:t>
            </w:r>
          </w:p>
        </w:tc>
        <w:tc>
          <w:tcPr/>
          <w:p>
            <w:pPr>
              <w:pStyle w:val="Compact"/>
            </w:pPr>
            <w:r>
              <w:t xml:space="preserve">marzo 2025</w:t>
            </w:r>
          </w:p>
        </w:tc>
      </w:tr>
      <w:tr>
        <w:tc>
          <w:tcPr/>
          <w:p>
            <w:pPr>
              <w:pStyle w:val="Compact"/>
            </w:pPr>
            <w:r>
              <w:rPr>
                <w:b/>
                <w:bCs/>
              </w:rPr>
              <w:t xml:space="preserve">Jamaica</w:t>
            </w:r>
          </w:p>
        </w:tc>
        <w:tc>
          <w:tcPr/>
          <w:p>
            <w:pPr>
              <w:pStyle w:val="Compact"/>
            </w:pPr>
            <w:r>
              <w:t xml:space="preserve">&lt;1,0%</w:t>
            </w:r>
          </w:p>
        </w:tc>
        <w:tc>
          <w:tcPr/>
          <w:p>
            <w:pPr>
              <w:pStyle w:val="Compact"/>
            </w:pPr>
            <w:r>
              <w:t xml:space="preserve">Definición legal hemp</w:t>
            </w:r>
          </w:p>
        </w:tc>
        <w:tc>
          <w:tcPr/>
          <w:p>
            <w:pPr>
              <w:pStyle w:val="Compact"/>
            </w:pPr>
            <w:r>
              <w:t xml:space="preserve">Dangerous Drugs (Amendment) Act 2015</w:t>
            </w:r>
          </w:p>
        </w:tc>
        <w:tc>
          <w:tcPr/>
          <w:p>
            <w:pPr>
              <w:pStyle w:val="Compact"/>
            </w:pPr>
            <w:r>
              <w:t xml:space="preserve">abr 2015</w:t>
            </w:r>
          </w:p>
        </w:tc>
      </w:tr>
      <w:tr>
        <w:tc>
          <w:tcPr/>
          <w:p>
            <w:pPr>
              <w:pStyle w:val="Compact"/>
            </w:pPr>
            <w:r>
              <w:rPr>
                <w:b/>
                <w:bCs/>
              </w:rPr>
              <w:t xml:space="preserve">Fiyi</w:t>
            </w:r>
          </w:p>
        </w:tc>
        <w:tc>
          <w:tcPr/>
          <w:p>
            <w:pPr>
              <w:pStyle w:val="Compact"/>
            </w:pPr>
            <w:r>
              <w:t xml:space="preserve">1,0%</w:t>
            </w:r>
          </w:p>
        </w:tc>
        <w:tc>
          <w:tcPr/>
          <w:p>
            <w:pPr>
              <w:pStyle w:val="Compact"/>
            </w:pPr>
            <w:r>
              <w:t xml:space="preserve">Cultivo y productos</w:t>
            </w:r>
          </w:p>
        </w:tc>
        <w:tc>
          <w:tcPr/>
          <w:p>
            <w:pPr>
              <w:pStyle w:val="Compact"/>
            </w:pPr>
            <w:r>
              <w:t xml:space="preserve">Illicit Drugs Control Act 2022</w:t>
            </w:r>
          </w:p>
        </w:tc>
        <w:tc>
          <w:tcPr/>
          <w:p>
            <w:pPr>
              <w:pStyle w:val="Compact"/>
            </w:pPr>
            <w:r>
              <w:t xml:space="preserve">jul 2022</w:t>
            </w:r>
          </w:p>
        </w:tc>
      </w:tr>
      <w:tr>
        <w:tc>
          <w:tcPr/>
          <w:p>
            <w:pPr>
              <w:pStyle w:val="Compact"/>
            </w:pPr>
            <w:r>
              <w:rPr>
                <w:b/>
                <w:bCs/>
              </w:rPr>
              <w:t xml:space="preserve">Nueva Zelanda</w:t>
            </w:r>
          </w:p>
        </w:tc>
        <w:tc>
          <w:tcPr/>
          <w:p>
            <w:pPr>
              <w:pStyle w:val="Compact"/>
            </w:pPr>
            <w:r>
              <w:t xml:space="preserve">&lt;1,0%</w:t>
            </w:r>
          </w:p>
        </w:tc>
        <w:tc>
          <w:tcPr/>
          <w:p>
            <w:pPr>
              <w:pStyle w:val="Compact"/>
            </w:pPr>
            <w:r>
              <w:t xml:space="preserve">Cultivo y productos</w:t>
            </w:r>
          </w:p>
        </w:tc>
        <w:tc>
          <w:tcPr/>
          <w:p>
            <w:pPr>
              <w:pStyle w:val="Compact"/>
            </w:pPr>
            <w:r>
              <w:t xml:space="preserve">Reforma diciembre 2025</w:t>
            </w:r>
          </w:p>
        </w:tc>
        <w:tc>
          <w:tcPr/>
          <w:p>
            <w:pPr>
              <w:pStyle w:val="Compact"/>
            </w:pPr>
            <w:r>
              <w:t xml:space="preserve">dic 2025</w:t>
            </w:r>
          </w:p>
        </w:tc>
      </w:tr>
      <w:tr>
        <w:tc>
          <w:tcPr/>
          <w:p>
            <w:pPr>
              <w:pStyle w:val="Compact"/>
            </w:pPr>
            <w:r>
              <w:rPr>
                <w:b/>
                <w:bCs/>
              </w:rPr>
              <w:t xml:space="preserve">Marruecos</w:t>
            </w:r>
          </w:p>
        </w:tc>
        <w:tc>
          <w:tcPr/>
          <w:p>
            <w:pPr>
              <w:pStyle w:val="Compact"/>
            </w:pPr>
            <w:r>
              <w:t xml:space="preserve">1,0%</w:t>
            </w:r>
          </w:p>
        </w:tc>
        <w:tc>
          <w:tcPr/>
          <w:p>
            <w:pPr>
              <w:pStyle w:val="Compact"/>
            </w:pPr>
            <w:r>
              <w:t xml:space="preserve">Cultivo industrial</w:t>
            </w:r>
          </w:p>
        </w:tc>
        <w:tc>
          <w:tcPr/>
          <w:p>
            <w:pPr>
              <w:pStyle w:val="Compact"/>
            </w:pPr>
            <w:r>
              <w:t xml:space="preserve">Ley 13-21 + ANRAC</w:t>
            </w:r>
          </w:p>
        </w:tc>
        <w:tc>
          <w:tcPr/>
          <w:p>
            <w:pPr>
              <w:pStyle w:val="Compact"/>
            </w:pPr>
            <w:r>
              <w:t xml:space="preserve">2021</w:t>
            </w:r>
          </w:p>
        </w:tc>
      </w:tr>
      <w:tr>
        <w:tc>
          <w:tcPr/>
          <w:p>
            <w:pPr>
              <w:pStyle w:val="Compact"/>
            </w:pPr>
            <w:r>
              <w:rPr>
                <w:b/>
                <w:bCs/>
              </w:rPr>
              <w:t xml:space="preserve">Líbano</w:t>
            </w:r>
          </w:p>
        </w:tc>
        <w:tc>
          <w:tcPr/>
          <w:p>
            <w:pPr>
              <w:pStyle w:val="Compact"/>
            </w:pPr>
            <w:r>
              <w:t xml:space="preserve">&lt;1,0%</w:t>
            </w:r>
          </w:p>
        </w:tc>
        <w:tc>
          <w:tcPr/>
          <w:p>
            <w:pPr>
              <w:pStyle w:val="Compact"/>
            </w:pPr>
            <w:r>
              <w:t xml:space="preserve">Cannabis industrial</w:t>
            </w:r>
          </w:p>
        </w:tc>
        <w:tc>
          <w:tcPr/>
          <w:p>
            <w:pPr>
              <w:pStyle w:val="Compact"/>
            </w:pPr>
            <w:r>
              <w:t xml:space="preserve">Ley 178/2020</w:t>
            </w:r>
          </w:p>
        </w:tc>
        <w:tc>
          <w:tcPr/>
          <w:p>
            <w:pPr>
              <w:pStyle w:val="Compact"/>
            </w:pPr>
            <w:r>
              <w:t xml:space="preserve">abr 2020</w:t>
            </w:r>
          </w:p>
        </w:tc>
      </w:tr>
      <w:tr>
        <w:tc>
          <w:tcPr/>
          <w:p>
            <w:pPr>
              <w:pStyle w:val="Compact"/>
            </w:pPr>
            <w:r>
              <w:rPr>
                <w:b/>
                <w:bCs/>
              </w:rPr>
              <w:t xml:space="preserve">Malawi</w:t>
            </w:r>
          </w:p>
        </w:tc>
        <w:tc>
          <w:tcPr/>
          <w:p>
            <w:pPr>
              <w:pStyle w:val="Compact"/>
            </w:pPr>
            <w:r>
              <w:t xml:space="preserve">1,0%</w:t>
            </w:r>
          </w:p>
        </w:tc>
        <w:tc>
          <w:tcPr/>
          <w:p>
            <w:pPr>
              <w:pStyle w:val="Compact"/>
            </w:pPr>
            <w:r>
              <w:t xml:space="preserve">Cáñamo industrial</w:t>
            </w:r>
          </w:p>
        </w:tc>
        <w:tc>
          <w:tcPr/>
          <w:p>
            <w:pPr>
              <w:pStyle w:val="Compact"/>
            </w:pPr>
            <w:r>
              <w:t xml:space="preserve">Cannabis Regulation Act 2020</w:t>
            </w:r>
          </w:p>
        </w:tc>
        <w:tc>
          <w:tcPr/>
          <w:p>
            <w:pPr>
              <w:pStyle w:val="Compact"/>
            </w:pPr>
            <w:r>
              <w:t xml:space="preserve">mayo 2020</w:t>
            </w:r>
          </w:p>
        </w:tc>
      </w:tr>
      <w:tr>
        <w:tc>
          <w:tcPr/>
          <w:p>
            <w:pPr>
              <w:pStyle w:val="Compact"/>
            </w:pPr>
            <w:r>
              <w:rPr>
                <w:b/>
                <w:bCs/>
              </w:rPr>
              <w:t xml:space="preserve">Zimbabue</w:t>
            </w:r>
          </w:p>
        </w:tc>
        <w:tc>
          <w:tcPr/>
          <w:p>
            <w:pPr>
              <w:pStyle w:val="Compact"/>
            </w:pPr>
            <w:r>
              <w:t xml:space="preserve">1,0%</w:t>
            </w:r>
          </w:p>
        </w:tc>
        <w:tc>
          <w:tcPr/>
          <w:p>
            <w:pPr>
              <w:pStyle w:val="Compact"/>
            </w:pPr>
            <w:r>
              <w:t xml:space="preserve">Cáñamo industrial</w:t>
            </w:r>
          </w:p>
        </w:tc>
        <w:tc>
          <w:tcPr/>
          <w:p>
            <w:pPr>
              <w:pStyle w:val="Compact"/>
            </w:pPr>
            <w:r>
              <w:t xml:space="preserve">Criminal Law Amendment Bill</w:t>
            </w:r>
          </w:p>
        </w:tc>
        <w:tc>
          <w:tcPr/>
          <w:p>
            <w:pPr>
              <w:pStyle w:val="Compact"/>
            </w:pPr>
            <w:r>
              <w:t xml:space="preserve">feb 2023</w:t>
            </w:r>
          </w:p>
        </w:tc>
      </w:tr>
    </w:tbl>
    <w:bookmarkEnd w:id="61"/>
    <w:bookmarkStart w:id="62" w:name="b.2-países-con-umbral-05-08-thc"/>
    <w:p>
      <w:pPr>
        <w:pStyle w:val="Heading3"/>
      </w:pPr>
      <w:r>
        <w:t xml:space="preserve">B.2 Países con umbral 0,5-0,8% THC</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1485"/>
        <w:gridCol w:w="2722"/>
        <w:gridCol w:w="1980"/>
        <w:gridCol w:w="1732"/>
      </w:tblGrid>
      <w:tr>
        <w:trPr>
          <w:tblHeader w:val="on"/>
        </w:trPr>
        <w:tc>
          <w:tcPr/>
          <w:p>
            <w:pPr>
              <w:pStyle w:val="Compact"/>
            </w:pPr>
            <w:r>
              <w:t xml:space="preserve">País</w:t>
            </w:r>
          </w:p>
        </w:tc>
        <w:tc>
          <w:tcPr/>
          <w:p>
            <w:pPr>
              <w:pStyle w:val="Compact"/>
            </w:pPr>
            <w:r>
              <w:t xml:space="preserve">Umbral THC</w:t>
            </w:r>
          </w:p>
        </w:tc>
        <w:tc>
          <w:tcPr/>
          <w:p>
            <w:pPr>
              <w:pStyle w:val="Compact"/>
            </w:pPr>
            <w:r>
              <w:t xml:space="preserve">Ámbito</w:t>
            </w:r>
          </w:p>
        </w:tc>
        <w:tc>
          <w:tcPr/>
          <w:p>
            <w:pPr>
              <w:pStyle w:val="Compact"/>
            </w:pPr>
            <w:r>
              <w:t xml:space="preserve">Norma</w:t>
            </w:r>
          </w:p>
        </w:tc>
      </w:tr>
      <w:tr>
        <w:tc>
          <w:tcPr/>
          <w:p>
            <w:pPr>
              <w:pStyle w:val="Compact"/>
            </w:pPr>
            <w:r>
              <w:rPr>
                <w:b/>
                <w:bCs/>
              </w:rPr>
              <w:t xml:space="preserve">Albania</w:t>
            </w:r>
          </w:p>
        </w:tc>
        <w:tc>
          <w:tcPr/>
          <w:p>
            <w:pPr>
              <w:pStyle w:val="Compact"/>
            </w:pPr>
            <w:r>
              <w:t xml:space="preserve">0,8%</w:t>
            </w:r>
          </w:p>
        </w:tc>
        <w:tc>
          <w:tcPr/>
          <w:p>
            <w:pPr>
              <w:pStyle w:val="Compact"/>
            </w:pPr>
            <w:r>
              <w:t xml:space="preserve">Cáñamo industrial</w:t>
            </w:r>
          </w:p>
        </w:tc>
        <w:tc>
          <w:tcPr/>
          <w:p>
            <w:pPr>
              <w:pStyle w:val="Compact"/>
            </w:pPr>
            <w:r>
              <w:t xml:space="preserve">Cannabis Law 61/2023</w:t>
            </w:r>
          </w:p>
        </w:tc>
      </w:tr>
      <w:tr>
        <w:tc>
          <w:tcPr/>
          <w:p>
            <w:pPr>
              <w:pStyle w:val="Compact"/>
            </w:pPr>
            <w:r>
              <w:rPr>
                <w:b/>
                <w:bCs/>
              </w:rPr>
              <w:t xml:space="preserve">Australia</w:t>
            </w:r>
          </w:p>
        </w:tc>
        <w:tc>
          <w:tcPr/>
          <w:p>
            <w:pPr>
              <w:pStyle w:val="Compact"/>
            </w:pPr>
            <w:r>
              <w:t xml:space="preserve">0,5% siembra / 1,0% cosecha</w:t>
            </w:r>
          </w:p>
        </w:tc>
        <w:tc>
          <w:tcPr/>
          <w:p>
            <w:pPr>
              <w:pStyle w:val="Compact"/>
            </w:pPr>
            <w:r>
              <w:t xml:space="preserve">Sistema dual estatal</w:t>
            </w:r>
          </w:p>
        </w:tc>
        <w:tc>
          <w:tcPr/>
          <w:p>
            <w:pPr>
              <w:pStyle w:val="Compact"/>
            </w:pPr>
            <w:r>
              <w:t xml:space="preserve">Legislación por estados</w:t>
            </w:r>
          </w:p>
        </w:tc>
      </w:tr>
      <w:tr>
        <w:tc>
          <w:tcPr/>
          <w:p>
            <w:pPr>
              <w:pStyle w:val="Compact"/>
            </w:pPr>
            <w:r>
              <w:rPr>
                <w:b/>
                <w:bCs/>
              </w:rPr>
              <w:t xml:space="preserve">Paraguay</w:t>
            </w:r>
          </w:p>
        </w:tc>
        <w:tc>
          <w:tcPr/>
          <w:p>
            <w:pPr>
              <w:pStyle w:val="Compact"/>
            </w:pPr>
            <w:r>
              <w:t xml:space="preserve">0,5%</w:t>
            </w:r>
          </w:p>
        </w:tc>
        <w:tc>
          <w:tcPr/>
          <w:p>
            <w:pPr>
              <w:pStyle w:val="Compact"/>
            </w:pPr>
            <w:r>
              <w:t xml:space="preserve">Cáñamo industrial</w:t>
            </w:r>
          </w:p>
        </w:tc>
        <w:tc>
          <w:tcPr/>
          <w:p>
            <w:pPr>
              <w:pStyle w:val="Compact"/>
            </w:pPr>
            <w:r>
              <w:t xml:space="preserve">Decreto 2725/2019</w:t>
            </w:r>
          </w:p>
        </w:tc>
      </w:tr>
    </w:tbl>
    <w:bookmarkEnd w:id="62"/>
    <w:bookmarkStart w:id="63" w:name="X733e2460c8357b0f7aad9143988ed1fae8e9fc5"/>
    <w:p>
      <w:pPr>
        <w:pStyle w:val="Heading3"/>
      </w:pPr>
      <w:r>
        <w:t xml:space="preserve">B.3 Casos especiales: producto vs. cultivo</w:t>
      </w:r>
    </w:p>
    <w:tbl>
      <w:tblPr>
        <w:tblStyle w:val="Table"/>
        <w:tblW w:type="pct" w:w="5000"/>
        <w:tblLayout w:type="fixed"/>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1056"/>
        <w:gridCol w:w="2640"/>
        <w:gridCol w:w="2992"/>
        <w:gridCol w:w="1232"/>
      </w:tblGrid>
      <w:tr>
        <w:trPr>
          <w:tblHeader w:val="on"/>
        </w:trPr>
        <w:tc>
          <w:tcPr/>
          <w:p>
            <w:pPr>
              <w:pStyle w:val="Compact"/>
            </w:pPr>
            <w:r>
              <w:t xml:space="preserve">País</w:t>
            </w:r>
          </w:p>
        </w:tc>
        <w:tc>
          <w:tcPr/>
          <w:p>
            <w:pPr>
              <w:pStyle w:val="Compact"/>
            </w:pPr>
            <w:r>
              <w:t xml:space="preserve">Umbral cultivo</w:t>
            </w:r>
          </w:p>
        </w:tc>
        <w:tc>
          <w:tcPr/>
          <w:p>
            <w:pPr>
              <w:pStyle w:val="Compact"/>
            </w:pPr>
            <w:r>
              <w:t xml:space="preserve">Umbral producto</w:t>
            </w:r>
          </w:p>
        </w:tc>
        <w:tc>
          <w:tcPr/>
          <w:p>
            <w:pPr>
              <w:pStyle w:val="Compact"/>
            </w:pPr>
            <w:r>
              <w:t xml:space="preserve">Norma</w:t>
            </w:r>
          </w:p>
        </w:tc>
      </w:tr>
      <w:tr>
        <w:tc>
          <w:tcPr/>
          <w:p>
            <w:pPr>
              <w:pStyle w:val="Compact"/>
            </w:pPr>
            <w:r>
              <w:rPr>
                <w:b/>
                <w:bCs/>
              </w:rPr>
              <w:t xml:space="preserve">Luxemburgo</w:t>
            </w:r>
          </w:p>
        </w:tc>
        <w:tc>
          <w:tcPr/>
          <w:p>
            <w:pPr>
              <w:pStyle w:val="Compact"/>
            </w:pPr>
            <w:r>
              <w:t xml:space="preserve">0,3% (estándar UE)</w:t>
            </w:r>
          </w:p>
        </w:tc>
        <w:tc>
          <w:tcPr/>
          <w:p>
            <w:pPr>
              <w:pStyle w:val="Compact"/>
            </w:pPr>
            <w:r>
              <w:t xml:space="preserve">1,0% (sustitutos tabaco)</w:t>
            </w:r>
          </w:p>
        </w:tc>
        <w:tc>
          <w:tcPr/>
          <w:p>
            <w:pPr>
              <w:pStyle w:val="Compact"/>
            </w:pPr>
            <w:r>
              <w:t xml:space="preserve">Tobacco Control Act</w:t>
            </w:r>
          </w:p>
        </w:tc>
      </w:tr>
    </w:tbl>
    <w:p>
      <w:r>
        <w:pict>
          <v:rect style="width:0;height:1.5pt" o:hralign="center" o:hrstd="t" o:hr="t"/>
        </w:pict>
      </w:r>
    </w:p>
    <w:bookmarkEnd w:id="63"/>
    <w:bookmarkEnd w:id="64"/>
    <w:bookmarkStart w:id="69" w:name="anexo-c-texto-enmienda-propuesta"/>
    <w:p>
      <w:pPr>
        <w:pStyle w:val="Heading2"/>
      </w:pPr>
      <w:r>
        <w:t xml:space="preserve">ANEXO C: TEXTO ENMIENDA PROPUESTA</w:t>
      </w:r>
    </w:p>
    <w:bookmarkStart w:id="65" w:name="c.1-enmienda-pac-com2025-560"/>
    <w:p>
      <w:pPr>
        <w:pStyle w:val="Heading3"/>
      </w:pPr>
      <w:r>
        <w:t xml:space="preserve">C.1 Enmienda PAC — COM(2025) 560</w:t>
      </w:r>
    </w:p>
    <w:p>
      <w:pPr>
        <w:pStyle w:val="FirstParagraph"/>
      </w:pPr>
      <w:r>
        <w:rPr>
          <w:b/>
          <w:bCs/>
        </w:rPr>
        <w:t xml:space="preserve">Artículo 5 — Tipos de ayuda</w:t>
      </w:r>
    </w:p>
    <w:p>
      <w:pPr>
        <w:pStyle w:val="BodyText"/>
      </w:pPr>
      <w:r>
        <w:rPr>
          <w:i/>
          <w:iCs/>
        </w:rPr>
        <w:t xml:space="preserve">Texto vigente propuesto por la Comisión:</w:t>
      </w:r>
      <w:r>
        <w:t xml:space="preserve"> </w:t>
      </w:r>
      <w:r>
        <w:t xml:space="preserve">&gt;</w:t>
      </w:r>
      <w:r>
        <w:t xml:space="preserve"> </w:t>
      </w:r>
      <w:r>
        <w:t xml:space="preserve">“La producción de variedades de cáñamo con un contenido de tetrahidrocannabinol (THC) superior al 0,3% no podrá optar a las ayudas en virtud del presente Reglamento.”</w:t>
      </w:r>
    </w:p>
    <w:p>
      <w:pPr>
        <w:pStyle w:val="BodyText"/>
      </w:pPr>
      <w:r>
        <w:rPr>
          <w:i/>
          <w:iCs/>
        </w:rPr>
        <w:t xml:space="preserve">Enmienda propuesta:</w:t>
      </w:r>
      <w:r>
        <w:t xml:space="preserve"> </w:t>
      </w:r>
      <w:r>
        <w:t xml:space="preserve">&gt;</w:t>
      </w:r>
      <w:r>
        <w:t xml:space="preserve"> </w:t>
      </w:r>
      <w:r>
        <w:t xml:space="preserve">“La producción de variedades de cáñamo con un contenido de tetrahidrocannabinol (THC) superior al</w:t>
      </w:r>
      <w:r>
        <w:t xml:space="preserve"> </w:t>
      </w:r>
      <w:r>
        <w:rPr>
          <w:b/>
          <w:bCs/>
        </w:rPr>
        <w:t xml:space="preserve">1,0%</w:t>
      </w:r>
      <w:r>
        <w:t xml:space="preserve"> </w:t>
      </w:r>
      <w:r>
        <w:t xml:space="preserve">no podrá optar a las ayudas en virtud del presente Reglamento.”</w:t>
      </w:r>
    </w:p>
    <w:p>
      <w:r>
        <w:pict>
          <v:rect style="width:0;height:1.5pt" o:hralign="center" o:hrstd="t" o:hr="t"/>
        </w:pict>
      </w:r>
    </w:p>
    <w:bookmarkEnd w:id="65"/>
    <w:bookmarkStart w:id="66" w:name="c.2-enmienda-ocm-com2025-553"/>
    <w:p>
      <w:pPr>
        <w:pStyle w:val="Heading3"/>
      </w:pPr>
      <w:r>
        <w:t xml:space="preserve">C.2 Enmienda OCM — COM(2025) 553</w:t>
      </w:r>
    </w:p>
    <w:p>
      <w:pPr>
        <w:pStyle w:val="FirstParagraph"/>
      </w:pPr>
      <w:r>
        <w:rPr>
          <w:b/>
          <w:bCs/>
        </w:rPr>
        <w:t xml:space="preserve">Artículo 147 ter — Producción de cáñamo</w:t>
      </w:r>
    </w:p>
    <w:p>
      <w:pPr>
        <w:pStyle w:val="BodyText"/>
      </w:pPr>
      <w:r>
        <w:t xml:space="preserve">En el apartado 1, sustitúyase</w:t>
      </w:r>
      <w:r>
        <w:t xml:space="preserve"> </w:t>
      </w:r>
      <w:r>
        <w:t xml:space="preserve">“0,3%”</w:t>
      </w:r>
      <w:r>
        <w:t xml:space="preserve"> </w:t>
      </w:r>
      <w:r>
        <w:t xml:space="preserve">por</w:t>
      </w:r>
      <w:r>
        <w:t xml:space="preserve"> </w:t>
      </w:r>
      <w:r>
        <w:t xml:space="preserve">“</w:t>
      </w:r>
      <w:r>
        <w:rPr>
          <w:b/>
          <w:bCs/>
        </w:rPr>
        <w:t xml:space="preserve">1,0%</w:t>
      </w:r>
      <w:r>
        <w:t xml:space="preserve">”</w:t>
      </w:r>
      <w:r>
        <w:t xml:space="preserve">.</w:t>
      </w:r>
    </w:p>
    <w:p>
      <w:pPr>
        <w:pStyle w:val="BodyText"/>
      </w:pPr>
      <w:r>
        <w:rPr>
          <w:b/>
          <w:bCs/>
        </w:rPr>
        <w:t xml:space="preserve">Artículo 147 quater — Comercialización de cáñamo</w:t>
      </w:r>
    </w:p>
    <w:p>
      <w:pPr>
        <w:pStyle w:val="BodyText"/>
      </w:pPr>
      <w:r>
        <w:t xml:space="preserve">En el apartado 1, letras a), b) y c), sustitúyase cada mención de</w:t>
      </w:r>
      <w:r>
        <w:t xml:space="preserve"> </w:t>
      </w:r>
      <w:r>
        <w:t xml:space="preserve">“0,3%”</w:t>
      </w:r>
      <w:r>
        <w:t xml:space="preserve"> </w:t>
      </w:r>
      <w:r>
        <w:t xml:space="preserve">por</w:t>
      </w:r>
      <w:r>
        <w:t xml:space="preserve"> </w:t>
      </w:r>
      <w:r>
        <w:t xml:space="preserve">“</w:t>
      </w:r>
      <w:r>
        <w:rPr>
          <w:b/>
          <w:bCs/>
        </w:rPr>
        <w:t xml:space="preserve">1,0%</w:t>
      </w:r>
      <w:r>
        <w:t xml:space="preserve">”</w:t>
      </w:r>
      <w:r>
        <w:t xml:space="preserve">.</w:t>
      </w:r>
    </w:p>
    <w:p>
      <w:pPr>
        <w:pStyle w:val="BodyText"/>
      </w:pPr>
      <w:r>
        <w:rPr>
          <w:b/>
          <w:bCs/>
        </w:rPr>
        <w:t xml:space="preserve">Artículo 189 — Importaciones de cáñamo</w:t>
      </w:r>
    </w:p>
    <w:p>
      <w:pPr>
        <w:pStyle w:val="BodyText"/>
      </w:pPr>
      <w:r>
        <w:t xml:space="preserve">En el apartado 1, letras a), b) y d), sustitúyase cada mención de</w:t>
      </w:r>
      <w:r>
        <w:t xml:space="preserve"> </w:t>
      </w:r>
      <w:r>
        <w:t xml:space="preserve">“0,3%”</w:t>
      </w:r>
      <w:r>
        <w:t xml:space="preserve"> </w:t>
      </w:r>
      <w:r>
        <w:t xml:space="preserve">por</w:t>
      </w:r>
      <w:r>
        <w:t xml:space="preserve"> </w:t>
      </w:r>
      <w:r>
        <w:t xml:space="preserve">“</w:t>
      </w:r>
      <w:r>
        <w:rPr>
          <w:b/>
          <w:bCs/>
        </w:rPr>
        <w:t xml:space="preserve">1,0%</w:t>
      </w:r>
      <w:r>
        <w:t xml:space="preserve">”</w:t>
      </w:r>
      <w:r>
        <w:t xml:space="preserve">.</w:t>
      </w:r>
    </w:p>
    <w:p>
      <w:r>
        <w:pict>
          <v:rect style="width:0;height:1.5pt" o:hralign="center" o:hrstd="t" o:hr="t"/>
        </w:pict>
      </w:r>
    </w:p>
    <w:bookmarkEnd w:id="66"/>
    <w:bookmarkStart w:id="67" w:name="Xbcec8e05c6c22b8df0a76fdfe488e597da686b0"/>
    <w:p>
      <w:pPr>
        <w:pStyle w:val="Heading3"/>
      </w:pPr>
      <w:r>
        <w:t xml:space="preserve">C.3 Cláusula técnica recomendada (nuevo apartado)</w:t>
      </w:r>
    </w:p>
    <w:p>
      <w:pPr>
        <w:pStyle w:val="FirstParagraph"/>
      </w:pPr>
      <w:r>
        <w:t xml:space="preserve">Añádase el siguiente apartado en ambos Reglamentos:</w:t>
      </w:r>
    </w:p>
    <w:p>
      <w:pPr>
        <w:pStyle w:val="BlockText"/>
      </w:pPr>
      <w:r>
        <w:rPr>
          <w:i/>
          <w:iCs/>
        </w:rPr>
        <w:t xml:space="preserve">«A efectos del presente Reglamento, el contenido de tetrahidrocannabinol (Δ9-THC) se determinará:</w:t>
      </w:r>
    </w:p>
    <w:p>
      <w:pPr>
        <w:pStyle w:val="BlockText"/>
      </w:pPr>
      <w:r>
        <w:rPr>
          <w:i/>
          <w:iCs/>
        </w:rPr>
        <w:t xml:space="preserve">(a) en base a materia seca (peso constante);</w:t>
      </w:r>
    </w:p>
    <w:p>
      <w:pPr>
        <w:pStyle w:val="BlockText"/>
      </w:pPr>
      <w:r>
        <w:rPr>
          <w:i/>
          <w:iCs/>
        </w:rPr>
        <w:t xml:space="preserve">(b) de conformidad con el método de la Unión establecido en el anexo III del Reglamento Delegado (UE) 2017/1155, o en el acto que lo sustituya;</w:t>
      </w:r>
    </w:p>
    <w:p>
      <w:pPr>
        <w:pStyle w:val="BlockText"/>
      </w:pPr>
      <w:r>
        <w:rPr>
          <w:i/>
          <w:iCs/>
        </w:rPr>
        <w:t xml:space="preserve">(c) mediante muestreo representativo realizado según el protocolo establecido en dicho Reglamento Delegado.»</w:t>
      </w:r>
    </w:p>
    <w:p>
      <w:r>
        <w:pict>
          <v:rect style="width:0;height:1.5pt" o:hralign="center" o:hrstd="t" o:hr="t"/>
        </w:pict>
      </w:r>
    </w:p>
    <w:bookmarkEnd w:id="67"/>
    <w:bookmarkStart w:id="68" w:name="c.4-justificación-técnica"/>
    <w:p>
      <w:pPr>
        <w:pStyle w:val="Heading3"/>
      </w:pPr>
      <w:r>
        <w:t xml:space="preserve">C.4 Justificación técnica</w:t>
      </w:r>
    </w:p>
    <w:tbl>
      <w:tblPr>
        <w:tblStyle w:val="Table"/>
        <w:tblW w:type="auto" w:w="0"/>
        <w:tblLook w:firstRow="1" w:lastRow="0" w:firstColumn="0" w:lastColumn="0" w:noHBand="0" w:noVBand="0" w:val="0020"/>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Grid>
        <w:gridCol w:w="3960"/>
        <w:gridCol w:w="3960"/>
      </w:tblGrid>
      <w:tr>
        <w:trPr>
          <w:tblHeader w:val="on"/>
        </w:trPr>
        <w:tc>
          <w:tcPr/>
          <w:p>
            <w:pPr>
              <w:pStyle w:val="Compact"/>
            </w:pPr>
            <w:r>
              <w:t xml:space="preserve">Aspecto</w:t>
            </w:r>
          </w:p>
        </w:tc>
        <w:tc>
          <w:tcPr/>
          <w:p>
            <w:pPr>
              <w:pStyle w:val="Compact"/>
            </w:pPr>
            <w:r>
              <w:t xml:space="preserve">Especificación</w:t>
            </w:r>
          </w:p>
        </w:tc>
      </w:tr>
      <w:tr>
        <w:tc>
          <w:tcPr/>
          <w:p>
            <w:pPr>
              <w:pStyle w:val="Compact"/>
            </w:pPr>
            <w:r>
              <w:rPr>
                <w:b/>
                <w:bCs/>
              </w:rPr>
              <w:t xml:space="preserve">THC medido</w:t>
            </w:r>
          </w:p>
        </w:tc>
        <w:tc>
          <w:tcPr/>
          <w:p>
            <w:pPr>
              <w:pStyle w:val="Compact"/>
            </w:pPr>
            <w:r>
              <w:t xml:space="preserve">Δ9-THC (delta-9-tetrahidrocannabinol)</w:t>
            </w:r>
          </w:p>
        </w:tc>
      </w:tr>
      <w:tr>
        <w:tc>
          <w:tcPr/>
          <w:p>
            <w:pPr>
              <w:pStyle w:val="Compact"/>
            </w:pPr>
            <w:r>
              <w:rPr>
                <w:b/>
                <w:bCs/>
              </w:rPr>
              <w:t xml:space="preserve">Base de cálculo</w:t>
            </w:r>
          </w:p>
        </w:tc>
        <w:tc>
          <w:tcPr/>
          <w:p>
            <w:pPr>
              <w:pStyle w:val="Compact"/>
            </w:pPr>
            <w:r>
              <w:t xml:space="preserve">Materia seca / peso constante</w:t>
            </w:r>
          </w:p>
        </w:tc>
      </w:tr>
      <w:tr>
        <w:tc>
          <w:tcPr/>
          <w:p>
            <w:pPr>
              <w:pStyle w:val="Compact"/>
            </w:pPr>
            <w:r>
              <w:rPr>
                <w:b/>
                <w:bCs/>
              </w:rPr>
              <w:t xml:space="preserve">Método analítico</w:t>
            </w:r>
          </w:p>
        </w:tc>
        <w:tc>
          <w:tcPr/>
          <w:p>
            <w:pPr>
              <w:pStyle w:val="Compact"/>
            </w:pPr>
            <w:r>
              <w:t xml:space="preserve">Anexo III, Reg. Delegado (UE) 2017/1155</w:t>
            </w:r>
          </w:p>
        </w:tc>
      </w:tr>
      <w:tr>
        <w:tc>
          <w:tcPr/>
          <w:p>
            <w:pPr>
              <w:pStyle w:val="Compact"/>
            </w:pPr>
            <w:r>
              <w:rPr>
                <w:b/>
                <w:bCs/>
              </w:rPr>
              <w:t xml:space="preserve">Muestreo</w:t>
            </w:r>
          </w:p>
        </w:tc>
        <w:tc>
          <w:tcPr/>
          <w:p>
            <w:pPr>
              <w:pStyle w:val="Compact"/>
            </w:pPr>
            <w:r>
              <w:t xml:space="preserve">30 cm superiores de la planta; protocolo UE</w:t>
            </w:r>
          </w:p>
        </w:tc>
      </w:tr>
      <w:tr>
        <w:tc>
          <w:tcPr/>
          <w:p>
            <w:pPr>
              <w:pStyle w:val="Compact"/>
            </w:pPr>
            <w:r>
              <w:rPr>
                <w:b/>
                <w:bCs/>
              </w:rPr>
              <w:t xml:space="preserve">Timing</w:t>
            </w:r>
          </w:p>
        </w:tc>
        <w:tc>
          <w:tcPr/>
          <w:p>
            <w:pPr>
              <w:pStyle w:val="Compact"/>
            </w:pPr>
            <w:r>
              <w:t xml:space="preserve">Entre inicio floración y 10 días post-floración</w:t>
            </w:r>
          </w:p>
        </w:tc>
      </w:tr>
    </w:tbl>
    <w:p>
      <w:r>
        <w:pict>
          <v:rect style="width:0;height:1.5pt" o:hralign="center" o:hrstd="t" o:hr="t"/>
        </w:pict>
      </w:r>
    </w:p>
    <w:bookmarkEnd w:id="68"/>
    <w:bookmarkEnd w:id="69"/>
    <w:bookmarkEnd w:id="70"/>
    <w:bookmarkStart w:id="76" w:name="referencias"/>
    <w:p>
      <w:pPr>
        <w:pStyle w:val="Heading1"/>
      </w:pPr>
      <w:r>
        <w:t xml:space="preserve">REFERENCIAS</w:t>
      </w:r>
    </w:p>
    <w:bookmarkStart w:id="71" w:name="referencias-científicas"/>
    <w:p>
      <w:pPr>
        <w:pStyle w:val="Heading2"/>
      </w:pPr>
      <w:r>
        <w:t xml:space="preserve">Referencias Científicas</w:t>
      </w:r>
    </w:p>
    <w:p>
      <w:pPr>
        <w:numPr>
          <w:ilvl w:val="0"/>
          <w:numId w:val="1014"/>
        </w:numPr>
      </w:pPr>
      <w:r>
        <w:t xml:space="preserve">Small E, Cronquist A. A practical and natural taxonomy for Cannabis.</w:t>
      </w:r>
      <w:r>
        <w:t xml:space="preserve"> </w:t>
      </w:r>
      <w:r>
        <w:rPr>
          <w:i/>
          <w:iCs/>
        </w:rPr>
        <w:t xml:space="preserve">Taxon</w:t>
      </w:r>
      <w:r>
        <w:t xml:space="preserve">. 1976;25(4):405-435. DOI: https://www.jstor.org/stable/1220524</w:t>
      </w:r>
    </w:p>
    <w:p>
      <w:pPr>
        <w:numPr>
          <w:ilvl w:val="0"/>
          <w:numId w:val="1014"/>
        </w:numPr>
      </w:pPr>
      <w:r>
        <w:t xml:space="preserve">Small E. Statement on Regulated Maximum THC Levels in Industrial Hemp Inflorescence. Canadian Hemp Trade Association. 18 June 2021.</w:t>
      </w:r>
    </w:p>
    <w:p>
      <w:pPr>
        <w:numPr>
          <w:ilvl w:val="0"/>
          <w:numId w:val="1014"/>
        </w:numPr>
      </w:pPr>
      <w:r>
        <w:t xml:space="preserve">Small E, Beckstead HD, Chan A. The evolution of cannabinoid phenotypes in Cannabis.</w:t>
      </w:r>
      <w:r>
        <w:t xml:space="preserve"> </w:t>
      </w:r>
      <w:r>
        <w:rPr>
          <w:i/>
          <w:iCs/>
        </w:rPr>
        <w:t xml:space="preserve">Economic Botany</w:t>
      </w:r>
      <w:r>
        <w:t xml:space="preserve">. 1975;29(2):219-232.</w:t>
      </w:r>
    </w:p>
    <w:p>
      <w:pPr>
        <w:numPr>
          <w:ilvl w:val="0"/>
          <w:numId w:val="1014"/>
        </w:numPr>
      </w:pPr>
      <w:r>
        <w:t xml:space="preserve">EFSA CONTAM Panel (EFSA Panel on Contaminants in the Food Chain). Scientific Opinion on the risks for human health related to the presence of tetrahydrocannabinol (THC) in milk and other food of animal origin.</w:t>
      </w:r>
      <w:r>
        <w:t xml:space="preserve"> </w:t>
      </w:r>
      <w:r>
        <w:rPr>
          <w:i/>
          <w:iCs/>
        </w:rPr>
        <w:t xml:space="preserve">EFSA Journal</w:t>
      </w:r>
      <w:r>
        <w:t xml:space="preserve">. 2015;13(6):4141. DOI: 10.2903/j.efsa.2015.4141</w:t>
      </w:r>
    </w:p>
    <w:p>
      <w:pPr>
        <w:numPr>
          <w:ilvl w:val="0"/>
          <w:numId w:val="1014"/>
        </w:numPr>
      </w:pPr>
      <w:r>
        <w:t xml:space="preserve">Halker ET, Angima SD, Rongione BL, et al. Evaluating Chinese fiber hemp varieties and planting dates in North Carolina.</w:t>
      </w:r>
      <w:r>
        <w:t xml:space="preserve"> </w:t>
      </w:r>
      <w:r>
        <w:rPr>
          <w:i/>
          <w:iCs/>
        </w:rPr>
        <w:t xml:space="preserve">Agrosystems, Geosciences &amp; Environment</w:t>
      </w:r>
      <w:r>
        <w:t xml:space="preserve">. 2024;7:e20569. DOI: 10.1002/agg2.20569</w:t>
      </w:r>
    </w:p>
    <w:p>
      <w:pPr>
        <w:numPr>
          <w:ilvl w:val="0"/>
          <w:numId w:val="1014"/>
        </w:numPr>
      </w:pPr>
      <w:r>
        <w:t xml:space="preserve">Rahemi A, Fatahi R, Ebadi A, et al. Morphological diversity and oil content of Cannabis sativa L. accessions.</w:t>
      </w:r>
      <w:r>
        <w:t xml:space="preserve"> </w:t>
      </w:r>
      <w:r>
        <w:rPr>
          <w:i/>
          <w:iCs/>
        </w:rPr>
        <w:t xml:space="preserve">Agronomy</w:t>
      </w:r>
      <w:r>
        <w:t xml:space="preserve">. 2021;11(11):2321. DOI: 10.3390/agronomy11112321</w:t>
      </w:r>
    </w:p>
    <w:p>
      <w:pPr>
        <w:numPr>
          <w:ilvl w:val="0"/>
          <w:numId w:val="1014"/>
        </w:numPr>
      </w:pPr>
      <w:r>
        <w:t xml:space="preserve">Bócsa I. Breeding and seed production of monoecious hemp varieties (Cannabis sativa L.).</w:t>
      </w:r>
      <w:r>
        <w:t xml:space="preserve"> </w:t>
      </w:r>
      <w:r>
        <w:rPr>
          <w:i/>
          <w:iCs/>
        </w:rPr>
        <w:t xml:space="preserve">Journal of the International Hemp Association</w:t>
      </w:r>
      <w:r>
        <w:t xml:space="preserve">. 1994;2(2):78-81.</w:t>
      </w:r>
    </w:p>
    <w:p>
      <w:pPr>
        <w:numPr>
          <w:ilvl w:val="0"/>
          <w:numId w:val="1014"/>
        </w:numPr>
      </w:pPr>
      <w:r>
        <w:t xml:space="preserve">Clarke RC, Merlin MD. Cannabis evolution and ethnobotany.</w:t>
      </w:r>
      <w:r>
        <w:t xml:space="preserve"> </w:t>
      </w:r>
      <w:r>
        <w:rPr>
          <w:i/>
          <w:iCs/>
        </w:rPr>
        <w:t xml:space="preserve">Critical Reviews in Plant Sciences</w:t>
      </w:r>
      <w:r>
        <w:t xml:space="preserve">. 2016;35:293-327. DOI: 10.1080/07352689.2016.1273010</w:t>
      </w:r>
    </w:p>
    <w:p>
      <w:pPr>
        <w:numPr>
          <w:ilvl w:val="0"/>
          <w:numId w:val="1014"/>
        </w:numPr>
      </w:pPr>
      <w:r>
        <w:t xml:space="preserve">Zager JJ, Lange I, Srividya N, et al. Gene networks underlying cannabinoid and terpenoid accumulation in cannabis.</w:t>
      </w:r>
      <w:r>
        <w:t xml:space="preserve"> </w:t>
      </w:r>
      <w:r>
        <w:rPr>
          <w:i/>
          <w:iCs/>
        </w:rPr>
        <w:t xml:space="preserve">Plant Physiology</w:t>
      </w:r>
      <w:r>
        <w:t xml:space="preserve">. 2019;180(4):1877-1897. DOI: 10.1104/pp.18.01506</w:t>
      </w:r>
    </w:p>
    <w:p>
      <w:pPr>
        <w:numPr>
          <w:ilvl w:val="0"/>
          <w:numId w:val="1014"/>
        </w:numPr>
      </w:pPr>
      <w:r>
        <w:t xml:space="preserve">Stack GM, Toth JA, Carlson CH, et al. Season-long characterization of high-cannabinoid hemp (Cannabis sativa L.) reveals viable seed production and key physiological traits.</w:t>
      </w:r>
      <w:r>
        <w:t xml:space="preserve"> </w:t>
      </w:r>
      <w:r>
        <w:rPr>
          <w:i/>
          <w:iCs/>
        </w:rPr>
        <w:t xml:space="preserve">Horticulture Research</w:t>
      </w:r>
      <w:r>
        <w:t xml:space="preserve">. 2023;10(11):uhad188. DOI: 10.1093/hr/uhad188</w:t>
      </w:r>
    </w:p>
    <w:p>
      <w:pPr>
        <w:numPr>
          <w:ilvl w:val="0"/>
          <w:numId w:val="1014"/>
        </w:numPr>
      </w:pPr>
      <w:r>
        <w:t xml:space="preserve">Huestis MA, Henningfield JE, Cone EJ. Blood cannabinoids. I. Absorption of THC and formation of 11-OH-THC and THCCOOH during and after smoking marijuana.</w:t>
      </w:r>
      <w:r>
        <w:t xml:space="preserve"> </w:t>
      </w:r>
      <w:r>
        <w:rPr>
          <w:i/>
          <w:iCs/>
        </w:rPr>
        <w:t xml:space="preserve">Journal of Analytical Toxicology</w:t>
      </w:r>
      <w:r>
        <w:t xml:space="preserve">. 1992;16(5):276-282. PMID: 1338215</w:t>
      </w:r>
    </w:p>
    <w:p>
      <w:pPr>
        <w:numPr>
          <w:ilvl w:val="0"/>
          <w:numId w:val="1014"/>
        </w:numPr>
      </w:pPr>
      <w:r>
        <w:t xml:space="preserve">Huestis MA. Human cannabinoid pharmacokinetics.</w:t>
      </w:r>
      <w:r>
        <w:t xml:space="preserve"> </w:t>
      </w:r>
      <w:r>
        <w:rPr>
          <w:i/>
          <w:iCs/>
        </w:rPr>
        <w:t xml:space="preserve">Chemistry &amp; Biodiversity</w:t>
      </w:r>
      <w:r>
        <w:t xml:space="preserve">. 2007;4(8):1770-1804. PMID: 17712819</w:t>
      </w:r>
    </w:p>
    <w:p>
      <w:pPr>
        <w:numPr>
          <w:ilvl w:val="0"/>
          <w:numId w:val="1014"/>
        </w:numPr>
      </w:pPr>
      <w:r>
        <w:t xml:space="preserve">Sheehan TJ, Hecksel CW, Marquez SS, et al. Quantitative analysis of cannabinoids in Cannabis smoke condensate using liquid chromatography-electrospray ionization mass spectrometry.</w:t>
      </w:r>
      <w:r>
        <w:t xml:space="preserve"> </w:t>
      </w:r>
      <w:r>
        <w:rPr>
          <w:i/>
          <w:iCs/>
        </w:rPr>
        <w:t xml:space="preserve">Journal of Analytical Toxicology</w:t>
      </w:r>
      <w:r>
        <w:t xml:space="preserve">. 2019;43(4):307-313. PMID: 31304445</w:t>
      </w:r>
    </w:p>
    <w:p>
      <w:pPr>
        <w:numPr>
          <w:ilvl w:val="0"/>
          <w:numId w:val="1014"/>
        </w:numPr>
      </w:pPr>
      <w:r>
        <w:t xml:space="preserve">Naef M, Russmann S, Petersen-Braun M, Brenneisen R. Development and pharmacokinetic characterization of pulmonal and intravenous delta-9-tetrahydrocannabinol (THC) in humans.</w:t>
      </w:r>
      <w:r>
        <w:t xml:space="preserve"> </w:t>
      </w:r>
      <w:r>
        <w:rPr>
          <w:i/>
          <w:iCs/>
        </w:rPr>
        <w:t xml:space="preserve">Journal of Pharmaceutical Sciences</w:t>
      </w:r>
      <w:r>
        <w:t xml:space="preserve">. 2004;93(5):1176-1184. PMID: 15067694</w:t>
      </w:r>
    </w:p>
    <w:p>
      <w:pPr>
        <w:numPr>
          <w:ilvl w:val="0"/>
          <w:numId w:val="1014"/>
        </w:numPr>
      </w:pPr>
      <w:r>
        <w:t xml:space="preserve">Wall ME, Sadler BM, Brine D, Taylor H, Perez-Reyes M. Metabolism, disposition, and kinetics of delta-9-tetrahydrocannabinol in men and women.</w:t>
      </w:r>
      <w:r>
        <w:t xml:space="preserve"> </w:t>
      </w:r>
      <w:r>
        <w:rPr>
          <w:i/>
          <w:iCs/>
        </w:rPr>
        <w:t xml:space="preserve">Clinical Pharmacology &amp; Therapeutics</w:t>
      </w:r>
      <w:r>
        <w:t xml:space="preserve">. 1983;34(3):352-363. PMID: 6309462</w:t>
      </w:r>
    </w:p>
    <w:p>
      <w:pPr>
        <w:numPr>
          <w:ilvl w:val="0"/>
          <w:numId w:val="1014"/>
        </w:numPr>
      </w:pPr>
      <w:r>
        <w:t xml:space="preserve">McGilveray IJ. Pharmacokinetics of cannabinoids.</w:t>
      </w:r>
      <w:r>
        <w:t xml:space="preserve"> </w:t>
      </w:r>
      <w:r>
        <w:rPr>
          <w:i/>
          <w:iCs/>
        </w:rPr>
        <w:t xml:space="preserve">Pain Research and Management</w:t>
      </w:r>
      <w:r>
        <w:t xml:space="preserve">. 2005;10 Suppl A:15A-22A. PMID: 16237477</w:t>
      </w:r>
    </w:p>
    <w:p>
      <w:pPr>
        <w:numPr>
          <w:ilvl w:val="0"/>
          <w:numId w:val="1014"/>
        </w:numPr>
      </w:pPr>
      <w:r>
        <w:t xml:space="preserve">Elzinga S, Fischedick J, Podkolinski R, Raber JC. Cannabinoids and terpenes as chemotaxonomic markers in cannabis.</w:t>
      </w:r>
      <w:r>
        <w:t xml:space="preserve"> </w:t>
      </w:r>
      <w:r>
        <w:rPr>
          <w:i/>
          <w:iCs/>
        </w:rPr>
        <w:t xml:space="preserve">Natural Products Chemistry &amp; Research</w:t>
      </w:r>
      <w:r>
        <w:t xml:space="preserve">. 2015;3:163. DOI: 10.4172/2329-6836.1000163</w:t>
      </w:r>
    </w:p>
    <w:p>
      <w:pPr>
        <w:numPr>
          <w:ilvl w:val="0"/>
          <w:numId w:val="1014"/>
        </w:numPr>
      </w:pPr>
      <w:r>
        <w:t xml:space="preserve">Brym ZT, Panter KL, Gómez-Martínez C, et al. Molecular identification of Cannabis cultivars.</w:t>
      </w:r>
      <w:r>
        <w:t xml:space="preserve"> </w:t>
      </w:r>
      <w:r>
        <w:rPr>
          <w:i/>
          <w:iCs/>
        </w:rPr>
        <w:t xml:space="preserve">Genetics</w:t>
      </w:r>
      <w:r>
        <w:t xml:space="preserve">. 2020;216(2):435-447. DOI: 10.1534/genetics.120.303511</w:t>
      </w:r>
    </w:p>
    <w:p>
      <w:pPr>
        <w:numPr>
          <w:ilvl w:val="0"/>
          <w:numId w:val="1014"/>
        </w:numPr>
      </w:pPr>
      <w:r>
        <w:t xml:space="preserve">Grotenhermen F, Karus M. Industrial hemp contains enough THC to be detected by sensitive drug tests.</w:t>
      </w:r>
      <w:r>
        <w:t xml:space="preserve"> </w:t>
      </w:r>
      <w:r>
        <w:rPr>
          <w:i/>
          <w:iCs/>
        </w:rPr>
        <w:t xml:space="preserve">Journal of the International Hemp Association</w:t>
      </w:r>
      <w:r>
        <w:t xml:space="preserve">. 1998;5(2):96-101.</w:t>
      </w:r>
    </w:p>
    <w:p>
      <w:pPr>
        <w:numPr>
          <w:ilvl w:val="0"/>
          <w:numId w:val="1014"/>
        </w:numPr>
      </w:pPr>
      <w:r>
        <w:t xml:space="preserve">Perez-Reyes M, Timmons MC, Lipton MA, et al. Intravenous injection in man of Δ9-tetrahydrocannabinol and 11-OH-Δ9-tetrahydrocannabinol.</w:t>
      </w:r>
      <w:r>
        <w:t xml:space="preserve"> </w:t>
      </w:r>
      <w:r>
        <w:rPr>
          <w:i/>
          <w:iCs/>
        </w:rPr>
        <w:t xml:space="preserve">Science</w:t>
      </w:r>
      <w:r>
        <w:t xml:space="preserve">. 1972;177(4046):633-635. PMID: 4625893</w:t>
      </w:r>
    </w:p>
    <w:bookmarkEnd w:id="71"/>
    <w:bookmarkStart w:id="72" w:name="Xc2c9b59528f8b0fc79a33e74373825f8c7b8404"/>
    <w:p>
      <w:pPr>
        <w:pStyle w:val="Heading2"/>
      </w:pPr>
      <w:r>
        <w:t xml:space="preserve">Referencias Regulatorias de la Unión Europea</w:t>
      </w:r>
    </w:p>
    <w:p>
      <w:pPr>
        <w:numPr>
          <w:ilvl w:val="0"/>
          <w:numId w:val="1015"/>
        </w:numPr>
      </w:pPr>
      <w:r>
        <w:t xml:space="preserve">Comisión Europea. Propuesta de Reglamento del Parlamento Europeo y del Consejo por el que se establecen las condiciones para la ejecución de la ayuda de la Unión a la política agrícola común para el período 2028-2034. COM(2025) 560 final. Bruselas; 2025.</w:t>
      </w:r>
    </w:p>
    <w:p>
      <w:pPr>
        <w:numPr>
          <w:ilvl w:val="0"/>
          <w:numId w:val="1015"/>
        </w:numPr>
      </w:pPr>
      <w:r>
        <w:t xml:space="preserve">Comisión Europea. Propuesta de Reglamento del Parlamento Europeo y del Consejo por el que se modifica el Reglamento (UE) n.º 1308/2013 en lo que respecta al programa de distribución de frutas, hortalizas y leche en los centros escolares, las intervenciones sectoriales, la creación de un sector de las proteaginosas, los requisitos para el cáñamo, la posibilidad de establecer normas de comercialización para el queso, las proteaginosas y la carne, la aplicación de derechos de importación adicionales, las normas sobre la disponibilidad de suministros en tiempos de emergencia y crisis graves y las garantías. COM(2025) 553 final. Bruselas; 2025.</w:t>
      </w:r>
    </w:p>
    <w:p>
      <w:pPr>
        <w:numPr>
          <w:ilvl w:val="0"/>
          <w:numId w:val="1015"/>
        </w:numPr>
      </w:pPr>
      <w:r>
        <w:t xml:space="preserve">Parlamento Europeo. Resolución del Parlamento Europeo, de 10 de septiembre de 2025, sobre el futuro de la agricultura y política agrícola común después de 2027. P10_TA(2025)0189. Estrasburgo; 2025.</w:t>
      </w:r>
    </w:p>
    <w:p>
      <w:pPr>
        <w:numPr>
          <w:ilvl w:val="0"/>
          <w:numId w:val="1015"/>
        </w:numPr>
      </w:pPr>
      <w:r>
        <w:t xml:space="preserve">Reglamento Delegado (UE) 2017/1155 de la Comisión de 15 de junio de 2017 por el que se completa el Reglamento (UE) n.º 1308/2013 del Parlamento Europeo y del Consejo en lo que respecta al método de determinación del contenido de delta-9-tetrahidrocannabinol de las variedades de cáñamo.</w:t>
      </w:r>
      <w:r>
        <w:t xml:space="preserve"> </w:t>
      </w:r>
      <w:r>
        <w:rPr>
          <w:i/>
          <w:iCs/>
        </w:rPr>
        <w:t xml:space="preserve">Diario Oficial de la Unión Europea</w:t>
      </w:r>
      <w:r>
        <w:t xml:space="preserve">. 2017;L 167:24-26.</w:t>
      </w:r>
    </w:p>
    <w:p>
      <w:pPr>
        <w:numPr>
          <w:ilvl w:val="0"/>
          <w:numId w:val="1015"/>
        </w:numPr>
      </w:pPr>
      <w:r>
        <w:t xml:space="preserve">Reglamento (UE) n.º 1308/2013 del Parlamento Europeo y del Consejo de 17 de diciembre de 2013 por el que se crea la organización común de mercados de los productos agrarios.</w:t>
      </w:r>
      <w:r>
        <w:t xml:space="preserve"> </w:t>
      </w:r>
      <w:r>
        <w:rPr>
          <w:i/>
          <w:iCs/>
        </w:rPr>
        <w:t xml:space="preserve">Diario Oficial de la Unión Europea</w:t>
      </w:r>
      <w:r>
        <w:t xml:space="preserve">. 2013;L 347:671-854.</w:t>
      </w:r>
    </w:p>
    <w:p>
      <w:pPr>
        <w:numPr>
          <w:ilvl w:val="0"/>
          <w:numId w:val="1015"/>
        </w:numPr>
      </w:pPr>
      <w:r>
        <w:t xml:space="preserve">Reglamento (UE) 2021/2115 del Parlamento Europeo y del Consejo de 2 de diciembre de 2021 por el que se establecen normas en relación con la ayuda a los planes estratégicos que deben elaborar los Estados miembros en el marco de la política agrícola común.</w:t>
      </w:r>
      <w:r>
        <w:t xml:space="preserve"> </w:t>
      </w:r>
      <w:r>
        <w:rPr>
          <w:i/>
          <w:iCs/>
        </w:rPr>
        <w:t xml:space="preserve">Diario Oficial de la Unión Europea</w:t>
      </w:r>
      <w:r>
        <w:t xml:space="preserve">. 2021;L 435:1-186.</w:t>
      </w:r>
    </w:p>
    <w:bookmarkEnd w:id="72"/>
    <w:bookmarkStart w:id="73" w:name="referencias-institucionales"/>
    <w:p>
      <w:pPr>
        <w:pStyle w:val="Heading2"/>
      </w:pPr>
      <w:r>
        <w:t xml:space="preserve">Referencias Institucionales</w:t>
      </w:r>
    </w:p>
    <w:p>
      <w:pPr>
        <w:numPr>
          <w:ilvl w:val="0"/>
          <w:numId w:val="1016"/>
        </w:numPr>
      </w:pPr>
      <w:r>
        <w:t xml:space="preserve">Congreso de los Diputados de España. Proposición no de Ley en Comisión relativa a promover una regulación del cáñamo con fines industriales y el cannabis no psicoactivo que proteja las personas cultivadoras, transformadoras, comercializadoras y usuarias. 161/004332. Madrid; 25 enero 2023.</w:t>
      </w:r>
    </w:p>
    <w:p>
      <w:pPr>
        <w:numPr>
          <w:ilvl w:val="0"/>
          <w:numId w:val="1016"/>
        </w:numPr>
      </w:pPr>
      <w:r>
        <w:t xml:space="preserve">European Industrial Hemp Association (EIHA). Position Paper PAC 2028–2032: For a competitive European hemp sector. Brussels; 2025.</w:t>
      </w:r>
    </w:p>
    <w:p>
      <w:pPr>
        <w:numPr>
          <w:ilvl w:val="0"/>
          <w:numId w:val="1016"/>
        </w:numPr>
      </w:pPr>
      <w:r>
        <w:t xml:space="preserve">Instituto Nacional de Toxicología y Ciencias Forenses (INTF). Cuadro de dosis mínimas psicoactivas de las principales sustancias tóxicas objeto de tráfico de drogas. Madrid; actualizado 1 agosto 2021.</w:t>
      </w:r>
    </w:p>
    <w:p>
      <w:pPr>
        <w:numPr>
          <w:ilvl w:val="0"/>
          <w:numId w:val="1016"/>
        </w:numPr>
      </w:pPr>
      <w:r>
        <w:t xml:space="preserve">Convención Única de 1961 sobre Estupefacientes, enmendada por el Protocolo de 1972 de modificación de la Convención Única de 1961 sobre Estupefacientes. Naciones Unidas; 1961.</w:t>
      </w:r>
    </w:p>
    <w:p>
      <w:pPr>
        <w:numPr>
          <w:ilvl w:val="0"/>
          <w:numId w:val="1016"/>
        </w:numPr>
      </w:pPr>
      <w:r>
        <w:t xml:space="preserve">Tratado de Funcionamiento de la Unión Europea (TFUE).</w:t>
      </w:r>
      <w:r>
        <w:t xml:space="preserve"> </w:t>
      </w:r>
      <w:r>
        <w:rPr>
          <w:i/>
          <w:iCs/>
        </w:rPr>
        <w:t xml:space="preserve">Diario Oficial de la Unión Europea</w:t>
      </w:r>
      <w:r>
        <w:t xml:space="preserve">. 2012;C 326:47-390. Versión consolidada.</w:t>
      </w:r>
    </w:p>
    <w:bookmarkEnd w:id="73"/>
    <w:bookmarkStart w:id="74" w:name="documentación-internacional"/>
    <w:p>
      <w:pPr>
        <w:pStyle w:val="Heading2"/>
      </w:pPr>
      <w:r>
        <w:t xml:space="preserve">Documentación Internacional</w:t>
      </w:r>
    </w:p>
    <w:p>
      <w:pPr>
        <w:numPr>
          <w:ilvl w:val="0"/>
          <w:numId w:val="1017"/>
        </w:numPr>
      </w:pPr>
      <w:r>
        <w:t xml:space="preserve">Ley Federal de Estupefacientes de Suiza (Betäubungsmittelgesetz, BetmG). RS 812.121. Berna; versión del 1 enero 2011.</w:t>
      </w:r>
    </w:p>
    <w:p>
      <w:pPr>
        <w:numPr>
          <w:ilvl w:val="0"/>
          <w:numId w:val="1017"/>
        </w:numPr>
      </w:pPr>
      <w:r>
        <w:t xml:space="preserve">Luxembourg Tobacco Control Act. Loi du 11 août 2017 relative à la lutte antitabac et à la vente de produits du tabac. Journal officiel du Grand-Duché de Luxembourg; 2017.</w:t>
      </w:r>
    </w:p>
    <w:p>
      <w:pPr>
        <w:numPr>
          <w:ilvl w:val="0"/>
          <w:numId w:val="1017"/>
        </w:numPr>
      </w:pPr>
      <w:r>
        <w:t xml:space="preserve">Ministerio de Ganadería, Agricultura y Pesca de Uruguay (MGAP). Procedimiento para exportar flores o biomasa de cáñamo a EEUU. Montevideo; diciembre 2022.</w:t>
      </w:r>
    </w:p>
    <w:p>
      <w:pPr>
        <w:numPr>
          <w:ilvl w:val="0"/>
          <w:numId w:val="1017"/>
        </w:numPr>
      </w:pPr>
      <w:r>
        <w:t xml:space="preserve">Health Canada. Information for Health Care Professionals: Cannabis (marihuana, marijuana) and the cannabinoids. Ottawa; 2013.</w:t>
      </w:r>
    </w:p>
    <w:p>
      <w:pPr>
        <w:numPr>
          <w:ilvl w:val="0"/>
          <w:numId w:val="1017"/>
        </w:numPr>
      </w:pPr>
      <w:r>
        <w:t xml:space="preserve">Organización Mundial de la Salud (OMS). Cannabidiol (CBD): Critical Review Report. Geneva; Expert Committee on Drug Dependence; 2018.</w:t>
      </w:r>
    </w:p>
    <w:bookmarkEnd w:id="74"/>
    <w:bookmarkStart w:id="75" w:name="referencias-de-farmacopeas"/>
    <w:p>
      <w:pPr>
        <w:pStyle w:val="Heading2"/>
      </w:pPr>
      <w:r>
        <w:t xml:space="preserve">Referencias de Farmacopeas</w:t>
      </w:r>
    </w:p>
    <w:p>
      <w:pPr>
        <w:numPr>
          <w:ilvl w:val="0"/>
          <w:numId w:val="1018"/>
        </w:numPr>
      </w:pPr>
      <w:r>
        <w:t xml:space="preserve">Farmacopea Europea. Cannabis flos. Monografía 3028. 10th ed. Strasbourg: European Directorate for the Quality of Medicines &amp; HealthCare; 2020.</w:t>
      </w:r>
    </w:p>
    <w:p>
      <w:pPr>
        <w:numPr>
          <w:ilvl w:val="0"/>
          <w:numId w:val="1018"/>
        </w:numPr>
      </w:pPr>
      <w:r>
        <w:t xml:space="preserve">Deutsches Arzneibuch (DAB). Cannabis extractum normatum. Monografía oficial. Stuttgart: Deutscher Apotheker Verlag; 2020.</w:t>
      </w:r>
    </w:p>
    <w:p>
      <w:r>
        <w:pict>
          <v:rect style="width:0;height:1.5pt" o:hralign="center" o:hrstd="t" o:hr="t"/>
        </w:pict>
      </w:r>
    </w:p>
    <w:p>
      <w:pPr>
        <w:pStyle w:val="FirstParagraph"/>
      </w:pPr>
      <w:r>
        <w:rPr>
          <w:i/>
          <w:iCs/>
        </w:rPr>
        <w:t xml:space="preserve">Este documento compila evidencia verificada del repositorio AECANI/Cannabis Hub</w:t>
      </w:r>
    </w:p>
    <w:p>
      <w:pPr>
        <w:pStyle w:val="BodyText"/>
      </w:pPr>
      <w:r>
        <w:rPr>
          <w:b/>
          <w:bCs/>
        </w:rPr>
        <w:t xml:space="preserve">Cannabis Hub — Enero 2026</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5">
    <w:p>
      <w:pPr>
        <w:pStyle w:val="FootnoteText"/>
      </w:pPr>
      <w:r>
        <w:rPr>
          <w:rStyle w:val="FootnoteReference"/>
        </w:rPr>
        <w:footnoteRef/>
      </w:r>
      <w:r>
        <w:t xml:space="preserve"> </w:t>
      </w:r>
      <w:r>
        <w:t xml:space="preserve">EIHA,</w:t>
      </w:r>
      <w:r>
        <w:t xml:space="preserve"> </w:t>
      </w:r>
      <w:r>
        <w:rPr>
          <w:i/>
          <w:iCs/>
        </w:rPr>
        <w:t xml:space="preserve">Position Paper PAC 2028–2032</w:t>
      </w:r>
      <w:r>
        <w:t xml:space="preserve"> </w:t>
      </w:r>
      <w:r>
        <w:t xml:space="preserve">(2025):</w:t>
      </w:r>
      <w:r>
        <w:t xml:space="preserve"> </w:t>
      </w:r>
      <w:r>
        <w:t xml:space="preserve">“Concerns about the potential abuse of industrial hemp must be assessed realistically, not theoretically. Abuse liability is not determined by the mere presence of THC, but by whether intoxication is practically, technically, and economically feasible.”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7">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8">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ec.europa.eu/commission/presscorner/detail/es/ip_26_363" TargetMode="External"/><Relationship Id="rId27" Type="http://schemas.openxmlformats.org/officeDocument/2006/relationships/hyperlink" Target="https://www.gmp-compliance.org/gmp-news/german-pharmacopoeia-monograph-for-cannabis-extracts" TargetMode="External"/><Relationship Id="rId29" Type="http://schemas.openxmlformats.org/officeDocument/2006/relationships/hyperlink" Target="https://www.gub.uy/ministerio-ganaderia-agricultura-pesca/sites/ministerio-ganaderia-agricultura-pesca/files/2022-12/Procedimiento%20para%20exportar%20flores%20o%20biomasa%20de%20c%C3%A1%C3%B1amo%20a%20EEUU%20Diciembre%202022.pdf"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ec.europa.eu/commission/presscorner/detail/es/ip_26_363" TargetMode="External"/><Relationship Id="rId27" Type="http://schemas.openxmlformats.org/officeDocument/2006/relationships/hyperlink" Target="https://www.gmp-compliance.org/gmp-news/german-pharmacopoeia-monograph-for-cannabis-extracts" TargetMode="External"/><Relationship Id="rId29" Type="http://schemas.openxmlformats.org/officeDocument/2006/relationships/hyperlink" Target="https://www.gub.uy/ministerio-ganaderia-agricultura-pesca/sites/ministerio-ganaderia-agricultura-pesca/files/2022-12/Procedimiento%20para%20exportar%20flores%20o%20biomasa%20de%20c%C3%A1%C3%B1amo%20a%20EEUU%20Diciembre%2020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2026-01-25T13:32:50Z</dcterms:created>
  <dcterms:modified xsi:type="dcterms:W3CDTF">2026-01-25T13:32:50Z</dcterms:modified>
</cp:coreProperties>
</file>

<file path=docProps/custom.xml><?xml version="1.0" encoding="utf-8"?>
<Properties xmlns="http://schemas.openxmlformats.org/officeDocument/2006/custom-properties" xmlns:vt="http://schemas.openxmlformats.org/officeDocument/2006/docPropsVTypes"/>
</file>