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3864"/>
          <w:sz w:val="28"/>
          <w:szCs w:val="28"/>
        </w:rPr>
        <w:t xml:space="preserve">ASOCIACIÓN AECANI</w:t>
      </w:r>
    </w:p>
    <w:p>
      <w:pPr>
        <w:spacing w:after="200"/>
        <w:jc w:val="center"/>
      </w:pPr>
      <w:r>
        <w:rPr>
          <w:i/>
          <w:iCs/>
          <w:color w:val="595959"/>
          <w:sz w:val="22"/>
          <w:szCs w:val="22"/>
        </w:rPr>
        <w:t xml:space="preserve">Asociación Española del Cáñamo Industrial</w:t>
      </w:r>
    </w:p>
    <w:p>
      <w:pPr>
        <w:spacing w:after="400" w:before="1200"/>
        <w:jc w:val="center"/>
      </w:pPr>
      <w:r>
        <w:rPr>
          <w:b/>
          <w:bCs/>
          <w:color w:val="1F3864"/>
          <w:sz w:val="40"/>
          <w:szCs w:val="40"/>
        </w:rPr>
        <w:t xml:space="preserve">EL MERCADO DEL CÁÑAMO EN ESPAÑA</w:t>
      </w:r>
    </w:p>
    <w:p>
      <w:pPr>
        <w:spacing w:after="300"/>
        <w:jc w:val="center"/>
      </w:pPr>
      <w:r>
        <w:rPr>
          <w:color w:val="2E75B6"/>
          <w:sz w:val="28"/>
          <w:szCs w:val="28"/>
        </w:rPr>
        <w:t xml:space="preserve">Análisis de la cadena de valor y propuestas regulatorias</w:t>
      </w:r>
    </w:p>
    <w:p>
      <w:pPr>
        <w:spacing w:after="200" w:before="800"/>
        <w:jc w:val="center"/>
      </w:pPr>
      <w:r>
        <w:rPr>
          <w:b/>
          <w:bCs/>
          <w:color w:val="595959"/>
          <w:sz w:val="22"/>
          <w:szCs w:val="22"/>
        </w:rPr>
        <w:t xml:space="preserve">DOSSIER ELABORADO PARA LA</w:t>
      </w:r>
    </w:p>
    <w:p>
      <w:pPr>
        <w:spacing w:after="400"/>
        <w:jc w:val="center"/>
      </w:pPr>
      <w:r>
        <w:rPr>
          <w:b/>
          <w:bCs/>
          <w:color w:val="1F3864"/>
          <w:sz w:val="26"/>
          <w:szCs w:val="26"/>
        </w:rPr>
        <w:t xml:space="preserve">COMISIÓN NACIONAL DE LOS MERCADOS Y LA COMPETENCIA</w:t>
      </w:r>
    </w:p>
    <w:p>
      <w:pPr>
        <w:spacing w:after="100" w:before="2400"/>
        <w:jc w:val="center"/>
      </w:pPr>
      <w:r>
        <w:rPr>
          <w:color w:val="595959"/>
          <w:sz w:val="22"/>
          <w:szCs w:val="22"/>
        </w:rPr>
        <w:t xml:space="preserve">Abril 2026</w:t>
      </w:r>
    </w:p>
    <w:p>
      <w:r>
        <w:br w:type="page"/>
      </w:r>
    </w:p>
    <w:p>
      <w:pPr>
        <w:pStyle w:val="Heading1"/>
        <w:spacing w:after="200" w:before="400"/>
      </w:pPr>
      <w:r>
        <w:rPr>
          <w:b/>
          <w:bCs/>
          <w:color w:val="1F3864"/>
          <w:sz w:val="32"/>
          <w:szCs w:val="32"/>
        </w:rPr>
        <w:t xml:space="preserve">1. Resumen ejecutivo</w:t>
      </w:r>
    </w:p>
    <w:p>
      <w:pPr>
        <w:spacing w:after="120" w:line="300"/>
        <w:jc w:val="both"/>
      </w:pPr>
      <w:r>
        <w:t xml:space="preserve">AECANI, la Asociación Española del Cáñamo Industrial, traslada a la Comisión Nacional de los Mercados y la Competencia el presente dossier con el objetivo de poner en conocimiento del regulador de competencia la situación actual del mercado del cáñamo industrial en España, sus contradicciones regulatorias y las consecuencias que estas están produciendo sobre la competencia, el mercado interior y la capacidad del Estado para ordenar un sector que, pese a operar en un vacío normativo, ha alcanzado una dimensión económica significativa.</w:t>
      </w:r>
    </w:p>
    <w:p>
      <w:pPr>
        <w:spacing w:after="120" w:line="300"/>
        <w:jc w:val="both"/>
      </w:pPr>
      <w:r>
        <w:t xml:space="preserve">España cuenta hoy con una infraestructura empresarial consolidada en torno al cáñamo industrial y sus derivados: aproximadamente 1.700 establecimientos minoristas, una facturación agregada del entorno de 450 millones de euros anuales y cerca de 6.700 empleos directos. Sin embargo, este ecosistema económico opera sin código CNAE ni epígrafe IAE específicos, sin supervisión diferenciada por parte de las administraciones competentes, y bajo interpretaciones administrativas que contradicen frontalmente la jurisprudencia del Tribunal de Justicia de la Unión Europea y la posición expresa de la Comisión Europea.</w:t>
      </w:r>
    </w:p>
    <w:p>
      <w:pPr>
        <w:spacing w:after="120" w:line="300"/>
        <w:jc w:val="both"/>
      </w:pPr>
      <w:r>
        <w:t xml:space="preserve">El presente dossier propone abordar la cuestión desde la perspectiva de la cadena de valor del cáñamo, analizando separadamente los cuatro eslabones que la componen —producción agrícola, primera transformación, consumo final y canal de distribución—, con el objetivo de trasladar al regulador un diagnóstico estructurado y las propuestas de ordenación que AECANI considera necesarias.</w:t>
      </w:r>
    </w:p>
    <w:p>
      <w:pPr>
        <w:pStyle w:val="Heading3"/>
        <w:spacing w:after="120" w:before="200"/>
      </w:pPr>
      <w:r>
        <w:rPr>
          <w:b/>
          <w:bCs/>
          <w:color w:val="2E75B6"/>
          <w:sz w:val="22"/>
          <w:szCs w:val="22"/>
        </w:rPr>
        <w:t xml:space="preserve">Petición central</w:t>
      </w:r>
    </w:p>
    <w:p>
      <w:pPr>
        <w:spacing w:after="120" w:line="300"/>
        <w:jc w:val="both"/>
      </w:pPr>
      <w:r>
        <w:t xml:space="preserve">AECANI solicita respetuosamente a la CNMC que considere la apertura de un estudio sectorial específico sobre el mercado del cáñamo industrial y sus productos derivados no estupefacientes en España, que permita evaluar las distorsiones de competencia documentadas y formular recomendaciones al Gobierno para la ordenación racional del sector.</w:t>
      </w:r>
    </w:p>
    <w:p>
      <w:r>
        <w:br w:type="page"/>
      </w:r>
    </w:p>
    <w:p>
      <w:pPr>
        <w:pStyle w:val="Heading1"/>
        <w:spacing w:after="200" w:before="400"/>
      </w:pPr>
      <w:r>
        <w:rPr>
          <w:b/>
          <w:bCs/>
          <w:color w:val="1F3864"/>
          <w:sz w:val="32"/>
          <w:szCs w:val="32"/>
        </w:rPr>
        <w:t xml:space="preserve">2. Dimensión económica del sector</w:t>
      </w:r>
    </w:p>
    <w:p>
      <w:pPr>
        <w:spacing w:after="120" w:line="300"/>
        <w:jc w:val="both"/>
      </w:pPr>
      <w:r>
        <w:t xml:space="preserve">Antes de entrar en el análisis de la cadena de valor, conviene establecer la dimensión económica real del sector afectado, que trasciende con mucho la imagen pública de las tiendas de CBD y abarca toda la infraestructura comercial del cannabis no medicinal en España.</w:t>
      </w:r>
    </w:p>
    <w:p>
      <w:pPr>
        <w:pStyle w:val="Heading2"/>
        <w:spacing w:after="160" w:before="300"/>
      </w:pPr>
      <w:r>
        <w:rPr>
          <w:b/>
          <w:bCs/>
          <w:color w:val="2E75B6"/>
          <w:sz w:val="26"/>
          <w:szCs w:val="26"/>
        </w:rPr>
        <w:t xml:space="preserve">2.1 Tiendas especializadas en CBD</w:t>
      </w:r>
    </w:p>
    <w:p>
      <w:pPr>
        <w:spacing w:after="120" w:line="300"/>
        <w:jc w:val="both"/>
      </w:pPr>
      <w:r>
        <w:t xml:space="preserve">Según datos del informe sectorial Cannamonitor 2025, España cuenta actualmente con </w:t>
      </w:r>
      <w:r>
        <w:rPr>
          <w:b/>
          <w:bCs/>
        </w:rPr>
        <w:t xml:space="preserve">696 tiendas físicas especializadas</w:t>
      </w:r>
      <w:r>
        <w:t xml:space="preserve"> en la comercialización de productos derivados del cáñamo industrial y CBD, en un proceso de crecimiento sostenido que ha pasado de 515 establecimientos en 2023 a 643 en 2024 y 696 en 2025. Coexisten en el mercado </w:t>
      </w:r>
      <w:r>
        <w:rPr>
          <w:b/>
          <w:bCs/>
        </w:rPr>
        <w:t xml:space="preserve">más de 200 marcas</w:t>
      </w:r>
      <w:r>
        <w:t xml:space="preserve"> que superan los 100.000 euros de facturación anual, con un sector aún atomizado en el que pocas marcas superan el millón de euros de ventas.</w:t>
      </w:r>
    </w:p>
    <w:p>
      <w:pPr>
        <w:spacing w:after="120" w:line="300"/>
        <w:jc w:val="both"/>
      </w:pPr>
      <w:r>
        <w:t xml:space="preserve">El segmento muestra una distribución territorial amplia, concentrada en grandes ciudades pero con expansión reciente hacia ciudades medianas y zonas turísticas, académicas y periurbanas. En regiones más rurales, la distribución se canaliza frecuentemente a través de grow shops hibridados que incorporan productos de CBD a sus catálogos.</w:t>
      </w:r>
    </w:p>
    <w:p>
      <w:pPr>
        <w:pStyle w:val="Heading2"/>
        <w:spacing w:after="160" w:before="300"/>
      </w:pPr>
      <w:r>
        <w:rPr>
          <w:b/>
          <w:bCs/>
          <w:color w:val="2E75B6"/>
          <w:sz w:val="26"/>
          <w:szCs w:val="26"/>
        </w:rPr>
        <w:t xml:space="preserve">2.2 Grow shops y agricultura técnica del cannabis</w:t>
      </w:r>
    </w:p>
    <w:p>
      <w:pPr>
        <w:spacing w:after="120" w:line="300"/>
        <w:jc w:val="both"/>
      </w:pPr>
      <w:r>
        <w:t xml:space="preserve">El sector de la agricultura técnica del cannabis en España es un segmento maduro y consolidado desde hace más de dos décadas. Los datos más recientes disponibles arrojan las siguientes cifras agregadas: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center"/>
            </w:pPr>
            <w:r>
              <w:rPr>
                <w:b/>
                <w:bCs/>
                <w:color w:val="FFFFFF"/>
                <w:sz w:val="20"/>
                <w:szCs w:val="20"/>
              </w:rPr>
              <w:t xml:space="preserve">Indicador</w:t>
            </w:r>
          </w:p>
        </w:tc>
        <w:tc>
          <w:tcPr>
            <w:tcW w:type="dxa" w:w="4513"/>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center"/>
            </w:pPr>
            <w:r>
              <w:rPr>
                <w:b/>
                <w:bCs/>
                <w:color w:val="FFFFFF"/>
                <w:sz w:val="20"/>
                <w:szCs w:val="20"/>
              </w:rPr>
              <w:t xml:space="preserve">Valor</w:t>
            </w:r>
          </w:p>
        </w:tc>
      </w:tr>
      <w:t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18"/>
                <w:szCs w:val="18"/>
              </w:rPr>
              <w:t xml:space="preserve">Establecimientos minoristas (grow shops)</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color w:val="000000"/>
                <w:sz w:val="18"/>
                <w:szCs w:val="18"/>
              </w:rPr>
              <w:t xml:space="preserve">~1.000</w:t>
            </w:r>
          </w:p>
        </w:tc>
      </w:tr>
      <w:t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18"/>
                <w:szCs w:val="18"/>
              </w:rPr>
              <w:t xml:space="preserve">Empresas especializadas</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color w:val="000000"/>
                <w:sz w:val="18"/>
                <w:szCs w:val="18"/>
              </w:rPr>
              <w:t xml:space="preserve">&gt;120</w:t>
            </w:r>
          </w:p>
        </w:tc>
      </w:tr>
      <w:t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18"/>
                <w:szCs w:val="18"/>
              </w:rPr>
              <w:t xml:space="preserve">Bancos de semillas de referencia</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color w:val="000000"/>
                <w:sz w:val="18"/>
                <w:szCs w:val="18"/>
              </w:rPr>
              <w:t xml:space="preserve">&gt;30</w:t>
            </w:r>
          </w:p>
        </w:tc>
      </w:tr>
      <w:t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18"/>
                <w:szCs w:val="18"/>
              </w:rPr>
              <w:t xml:space="preserve">Empleos directos</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color w:val="000000"/>
                <w:sz w:val="18"/>
                <w:szCs w:val="18"/>
              </w:rPr>
              <w:t xml:space="preserve">4.042</w:t>
            </w:r>
          </w:p>
        </w:tc>
      </w:tr>
      <w:t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18"/>
                <w:szCs w:val="18"/>
              </w:rPr>
              <w:t xml:space="preserve">Ingresos agregados (2022)</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color w:val="000000"/>
                <w:sz w:val="18"/>
                <w:szCs w:val="18"/>
              </w:rPr>
              <w:t xml:space="preserve">383 millones de euros</w:t>
            </w:r>
          </w:p>
        </w:tc>
      </w:tr>
      <w:t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18"/>
                <w:szCs w:val="18"/>
              </w:rPr>
              <w:t xml:space="preserve">Inversión acumulada</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color w:val="000000"/>
                <w:sz w:val="18"/>
                <w:szCs w:val="18"/>
              </w:rPr>
              <w:t xml:space="preserve">220 millones de euros</w:t>
            </w:r>
          </w:p>
        </w:tc>
      </w:tr>
    </w:tbl>
    <w:p>
      <w:pPr>
        <w:spacing w:before="120"/>
      </w:pPr>
    </w:p>
    <w:p>
      <w:pPr>
        <w:spacing w:after="120" w:line="300"/>
        <w:jc w:val="both"/>
      </w:pPr>
      <w:r>
        <w:t xml:space="preserve">Desde el establecimiento de los primeros grow shops a finales del siglo XX (unos 200 en 2002), el sector ha experimentado un crecimiento sostenido: 400 establecimientos en 2010, 1.000 en 2020. Bancos de semillas internacionales como Royal Queen Seeds o Seedsman tienen su base operativa europea en España, junto a marcas nacionales consolidadas como Sweet Seeds, Positronics o Kannabia, y fabricantes internacionales de insumos (Canna, Biobizz) con presencia estable en el territorio.</w:t>
      </w:r>
    </w:p>
    <w:p>
      <w:pPr>
        <w:pStyle w:val="Heading2"/>
        <w:spacing w:after="160" w:before="300"/>
      </w:pPr>
      <w:r>
        <w:rPr>
          <w:b/>
          <w:bCs/>
          <w:color w:val="2E75B6"/>
          <w:sz w:val="26"/>
          <w:szCs w:val="26"/>
        </w:rPr>
        <w:t xml:space="preserve">2.3 Convergencia de canales y cifras agregadas</w:t>
      </w:r>
    </w:p>
    <w:p>
      <w:pPr>
        <w:spacing w:after="120" w:line="300"/>
        <w:jc w:val="both"/>
      </w:pPr>
      <w:r>
        <w:t xml:space="preserve">Los propios informes sectoriales documentan un proceso creciente de convergencia entre ambos segmentos: un número significativo de grow shops ha incorporado productos de CBD a sus catálogos, mientras que las tiendas de CBD amplían progresivamente hacia artículos de fumador y parafernalia de cultivo. La frontera comercial entre ambos canales se difumina, configurando un ecosistema integrado del cannabis no medicinal.</w:t>
      </w:r>
    </w:p>
    <w:p>
      <w:pPr>
        <w:spacing w:after="120" w:line="300"/>
        <w:jc w:val="both"/>
      </w:pPr>
      <w:r>
        <w:rPr>
          <w:b/>
          <w:bCs/>
        </w:rPr>
        <w:t xml:space="preserve">Cifras agregadas del sector no medicinal en España:</w:t>
      </w:r>
    </w:p>
    <w:p>
      <w:pPr>
        <w:pStyle w:val="ListParagraph"/>
        <w:numPr>
          <w:ilvl w:val="0"/>
          <w:numId w:val="2"/>
        </w:numPr>
        <w:spacing w:after="80" w:line="280"/>
        <w:jc w:val="both"/>
      </w:pPr>
      <w:r>
        <w:t xml:space="preserve">Aproximadamente </w:t>
      </w:r>
      <w:r>
        <w:rPr>
          <w:b/>
          <w:bCs/>
        </w:rPr>
        <w:t xml:space="preserve">1.700 establecimientos minoristas</w:t>
      </w:r>
      <w:r>
        <w:t xml:space="preserve"> (696 especializados en CBD + ~1.000 grow shops)</w:t>
      </w:r>
    </w:p>
    <w:p>
      <w:pPr>
        <w:pStyle w:val="ListParagraph"/>
        <w:numPr>
          <w:ilvl w:val="0"/>
          <w:numId w:val="2"/>
        </w:numPr>
        <w:spacing w:after="80" w:line="280"/>
        <w:jc w:val="both"/>
      </w:pPr>
      <w:r>
        <w:t xml:space="preserve">Facturación agregada estimada en el entorno de los </w:t>
      </w:r>
      <w:r>
        <w:rPr>
          <w:b/>
          <w:bCs/>
        </w:rPr>
        <w:t xml:space="preserve">450 millones de euros anuales</w:t>
      </w:r>
    </w:p>
    <w:p>
      <w:pPr>
        <w:pStyle w:val="ListParagraph"/>
        <w:numPr>
          <w:ilvl w:val="0"/>
          <w:numId w:val="2"/>
        </w:numPr>
        <w:spacing w:after="80" w:line="280"/>
        <w:jc w:val="both"/>
      </w:pPr>
      <w:r>
        <w:t xml:space="preserve">En torno a </w:t>
      </w:r>
      <w:r>
        <w:rPr>
          <w:b/>
          <w:bCs/>
        </w:rPr>
        <w:t xml:space="preserve">6.700 empleos directos</w:t>
      </w:r>
    </w:p>
    <w:p>
      <w:pPr>
        <w:pStyle w:val="ListParagraph"/>
        <w:numPr>
          <w:ilvl w:val="0"/>
          <w:numId w:val="2"/>
        </w:numPr>
        <w:spacing w:after="80" w:line="280"/>
        <w:jc w:val="both"/>
      </w:pPr>
      <w:r>
        <w:t xml:space="preserve">Presencia en la totalidad del territorio nacional, con concentración en el arco mediterráneo (Valencia lidera agricultura técnica; Barcelona y Madrid lideran retail de CBD)</w:t>
      </w:r>
    </w:p>
    <w:p>
      <w:pPr>
        <w:pStyle w:val="ListParagraph"/>
        <w:numPr>
          <w:ilvl w:val="0"/>
          <w:numId w:val="2"/>
        </w:numPr>
        <w:spacing w:after="80" w:line="280"/>
        <w:jc w:val="both"/>
      </w:pPr>
      <w:r>
        <w:t xml:space="preserve">Expansión hacia ciudades medianas, suburbanas y turísticas</w:t>
      </w:r>
    </w:p>
    <w:p>
      <w:pPr>
        <w:spacing w:after="120" w:line="300"/>
        <w:jc w:val="both"/>
      </w:pPr>
      <w:r>
        <w:rPr>
          <w:b/>
          <w:bCs/>
        </w:rPr>
        <w:t xml:space="preserve">Ninguno de estos establecimientos</w:t>
      </w:r>
      <w:r>
        <w:t xml:space="preserve"> dispone de un código CNAE específico ni de un epígrafe IAE propio. Todo este tejido económico opera bajo categorías residuales —comercio al por menor CNAE 4778 («Otro comercio al por menor de artículos nuevos en establecimientos especializados»), compartido con galerías de arte, sex-shops y coleccionismo, o el 4726 en los casos de hibridación con productos de vapeo tras la reforma CNAE 2025—, lo que impide a las administraciones competentes su censo, cuantificación fiscal diferenciada y supervisión como categoría comercial propia.</w:t>
      </w:r>
    </w:p>
    <w:p>
      <w:pPr>
        <w:spacing w:after="120" w:line="300"/>
        <w:jc w:val="both"/>
      </w:pPr>
      <w:r>
        <w:rPr>
          <w:b/>
          <w:bCs/>
        </w:rPr>
        <w:t xml:space="preserve">La CNMC tiene ante sí un sector de aproximadamente 1.700 establecimientos y 450 millones de euros de facturación anual que, a día de hoy, es estadísticamente invisible para la administración pública.</w:t>
      </w:r>
    </w:p>
    <w:p>
      <w:r>
        <w:br w:type="page"/>
      </w:r>
    </w:p>
    <w:p>
      <w:pPr>
        <w:pStyle w:val="Heading1"/>
        <w:spacing w:after="200" w:before="400"/>
      </w:pPr>
      <w:r>
        <w:rPr>
          <w:b/>
          <w:bCs/>
          <w:color w:val="1F3864"/>
          <w:sz w:val="32"/>
          <w:szCs w:val="32"/>
        </w:rPr>
        <w:t xml:space="preserve">3. La cadena de valor del cáñamo</w:t>
      </w:r>
    </w:p>
    <w:p>
      <w:pPr>
        <w:spacing w:after="120" w:line="300"/>
        <w:jc w:val="both"/>
      </w:pPr>
      <w:r>
        <w:t xml:space="preserve">El análisis que sigue se estructura siguiendo los cuatro eslabones de la cadena de valor del cáñamo industrial en España: producción agrícola, primera transformación, consumo final y canal de distribución. Cada uno de ellos presenta problemas regulatorios específicos y requiere una ordenación diferenciada, que conjuntamente configura el modelo propuesto por AECANI.</w:t>
      </w:r>
    </w:p>
    <w:p>
      <w:pPr>
        <w:pStyle w:val="Heading2"/>
        <w:spacing w:after="160" w:before="300"/>
      </w:pPr>
      <w:r>
        <w:rPr>
          <w:b/>
          <w:bCs/>
          <w:color w:val="2E75B6"/>
          <w:sz w:val="26"/>
          <w:szCs w:val="26"/>
        </w:rPr>
        <w:t xml:space="preserve">3.1 Producción: el control de cultivos como exigencia regulatoria</w:t>
      </w:r>
    </w:p>
    <w:p>
      <w:pPr>
        <w:spacing w:after="120" w:line="300"/>
        <w:jc w:val="both"/>
      </w:pPr>
      <w:r>
        <w:t xml:space="preserve">La producción agrícola de cáñamo industrial en España se encuentra en un momento de transformación estructural motivado por la confluencia de tres elementos regulatorios:</w:t>
      </w:r>
    </w:p>
    <w:p>
      <w:pPr>
        <w:pStyle w:val="ListParagraph"/>
        <w:numPr>
          <w:ilvl w:val="0"/>
          <w:numId w:val="2"/>
        </w:numPr>
        <w:spacing w:after="80" w:line="280"/>
        <w:jc w:val="both"/>
      </w:pPr>
      <w:r>
        <w:rPr>
          <w:b/>
          <w:bCs/>
        </w:rPr>
        <w:t xml:space="preserve">Real Decreto 903/2025</w:t>
      </w:r>
      <w:r>
        <w:t xml:space="preserve"> (cannabis medicinal), que habilita a los laboratorios farmacéuticos autorizados a utilizar principios activos —entre ellos el cannabidiol— procedentes de materias primas vegetales.</w:t>
      </w:r>
    </w:p>
    <w:p>
      <w:pPr>
        <w:pStyle w:val="ListParagraph"/>
        <w:numPr>
          <w:ilvl w:val="0"/>
          <w:numId w:val="2"/>
        </w:numPr>
        <w:spacing w:after="80" w:line="280"/>
        <w:jc w:val="both"/>
      </w:pPr>
      <w:r>
        <w:rPr>
          <w:b/>
          <w:bCs/>
        </w:rPr>
        <w:t xml:space="preserve">Propuesta COM(2025) 553 final</w:t>
      </w:r>
      <w:r>
        <w:t xml:space="preserve"> de la Comisión Europea, que reconoce expresamente todas las partes de la planta de cáñamo (incluidas las sumidades floridas bajo NC 1211 90 86) como producto agrícola comercializable dentro de la Organización Común de Mercados.</w:t>
      </w:r>
    </w:p>
    <w:p>
      <w:pPr>
        <w:pStyle w:val="ListParagraph"/>
        <w:numPr>
          <w:ilvl w:val="0"/>
          <w:numId w:val="2"/>
        </w:numPr>
        <w:spacing w:after="80" w:line="280"/>
        <w:jc w:val="both"/>
      </w:pPr>
      <w:r>
        <w:rPr>
          <w:b/>
          <w:bCs/>
        </w:rPr>
        <w:t xml:space="preserve">Carta JIFE CL.20/2024</w:t>
      </w:r>
      <w:r>
        <w:t xml:space="preserve"> (párrafo 23), que confirma que el cáñamo industrial cultivado bajo régimen controlado y destinado a materias primas para la industria o la investigación no requiere someterse al régimen de fiscalización de estupefacientes previsto en la Convención Única de 1961.</w:t>
      </w:r>
    </w:p>
    <w:p>
      <w:pPr>
        <w:spacing w:after="120" w:line="300"/>
        <w:jc w:val="both"/>
      </w:pPr>
      <w:r>
        <w:t xml:space="preserve">La consecuencia directa de esta confluencia es que un número creciente de agricultores españoles podrán optar a subvenciones de la Política Agrícola Común para el cultivo de flores de cáñamo y comercializarlas como materia prima agrícola destinada a la industria medicinal y a otros usos industriales lícitos.</w:t>
      </w:r>
    </w:p>
    <w:p>
      <w:pPr>
        <w:spacing w:after="120" w:line="300"/>
        <w:jc w:val="both"/>
      </w:pPr>
      <w:r>
        <w:rPr>
          <w:b/>
          <w:bCs/>
        </w:rPr>
        <w:t xml:space="preserve">La paradoja actual: </w:t>
      </w:r>
      <w:r>
        <w:t xml:space="preserve">la Administración española subvenciona el cultivo vía PAC y ha habilitado el mercado medicinal por vía del RD 903/2025, pero carece simultáneamente de un marco regulatorio específico que organice el control de ese cultivo y su primera transformación. Esta ausencia genera tres consecuencias adversas para el mercado interior: (i) riesgo real de desvío al mercado ilícito, dada la similitud física entre el cáñamo industrial de bajo contenido en THC y las variedades de cannabis psicoactivo; (ii) competencia desleal entre agricultores legales e informales; (iii) imposibilidad práctica de suministrar materia prima al mercado medicinal habilitado por el RD 903/2025.</w:t>
      </w:r>
    </w:p>
    <w:p>
      <w:pPr>
        <w:pStyle w:val="Heading3"/>
        <w:spacing w:after="120" w:before="200"/>
      </w:pPr>
      <w:r>
        <w:rPr>
          <w:b/>
          <w:bCs/>
          <w:color w:val="2E75B6"/>
          <w:sz w:val="22"/>
          <w:szCs w:val="22"/>
        </w:rPr>
        <w:t xml:space="preserve">El recurso Cannabis Hub (395/2025) ante el Tribunal Supremo</w:t>
      </w:r>
    </w:p>
    <w:p>
      <w:pPr>
        <w:spacing w:after="120" w:line="300"/>
        <w:jc w:val="both"/>
      </w:pPr>
      <w:r>
        <w:t xml:space="preserve">La Asociación Cannabis Hub ha interpuesto el </w:t>
      </w:r>
      <w:r>
        <w:rPr>
          <w:b/>
          <w:bCs/>
        </w:rPr>
        <w:t xml:space="preserve">Recurso 395/2025</w:t>
      </w:r>
      <w:r>
        <w:t xml:space="preserve"> ante la Sala Tercera del Tribunal Supremo (Sección 4ª) contra el Real Decreto 903/2025, que se encuentra actualmente en fase de formalización de demanda (marzo 2026, bajo la dirección letrada del despacho Baño León). Uno de los ejes centrales del recurso denuncia que el artículo 5.2 del RD 903/2025, al exigir que el «material de partida» cumpla «con la legislación aplicable a las sustancias estupefacientes y/o psicótropas», </w:t>
      </w:r>
      <w:r>
        <w:rPr>
          <w:b/>
          <w:bCs/>
        </w:rPr>
        <w:t xml:space="preserve">presupone erróneamente que toda materia prima vegetal destinada a preparados estandarizados de cannabis está sujeta a la Convención de 1961 o al Convenio de 1971, </w:t>
      </w:r>
      <w:r>
        <w:t xml:space="preserve">cuando la jurisprudencia Kanavape (TJUE C-663/18) ha establecido que los productos no psicoactivos procedentes de variedades de cáñamo con bajo contenido en THC no deben considerarse estupefacientes.</w:t>
      </w:r>
    </w:p>
    <w:p>
      <w:pPr>
        <w:spacing w:after="120" w:line="300"/>
        <w:jc w:val="both"/>
      </w:pPr>
      <w:r>
        <w:t xml:space="preserve">El efecto práctico de esta construcción normativa es que los agricultores de cáñamo industrial quedan bloqueados para suministrar directamente flores u otras partes de la planta a los laboratorios farmacéuticos autorizados, dado que el marco exige una cadena de control narcótico que no aplica al cáñamo industrial europeo. Se genera así una barrera artificial entre el agricultor y el mercado medicinal abierto por el propio RD 903/2025, con la consecuencia indirecta de que los laboratorios se ven forzados a importar materia prima de terceros países o a operar a través de canales indirectos, en detrimento de la agricultura nacional.</w:t>
      </w:r>
    </w:p>
    <w:p>
      <w:pPr>
        <w:pStyle w:val="Heading3"/>
        <w:spacing w:after="120" w:before="200"/>
      </w:pPr>
      <w:r>
        <w:rPr>
          <w:b/>
          <w:bCs/>
          <w:color w:val="2E75B6"/>
          <w:sz w:val="22"/>
          <w:szCs w:val="22"/>
        </w:rPr>
        <w:t xml:space="preserve">Modelos regulatorios espejo: cultivos análogos ya controlados</w:t>
      </w:r>
    </w:p>
    <w:p>
      <w:pPr>
        <w:spacing w:after="120" w:line="300"/>
        <w:jc w:val="both"/>
      </w:pPr>
      <w:r>
        <w:t xml:space="preserve">Con el objetivo de ilustrar que España cuenta con precedentes sólidos para regular cultivos sensibles, AECANI ha identificado seis modelos comparables ya operativos que ofrecen referencias normativas directas: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800"/>
        <w:gridCol w:w="1526"/>
      </w:tblGrid>
      <w:tr>
        <w:tc>
          <w:tcPr>
            <w:tcW w:type="dxa" w:w="1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center"/>
            </w:pPr>
            <w:r>
              <w:rPr>
                <w:b/>
                <w:bCs/>
                <w:color w:val="FFFFFF"/>
                <w:sz w:val="20"/>
                <w:szCs w:val="20"/>
              </w:rPr>
              <w:t xml:space="preserve">Cultivo</w:t>
            </w:r>
          </w:p>
        </w:tc>
        <w:tc>
          <w:tcPr>
            <w:tcW w:type="dxa" w:w="3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center"/>
            </w:pPr>
            <w:r>
              <w:rPr>
                <w:b/>
                <w:bCs/>
                <w:color w:val="FFFFFF"/>
                <w:sz w:val="20"/>
                <w:szCs w:val="20"/>
              </w:rPr>
              <w:t xml:space="preserve">Norma clave</w:t>
            </w:r>
          </w:p>
        </w:tc>
        <w:tc>
          <w:tcPr>
            <w:tcW w:type="dxa" w:w="2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center"/>
            </w:pPr>
            <w:r>
              <w:rPr>
                <w:b/>
                <w:bCs/>
                <w:color w:val="FFFFFF"/>
                <w:sz w:val="20"/>
                <w:szCs w:val="20"/>
              </w:rPr>
              <w:t xml:space="preserve">Registro / control</w:t>
            </w:r>
          </w:p>
        </w:tc>
        <w:tc>
          <w:tcPr>
            <w:tcW w:type="dxa" w:w="152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center"/>
            </w:pPr>
            <w:r>
              <w:rPr>
                <w:b/>
                <w:bCs/>
                <w:color w:val="FFFFFF"/>
                <w:sz w:val="20"/>
                <w:szCs w:val="20"/>
              </w:rPr>
              <w:t xml:space="preserve">Analogía</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18"/>
                <w:szCs w:val="18"/>
              </w:rPr>
              <w:t xml:space="preserve">Tabaco</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18"/>
                <w:szCs w:val="18"/>
              </w:rPr>
              <w:t xml:space="preserve">RD 969/2014; Reg. 1308/2013 (OCM parte XIV)</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18"/>
                <w:szCs w:val="18"/>
              </w:rPr>
              <w:t xml:space="preserve">OPs reconocidas; contratación obligatoria productor–transformador; OITAB</w:t>
            </w:r>
          </w:p>
        </w:tc>
        <w:tc>
          <w:tcPr>
            <w:tcW w:type="dxa" w:w="1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18"/>
                <w:szCs w:val="18"/>
              </w:rPr>
              <w:t xml:space="preserve">Modelo de contratación obligatoria y trazabilidad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18"/>
                <w:szCs w:val="18"/>
              </w:rPr>
              <w:t xml:space="preserve">Vino (vid)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18"/>
                <w:szCs w:val="18"/>
              </w:rPr>
              <w:t xml:space="preserve">Ley 24/2003 Viña y Vino; Reg. 1308/2013 (OCM vitivinícola)</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18"/>
                <w:szCs w:val="18"/>
              </w:rPr>
              <w:t xml:space="preserve">Autorizaciones de plantación por parcela; Registro Viticultor; declaraciones de cosecha obligatorias</w:t>
            </w:r>
          </w:p>
        </w:tc>
        <w:tc>
          <w:tcPr>
            <w:tcW w:type="dxa" w:w="1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18"/>
                <w:szCs w:val="18"/>
              </w:rPr>
              <w:t xml:space="preserve">El más directo: registro por parcela + OCM propia</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18"/>
                <w:szCs w:val="18"/>
              </w:rPr>
              <w:t xml:space="preserve">Lúpulo</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18"/>
                <w:szCs w:val="18"/>
              </w:rPr>
              <w:t xml:space="preserve">Reg. 1308/2013 (OCM parte VI); RD certificación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18"/>
                <w:szCs w:val="18"/>
              </w:rPr>
              <w:t xml:space="preserve">Certificación obligatoria de producto (origen, variedad, año); sin licencia especial</w:t>
            </w:r>
          </w:p>
        </w:tc>
        <w:tc>
          <w:tcPr>
            <w:tcW w:type="dxa" w:w="1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18"/>
                <w:szCs w:val="18"/>
              </w:rPr>
              <w:t xml:space="preserve">Certificación como mecanismo de trazabilidad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18"/>
                <w:szCs w:val="18"/>
              </w:rPr>
              <w:t xml:space="preserve">Algodón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18"/>
                <w:szCs w:val="18"/>
              </w:rPr>
              <w:t xml:space="preserve">Protocolo nº 4 Adhesión; Reg. 1307/2013</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18"/>
                <w:szCs w:val="18"/>
              </w:rPr>
              <w:t xml:space="preserve">Pago específico por hectárea; OPs reconocidas; desmotadoras registradas</w:t>
            </w:r>
          </w:p>
        </w:tc>
        <w:tc>
          <w:tcPr>
            <w:tcW w:type="dxa" w:w="1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18"/>
                <w:szCs w:val="18"/>
              </w:rPr>
              <w:t xml:space="preserve">Modelo de pago vinculado a superficie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18"/>
                <w:szCs w:val="18"/>
              </w:rPr>
              <w:t xml:space="preserve">Cebada/cerveza</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18"/>
                <w:szCs w:val="18"/>
              </w:rPr>
              <w:t xml:space="preserve">Reg. 1308/2013 (OCM cereales); Ley 28/2015 IIEE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18"/>
                <w:szCs w:val="18"/>
              </w:rPr>
              <w:t xml:space="preserve">Declaración PAC estándar; malteado y elaboración sujetos a IIEE; CAE obligatorio</w:t>
            </w:r>
          </w:p>
        </w:tc>
        <w:tc>
          <w:tcPr>
            <w:tcW w:type="dxa" w:w="1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18"/>
                <w:szCs w:val="18"/>
              </w:rPr>
              <w:t xml:space="preserve">Separación productores grandes vs. artesanos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18"/>
                <w:szCs w:val="18"/>
              </w:rPr>
              <w:t xml:space="preserve">Adormidera</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18"/>
                <w:szCs w:val="18"/>
              </w:rPr>
              <w:t xml:space="preserve">Convenio Único 1961; autorizaciones AEMPS por campaña</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18"/>
                <w:szCs w:val="18"/>
              </w:rPr>
              <w:t xml:space="preserve">Alcaliber única empresa autorizada; autorización individual de parcelas</w:t>
            </w:r>
          </w:p>
        </w:tc>
        <w:tc>
          <w:tcPr>
            <w:tcW w:type="dxa" w:w="1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18"/>
                <w:szCs w:val="18"/>
              </w:rPr>
              <w:t xml:space="default">Precedente máximo: España ya controla un cultivo sensible</w:t>
            </w:r>
          </w:p>
        </w:tc>
      </w:tr>
    </w:tbl>
    <w:p>
      <w:pPr>
        <w:spacing w:before="160"/>
      </w:pPr>
    </w:p>
    <w:p>
      <w:pPr>
        <w:spacing w:after="120" w:line="300"/>
        <w:jc w:val="both"/>
      </w:pPr>
      <w:r>
        <w:rPr>
          <w:b/>
          <w:bCs/>
        </w:rPr>
        <w:t xml:space="preserve">Conclusión del eslabón de producción: </w:t>
      </w:r>
      <w:r>
        <w:t xml:space="preserve">España tiene la experiencia técnica y jurídica para regular el cultivo de cáñamo industrial mediante un régimen análogo al del tabaco o el vino, con registro por parcela, trazabilidad desde la semilla, contratación con el primer transformador y mecanismos de certificación. No hace falta inventar: basta con adaptar un modelo ya probado. La propuesta de AECANI es que esta ordenación se diseñe complementariamente al RD 903/2025, de forma que los agricultores españoles puedan efectivamente proveer materia prima al mercado medicinal habilitado por la norma.</w:t>
      </w:r>
    </w:p>
    <w:p>
      <w:r>
        <w:br w:type="page"/>
      </w:r>
    </w:p>
    <w:p>
      <w:pPr>
        <w:pStyle w:val="Heading2"/>
        <w:spacing w:after="160" w:before="300"/>
      </w:pPr>
      <w:r>
        <w:rPr>
          <w:b/>
          <w:bCs/>
          <w:color w:val="2E75B6"/>
          <w:sz w:val="26"/>
          <w:szCs w:val="26"/>
        </w:rPr>
        <w:t xml:space="preserve">3.2 Primera transformación: separar acondicionamiento de extracción</w:t>
      </w:r>
    </w:p>
    <w:p>
      <w:pPr>
        <w:spacing w:after="120" w:line="300"/>
        <w:jc w:val="both"/>
      </w:pPr>
      <w:r>
        <w:t xml:space="preserve">El segundo eslabón de la cadena de valor —la primera transformación de la materia prima— presenta una heterogeneidad técnica que exige un tratamiento regulatorio diferenciado. No es equivalente, ni en complejidad técnica ni en sensibilidad regulatoria, un acondicionamiento básico de la flor seca (secado, trillado, curado) que una operación de extracción o concentración de cannabinoides.</w:t>
      </w:r>
    </w:p>
    <w:p>
      <w:pPr>
        <w:pStyle w:val="Heading3"/>
        <w:spacing w:after="120" w:before="200"/>
      </w:pPr>
      <w:r>
        <w:rPr>
          <w:b/>
          <w:bCs/>
          <w:color w:val="2E75B6"/>
          <w:sz w:val="22"/>
          <w:szCs w:val="22"/>
        </w:rPr>
        <w:t xml:space="preserve">Operaciones de acondicionamiento básico</w:t>
      </w:r>
    </w:p>
    <w:p>
      <w:pPr>
        <w:spacing w:after="120" w:line="300"/>
        <w:jc w:val="both"/>
      </w:pPr>
      <w:r>
        <w:t xml:space="preserve">El secado, trillado, curado y envasado de flor de cáñamo con bajo contenido en THC son operaciones agrícolas estándar que no alteran la concentración de principios activos respecto a la materia prima cosechada. Son técnicamente equivalentes a las operaciones de manipulación post-cosecha que se realizan en el tabaco, el lúpulo o las plantas aromáticas y medicinales. No requieren licencias específicas de estupefacientes ni habilitaciones farmacéuticas especiales.</w:t>
      </w:r>
    </w:p>
    <w:p>
      <w:pPr>
        <w:pStyle w:val="Heading3"/>
        <w:spacing w:after="120" w:before="200"/>
      </w:pPr>
      <w:r>
        <w:rPr>
          <w:b/>
          <w:bCs/>
          <w:color w:val="2E75B6"/>
          <w:sz w:val="22"/>
          <w:szCs w:val="22"/>
        </w:rPr>
        <w:t xml:space="preserve">Operaciones de extracción y concentración</w:t>
      </w:r>
    </w:p>
    <w:p>
      <w:pPr>
        <w:spacing w:after="120" w:line="300"/>
        <w:jc w:val="both"/>
      </w:pPr>
      <w:r>
        <w:t xml:space="preserve">Los procesos de extracción (CO₂ supercrítico, etanol, hidrocarburos) y de concentración o purificación de cannabinoides sí pueden, técnicamente, alterar las concentraciones de THC en los productos intermedios o finales por encima de los umbrales establecidos en la normativa europea. Estas operaciones requieren, razonablemente, mecanismos de control adicionales que podrían articularse a través de la AEMPS o de la propia inspección fiscal (CAE para efectos fiscales, cuando proceda).</w:t>
      </w:r>
    </w:p>
    <w:p>
      <w:pPr>
        <w:pStyle w:val="Heading3"/>
        <w:spacing w:after="120" w:before="200"/>
      </w:pPr>
      <w:r>
        <w:rPr>
          <w:b/>
          <w:bCs/>
          <w:color w:val="2E75B6"/>
          <w:sz w:val="22"/>
          <w:szCs w:val="22"/>
        </w:rPr>
        <w:t xml:space="preserve">Propuesta AECANI: marco escalonado de control</w:t>
      </w:r>
    </w:p>
    <w:p>
      <w:pPr>
        <w:spacing w:after="120" w:line="300"/>
        <w:jc w:val="both"/>
      </w:pPr>
      <w:r>
        <w:t xml:space="preserve">Un marco regulatorio coherente debería distinguir explícitamente entre ambas fases, estableciendo </w:t>
      </w:r>
      <w:r>
        <w:rPr>
          <w:b/>
          <w:bCs/>
        </w:rPr>
        <w:t xml:space="preserve">obligaciones proporcionadas al riesgo técnico real de cada operación</w:t>
      </w:r>
      <w:r>
        <w:t xml:space="preserve">, evitando tanto la infra-regulación de los procesos sensibles como la sobre-regulación de los procesos agrícolas estándar.</w:t>
      </w:r>
    </w:p>
    <w:p>
      <w:pPr>
        <w:spacing w:after="120" w:line="300"/>
        <w:jc w:val="both"/>
      </w:pPr>
      <w:r>
        <w:t xml:space="preserve">Este es, precisamente, el enfoque que la </w:t>
      </w:r>
      <w:r>
        <w:rPr>
          <w:b/>
          <w:bCs/>
        </w:rPr>
        <w:t xml:space="preserve">Comisión Europea ha asumido</w:t>
      </w:r>
      <w:r>
        <w:t xml:space="preserve"> en la Propuesta COM(2025) 553 final al reconocer, en su considerando 22, que las pruebas científicas apuntan a que los productos de cáñamo con un contenido máximo del 0,3% de THC «es poco probable que supongan un riesgo para la salud humana», y justifica normas armonizadas a escala de la Unión para su producción y comercialización.</w:t>
      </w:r>
    </w:p>
    <w:p>
      <w:r>
        <w:br w:type="page"/>
      </w:r>
    </w:p>
    <w:p>
      <w:pPr>
        <w:pStyle w:val="Heading2"/>
        <w:spacing w:after="160" w:before="300"/>
      </w:pPr>
      <w:r>
        <w:rPr>
          <w:b/>
          <w:bCs/>
          <w:color w:val="2E75B6"/>
          <w:sz w:val="26"/>
          <w:szCs w:val="26"/>
        </w:rPr>
        <w:t xml:space="preserve">3.3 Consumo: deshacer un equívoco histórico</w:t>
      </w:r>
    </w:p>
    <w:p>
      <w:pPr>
        <w:spacing w:after="120" w:line="300"/>
        <w:jc w:val="both"/>
      </w:pPr>
      <w:r>
        <w:t xml:space="preserve">El análisis del tercer eslabón de la cadena exige abordar una cuestión de fondo que estructura todo el debate regulatorio: la percepción pública del cannabis como sustancia uniformemente peligrosa es resultado de un proceso histórico en el que la </w:t>
      </w:r>
      <w:r>
        <w:rPr>
          <w:b/>
          <w:bCs/>
        </w:rPr>
        <w:t xml:space="preserve">prohibición sin control de calidad ha producido exactamente el efecto contrario al que se pretendía</w:t>
      </w:r>
      <w:r>
        <w:t xml:space="preserve">: un mercado ilícito especializado en concentraciones cada vez mayores de THC, asociado a sectores marginales y desligado de cualquier supervisión sanitaria.</w:t>
      </w:r>
    </w:p>
    <w:p>
      <w:pPr>
        <w:pStyle w:val="Heading3"/>
        <w:spacing w:after="120" w:before="200"/>
      </w:pPr>
      <w:r>
        <w:rPr>
          <w:b/>
          <w:bCs/>
          <w:color w:val="2E75B6"/>
          <w:sz w:val="22"/>
          <w:szCs w:val="22"/>
        </w:rPr>
        <w:t xml:space="preserve">El argumento histórico: de 1% en 1970 al 30% actual</w:t>
      </w:r>
    </w:p>
    <w:p>
      <w:pPr>
        <w:spacing w:after="120" w:line="300"/>
        <w:jc w:val="both"/>
      </w:pPr>
      <w:r>
        <w:t xml:space="preserve">Los datos de incautaciones de la Drug Enforcement Administration (DEA) estadounidense documentan que, en 1970, el cannabis incautado en Estados Unidos contenía </w:t>
      </w:r>
      <w:r>
        <w:rPr>
          <w:b/>
          <w:bCs/>
        </w:rPr>
        <w:t xml:space="preserve">un 1% de THC de media</w:t>
      </w:r>
      <w:r>
        <w:t xml:space="preserve">. Hoy, las variedades del mercado ilícito europeo alcanzan concentraciones del </w:t>
      </w:r>
      <w:r>
        <w:rPr>
          <w:b/>
          <w:bCs/>
        </w:rPr>
        <w:t xml:space="preserve">25-30% de THC</w:t>
      </w:r>
      <w:r>
        <w:t xml:space="preserve">. Esta escalada no responde a una evolución natural de la planta sino al funcionamiento previsible de un mercado ilícito: ante la prohibición y el riesgo penal, el mercado se especializa en el producto más potente por unidad de volumen, por razones puramente económicas (mayor margen, menor volumen de transporte, menor riesgo relativo por operación).</w:t>
      </w:r>
    </w:p>
    <w:p>
      <w:pPr>
        <w:spacing w:after="120" w:line="300"/>
        <w:jc w:val="both"/>
      </w:pPr>
      <w:r>
        <w:t xml:space="preserve">El resultado ha sido la consolidación de un producto que efectivamente opera como narcótico fuerte, asociado a los sectores marginales y al consumo problemático. Pero la planta Cannabis sativa L. abarca un espectro mucho más amplio de productos, muchos de los cuales no son psicoactivos y presentan perfiles de riesgo radicalmente distintos.</w:t>
      </w:r>
    </w:p>
    <w:p>
      <w:pPr>
        <w:pStyle w:val="Heading3"/>
        <w:spacing w:after="120" w:before="200"/>
      </w:pPr>
      <w:r>
        <w:rPr>
          <w:b/>
          <w:bCs/>
          <w:color w:val="2E75B6"/>
          <w:sz w:val="22"/>
          <w:szCs w:val="22"/>
        </w:rPr>
        <w:t xml:space="preserve">El cáñamo de bajo THC: un producto distinto</w:t>
      </w:r>
    </w:p>
    <w:p>
      <w:pPr>
        <w:spacing w:after="120" w:line="300"/>
        <w:jc w:val="both"/>
      </w:pPr>
      <w:r>
        <w:t xml:space="preserve">Las flores de cáñamo industrial con contenido en THC inferior al 0,3% —el umbral reconocido por la PAC y por la Propuesta COM(2025) 553 final— son un producto agrícola cualitativamente distinto del cannabis psicoactivo del mercado ilícito. No producen efecto psicotrópico, no generan dependencia, y sus efectos fisiológicos son más comparables a los de otras hierbas de consumo legal que a los de un estupefaciente.</w:t>
      </w:r>
    </w:p>
    <w:p>
      <w:pPr>
        <w:spacing w:after="120" w:line="300"/>
        <w:jc w:val="both"/>
      </w:pPr>
      <w:r>
        <w:t xml:space="preserve">Esta realidad ya ha sido asumida regulatoriamente por seis Estados miembros de la Unión Europea —</w:t>
      </w:r>
      <w:r>
        <w:rPr>
          <w:b/>
          <w:bCs/>
        </w:rPr>
        <w:t xml:space="preserve">Alemania, Austria, Bélgica, Francia, Luxemburgo y Polonia</w:t>
      </w:r>
      <w:r>
        <w:t xml:space="preserve">— que comercializan legalmente estas flores bajo la categoría de «productos a base de hierbas para fumar» prevista en la Directiva 2014/40/UE (TPD). Fuera de la UE, Suiza ha desarrollado un mercado maduro de </w:t>
      </w:r>
      <w:r>
        <w:rPr>
          <w:i/>
          <w:iCs/>
        </w:rPr>
        <w:t xml:space="preserve">cannabis light</w:t>
      </w:r>
      <w:r>
        <w:t xml:space="preserve"> (flores con menos de 1% de THC) que ha permitido estudiar empíricamente sus efectos en salud pública.</w:t>
      </w:r>
    </w:p>
    <w:p>
      <w:pPr>
        <w:pStyle w:val="Heading3"/>
        <w:spacing w:after="120" w:before="200"/>
      </w:pPr>
      <w:r>
        <w:rPr>
          <w:b/>
          <w:bCs/>
          <w:color w:val="2E75B6"/>
          <w:sz w:val="22"/>
          <w:szCs w:val="22"/>
        </w:rPr>
        <w:t xml:space="preserve">Evidencia científica del perfil sanitario</w:t>
      </w:r>
    </w:p>
    <w:p>
      <w:pPr>
        <w:spacing w:after="120" w:line="300"/>
        <w:jc w:val="both"/>
      </w:pPr>
      <w:r>
        <w:t xml:space="preserve">La literatura científica disponible permite caracterizar el perfil sanitario del cáñamo inhalado de bajo THC con un grado de robustez mayor del que suele reconocerse en el debate público. Destacan tres conjuntos de estudios:</w:t>
      </w:r>
    </w:p>
    <w:p>
      <w:pPr>
        <w:spacing w:after="120" w:line="300"/>
        <w:jc w:val="both"/>
      </w:pPr>
      <w:r>
        <w:rPr>
          <w:b/>
          <w:bCs/>
        </w:rPr>
        <w:t xml:space="preserve">1. Programa de investigación Dr. Donald Tashkin (UCLA). </w:t>
      </w:r>
      <w:r>
        <w:t xml:space="preserve">Financiado por el National Institute on Drug Abuse (NIDA, Grant R01-DA03018) durante más de tres décadas. Incluye análisis comparativo del humo de cannabis y tabaco con filtros Cambridge (Wu &amp; Tashkin, NEJM 1988); estudios de topografía del fumado (Tashkin, Pharmacol Biochem Behav 1991); biopsias endobronquiales en consumidores crónicos (Barsky, Roth, Tashkin, 1998); y el estudio caso-control definitivo (Hashibe, Morgenstern, Tashkin, Cancer Epidemiology 2006) con 2.252 sujetos en Los Angeles County que, con exposiciones acumuladas superiores a los 22.000 cigarrillos de cannabis, </w:t>
      </w:r>
      <w:r>
        <w:rPr>
          <w:b/>
          <w:bCs/>
        </w:rPr>
        <w:t xml:space="preserve">no encontró asociación con cáncer de pulmón, cabeza o cuello</w:t>
      </w:r>
      <w:r>
        <w:t xml:space="preserve">. Revisiones posteriores en Annals ATS (2013) y Chest (2018) confirman la ausencia de deterioro significativo de la función pulmonar tras décadas de consumo.</w:t>
      </w:r>
    </w:p>
    <w:p>
      <w:pPr>
        <w:spacing w:after="120" w:line="300"/>
        <w:jc w:val="both"/>
      </w:pPr>
      <w:r>
        <w:rPr>
          <w:b/>
          <w:bCs/>
        </w:rPr>
        <w:t xml:space="preserve">2. Estudio FOPH Suiza (Zobel, Notari, Schneider, 2019). </w:t>
      </w:r>
      <w:r>
        <w:t xml:space="preserve">Análisis de situación del cannabidiol realizado por la Oficina Federal de Salud Pública suiza sobre 697 consumidores de flores CBD, que documenta que el </w:t>
      </w:r>
      <w:r>
        <w:rPr>
          <w:b/>
          <w:bCs/>
        </w:rPr>
        <w:t xml:space="preserve">56,3% de los usuarios redujeron o abandonaron su consumo de cannabis ilegal</w:t>
      </w:r>
      <w:r>
        <w:t xml:space="preserve"> tras incorporar flores CBD a su repertorio. La autoridad sanitaria suiza reconoce explícitamente el CBD como herramienta de reducción de daños.</w:t>
      </w:r>
    </w:p>
    <w:p>
      <w:pPr>
        <w:spacing w:after="120" w:line="300"/>
        <w:jc w:val="both"/>
      </w:pPr>
      <w:r>
        <w:rPr>
          <w:b/>
          <w:bCs/>
        </w:rPr>
        <w:t xml:space="preserve">3. Weed Care Basel (Addiction, 2025). </w:t>
      </w:r>
      <w:r>
        <w:t xml:space="preserve">Primer ensayo controlado aleatorizado a nivel mundial sobre acceso legal regulado al cannabis, publicado en la revista Addiction en 2025. Concluye que el acceso regulado al cannabis adulto </w:t>
      </w:r>
      <w:r>
        <w:rPr>
          <w:b/>
          <w:bCs/>
        </w:rPr>
        <w:t xml:space="preserve">reduce el consumo problemático, no incrementa la prevalencia global y reduce la mezcla con tabaco</w:t>
      </w:r>
      <w:r>
        <w:t xml:space="preserve">, con efectos netos positivos sobre salud pública respecto al escenario prohibicionista.</w:t>
      </w:r>
    </w:p>
    <w:p>
      <w:pPr>
        <w:pStyle w:val="Heading3"/>
        <w:spacing w:after="120" w:before="200"/>
      </w:pPr>
      <w:r>
        <w:rPr>
          <w:b/>
          <w:bCs/>
          <w:color w:val="2E75B6"/>
          <w:sz w:val="22"/>
          <w:szCs w:val="22"/>
        </w:rPr>
        <w:t xml:space="preserve">El equívoco regulatorio y su solución</w:t>
      </w:r>
    </w:p>
    <w:p>
      <w:pPr>
        <w:spacing w:after="120" w:line="300"/>
        <w:jc w:val="both"/>
      </w:pPr>
      <w:r>
        <w:t xml:space="preserve">La conclusión coherente de todo lo anterior es que el producto que hoy comercializan las 1.700 tiendas del sector no medicinal en España </w:t>
      </w:r>
      <w:r>
        <w:rPr>
          <w:b/>
          <w:bCs/>
        </w:rPr>
        <w:t xml:space="preserve">no es el mismo producto al que responde el marco regulatorio prohibicionista</w:t>
      </w:r>
      <w:r>
        <w:t xml:space="preserve">. El cáñamo de bajo THC presenta un perfil de riesgo asimilable al tabaco —con la diferencia fundamental de que </w:t>
      </w:r>
      <w:r>
        <w:rPr>
          <w:b/>
          <w:bCs/>
        </w:rPr>
        <w:t xml:space="preserve">carece de nicotina y, por tanto, de potencial adictivo</w:t>
      </w:r>
      <w:r>
        <w:t xml:space="preserve">— y distinto, tanto conceptual como toxicológicamente, del cannabis psicoactivo.</w:t>
      </w:r>
    </w:p>
    <w:p>
      <w:pPr>
        <w:spacing w:after="120" w:line="300"/>
        <w:jc w:val="both"/>
      </w:pPr>
      <w:r>
        <w:t xml:space="preserve">Tratar regulatoriamente a ambos productos como equivalentes genera dos distorsiones simétricas: por un lado, </w:t>
      </w:r>
      <w:r>
        <w:rPr>
          <w:b/>
          <w:bCs/>
        </w:rPr>
        <w:t xml:space="preserve">sobre-regula al cáñamo industrial</w:t>
      </w:r>
      <w:r>
        <w:t xml:space="preserve">, obstaculizando un sector agrícola e industrial legal y competitivo; por otro lado, </w:t>
      </w:r>
      <w:r>
        <w:rPr>
          <w:b/>
          <w:bCs/>
        </w:rPr>
        <w:t xml:space="preserve">infra-regula al cannabis psicoactivo</w:t>
      </w:r>
      <w:r>
        <w:t xml:space="preserve"> al mantenerlo en el mercado ilícito sin control de calidad, composición ni acceso. Separar ambos productos en dos regímenes regulatorios distintos es la primera condición para una política de competencia racional.</w:t>
      </w:r>
    </w:p>
    <w:p>
      <w:r>
        <w:br w:type="page"/>
      </w:r>
    </w:p>
    <w:p>
      <w:pPr>
        <w:pStyle w:val="Heading2"/>
        <w:spacing w:after="160" w:before="300"/>
      </w:pPr>
      <w:r>
        <w:rPr>
          <w:b/>
          <w:bCs/>
          <w:color w:val="2E75B6"/>
          <w:sz w:val="26"/>
          <w:szCs w:val="26"/>
        </w:rPr>
        <w:t xml:space="preserve">3.4 Canal de distribución: ni estanco, ni farmacia, ni vacío</w:t>
      </w:r>
    </w:p>
    <w:p>
      <w:pPr>
        <w:spacing w:after="120" w:line="300"/>
        <w:jc w:val="both"/>
      </w:pPr>
      <w:r>
        <w:t xml:space="preserve">El cuarto eslabón —el canal de distribución al consumidor final— es donde el vacío regulatorio produce los efectos más directos sobre la competencia, y donde la actuación de la CNMC puede ser más determinante. AECANI identifica tres opciones teóricas de canal y sostiene que las dos más frecuentemente propuestas presentan problemas estructurales, mientras que la tercera —tienda especializada con verificación de edad robusta, presencial y online— es la única proporcionada al perfil del producto.</w:t>
      </w:r>
    </w:p>
    <w:p>
      <w:pPr>
        <w:pStyle w:val="Heading3"/>
        <w:spacing w:after="120" w:before="200"/>
      </w:pPr>
      <w:r>
        <w:rPr>
          <w:b/>
          <w:bCs/>
          <w:color w:val="2E75B6"/>
          <w:sz w:val="22"/>
          <w:szCs w:val="22"/>
        </w:rPr>
        <w:t xml:space="preserve">¿Por qué no la farmacia?</w:t>
      </w:r>
    </w:p>
    <w:p>
      <w:pPr>
        <w:spacing w:after="120" w:line="300"/>
        <w:jc w:val="both"/>
      </w:pPr>
      <w:r>
        <w:t xml:space="preserve">La dispensación a través de oficinas de farmacia, o en su caso a través de farmacia hospitalaria bajo el marco del RD 903/2025, es la opción adecuada para los preparados estandarizados de cannabis medicinal: productos con indicación terapéutica, prescripción médica, dosificación estandarizada y control farmacéutico estricto.</w:t>
      </w:r>
    </w:p>
    <w:p>
      <w:pPr>
        <w:spacing w:after="120" w:line="300"/>
        <w:jc w:val="both"/>
      </w:pPr>
      <w:r>
        <w:t xml:space="preserve">Sin embargo, </w:t>
      </w:r>
      <w:r>
        <w:rPr>
          <w:b/>
          <w:bCs/>
        </w:rPr>
        <w:t xml:space="preserve">no es un canal adecuado para el cáñamo industrial de consumo adulto</w:t>
      </w:r>
      <w:r>
        <w:t xml:space="preserve"> por tres razones: (i) las flores de cáñamo con bajo THC </w:t>
      </w:r>
      <w:r>
        <w:rPr>
          <w:b/>
          <w:bCs/>
        </w:rPr>
        <w:t xml:space="preserve">no son medicamentos</w:t>
      </w:r>
      <w:r>
        <w:t xml:space="preserve">, carecen de indicación terapéutica autorizada y de efecto farmacológico significativo en los términos exigidos por la legislación farmacéutica; (ii) forzar su dispensación en farmacia genera un proceso de </w:t>
      </w:r>
      <w:r>
        <w:rPr>
          <w:b/>
          <w:bCs/>
        </w:rPr>
        <w:t xml:space="preserve">medicalización artificial</w:t>
      </w:r>
      <w:r>
        <w:t xml:space="preserve"> que obliga al consumidor adulto a simular patologías inexistentes para acceder a un producto legal, distorsionando la relación médico-paciente; (iii) encarece el acceso, concentra la distribución en un canal con infraestructura ya saturada y genera un problema de competencia al expandir artificialmente el mercado captivo de la oficina de farmacia.</w:t>
      </w:r>
    </w:p>
    <w:p>
      <w:pPr>
        <w:pStyle w:val="Heading3"/>
        <w:spacing w:after="120" w:before="200"/>
      </w:pPr>
      <w:r>
        <w:rPr>
          <w:b/>
          <w:bCs/>
          <w:color w:val="2E75B6"/>
          <w:sz w:val="22"/>
          <w:szCs w:val="22"/>
        </w:rPr>
        <w:t xml:space="preserve">¿Por qué no el estanco?</w:t>
      </w:r>
    </w:p>
    <w:p>
      <w:pPr>
        <w:spacing w:after="120" w:line="300"/>
        <w:jc w:val="both"/>
      </w:pPr>
      <w:r>
        <w:t xml:space="preserve">La extensión del monopolio de la red de expendedurías a los productos de cáñamo no medicinal es, a juicio de AECANI, la opción más dañina desde la perspectiva de la competencia y de la salud pública. La propia CNMC, en su </w:t>
      </w:r>
      <w:r>
        <w:rPr>
          <w:b/>
          <w:bCs/>
        </w:rPr>
        <w:t xml:space="preserve">Informe IPN/CNMC/029/22</w:t>
      </w:r>
      <w:r>
        <w:t xml:space="preserve"> sobre el Anteproyecto de Ley del Mercado de Tabacos, ya calificó como injustificada la extensión del monopolio de los estancos a los productos relacionados con el tabaco, y ha reiterado esta posición en informes posteriores sobre la materia.</w:t>
      </w:r>
    </w:p>
    <w:p>
      <w:pPr>
        <w:spacing w:after="120" w:line="300"/>
        <w:jc w:val="both"/>
      </w:pPr>
      <w:r>
        <w:t xml:space="preserve">A los argumentos de competencia ya documentados por la CNMC se suman dos consideraciones específicas para el caso del cáñamo no medicinal:</w:t>
      </w:r>
    </w:p>
    <w:p>
      <w:pPr>
        <w:spacing w:after="120" w:line="300"/>
        <w:jc w:val="both"/>
      </w:pPr>
      <w:r>
        <w:rPr>
          <w:b/>
          <w:bCs/>
        </w:rPr>
        <w:t xml:space="preserve">Efecto arrastre hacia la nicotina. </w:t>
      </w:r>
      <w:r>
        <w:t xml:space="preserve">Canalizar la venta de productos sin nicotina a través de establecimientos cuya oferta principal son precisamente productos con nicotina genera un efecto arrastre contrario a las estrategias de reducción de daños y de desincentivación del tabaquismo. Datos del Observatorio Español de las Drogas y las Adicciones (EDADES/OEDA) documentan que el 89% de los consumidores de cannabis en España mezcla el producto con tabaco; forzar al consumidor que busca una alternativa sin nicotina a adquirirla en el mismo establecimiento que vende nicotina refuerza el hábito que se pretende combatir.</w:t>
      </w:r>
    </w:p>
    <w:p>
      <w:pPr>
        <w:spacing w:after="120" w:line="300"/>
        <w:jc w:val="both"/>
      </w:pPr>
      <w:r>
        <w:rPr>
          <w:b/>
          <w:bCs/>
        </w:rPr>
        <w:t xml:space="preserve">Incoherencia regulatoria interna. </w:t>
      </w:r>
      <w:r>
        <w:t xml:space="preserve">El propio Real Decreto 579/2017 y su proyecto de modificación (notificación TRIS D-2025-0602-ES-01) prohíben expresamente el CBD como aditivo en productos del tabaco y cigarrillos electrónicos, argumentando que dicha combinación podría facilitar la absorción de nicotina. Si la Administración considera que la proximidad entre CBD y nicotina debe prohibirse en la composición del producto, ¿bajo qué lógica podría justificarse que se permita —o incluso se obligue— esa misma proximidad en el punto de venta? La posición actual es internamente contradictoria.</w:t>
      </w:r>
    </w:p>
    <w:p>
      <w:pPr>
        <w:pStyle w:val="Heading3"/>
        <w:spacing w:after="120" w:before="200"/>
      </w:pPr>
      <w:r>
        <w:rPr>
          <w:b/>
          <w:bCs/>
          <w:color w:val="2E75B6"/>
          <w:sz w:val="22"/>
          <w:szCs w:val="22"/>
        </w:rPr>
        <w:t xml:space="preserve">La tienda especializada como canal proporcionado</w:t>
      </w:r>
    </w:p>
    <w:p>
      <w:pPr>
        <w:spacing w:after="120" w:line="300"/>
        <w:jc w:val="both"/>
      </w:pPr>
      <w:r>
        <w:t xml:space="preserve">La opción restante —y, a juicio de AECANI, la única proporcionada al perfil del producto— es el </w:t>
      </w:r>
      <w:r>
        <w:rPr>
          <w:b/>
          <w:bCs/>
        </w:rPr>
        <w:t xml:space="preserve">canal especializado</w:t>
      </w:r>
      <w:r>
        <w:t xml:space="preserve"> combinado con la venta en línea bajo sistemas de verificación de edad robusta. Este modelo:</w:t>
      </w:r>
    </w:p>
    <w:p>
      <w:pPr>
        <w:pStyle w:val="ListParagraph"/>
        <w:numPr>
          <w:ilvl w:val="0"/>
          <w:numId w:val="2"/>
        </w:numPr>
        <w:spacing w:after="80" w:line="280"/>
        <w:jc w:val="both"/>
      </w:pPr>
      <w:r>
        <w:t xml:space="preserve">Separa físicamente el canal del tabaco y el canal del cáñamo no medicinal, eliminando el efecto arrastre.</w:t>
      </w:r>
    </w:p>
    <w:p>
      <w:pPr>
        <w:pStyle w:val="ListParagraph"/>
        <w:numPr>
          <w:ilvl w:val="0"/>
          <w:numId w:val="2"/>
        </w:numPr>
        <w:spacing w:after="80" w:line="280"/>
        <w:jc w:val="both"/>
      </w:pPr>
      <w:r>
        <w:t xml:space="preserve">Concentra la oferta en establecimientos con personal formado en el producto, capaz de orientar al consumidor adulto sobre composición, efectos, concentraciones y reducción de daños.</w:t>
      </w:r>
    </w:p>
    <w:p>
      <w:pPr>
        <w:pStyle w:val="ListParagraph"/>
        <w:numPr>
          <w:ilvl w:val="0"/>
          <w:numId w:val="2"/>
        </w:numPr>
        <w:spacing w:after="80" w:line="280"/>
        <w:jc w:val="both"/>
      </w:pPr>
      <w:r>
        <w:t xml:space="preserve">Permite mecanismos proporcionados de verificación de edad (DNI presencial, Age Verification digital en línea mediante sistemas como DURA) análogos a los aplicados en otras categorías de consumo adulto.</w:t>
      </w:r>
    </w:p>
    <w:p>
      <w:pPr>
        <w:pStyle w:val="ListParagraph"/>
        <w:numPr>
          <w:ilvl w:val="0"/>
          <w:numId w:val="2"/>
        </w:numPr>
        <w:spacing w:after="80" w:line="280"/>
        <w:jc w:val="both"/>
      </w:pPr>
      <w:r>
        <w:t xml:space="preserve">Es el modelo ya consolidado en seis Estados miembros de la Unión Europea (Alemania, Austria, Bélgica, Francia, Luxemburgo, Polonia) y en Suiza.</w:t>
      </w:r>
    </w:p>
    <w:p>
      <w:pPr>
        <w:pStyle w:val="ListParagraph"/>
        <w:numPr>
          <w:ilvl w:val="0"/>
          <w:numId w:val="2"/>
        </w:numPr>
        <w:spacing w:after="80" w:line="280"/>
        <w:jc w:val="both"/>
      </w:pPr>
      <w:r>
        <w:t xml:space="preserve">Preserva y ordena la infraestructura empresarial ya existente en España (las ~1.700 tiendas identificadas), en lugar de exigir su destrucción y reemplazo por una red alternativa.</w:t>
      </w:r>
    </w:p>
    <w:p>
      <w:pPr>
        <w:spacing w:after="120" w:line="300"/>
        <w:jc w:val="both"/>
      </w:pPr>
      <w:r>
        <w:t xml:space="preserve">La propia CNMC, en su informe IPN/CNMC/029/22, ha recordado que </w:t>
      </w:r>
      <w:r>
        <w:rPr>
          <w:i/>
          <w:iCs/>
        </w:rPr>
        <w:t xml:space="preserve">«la protección de la salud no tiene por qué estar reñida con una regulación eficiente que promueva la competencia»</w:t>
      </w:r>
      <w:r>
        <w:t xml:space="preserve">, y ha señalado que existen instrumentos menos restrictivos que el monopolio para alcanzar los objetivos de salud pública, entre ellos los sistemas de verificación de edad y los mecanismos fiscales de desincentivación.</w:t>
      </w:r>
    </w:p>
    <w:p>
      <w:r>
        <w:br w:type="page"/>
      </w:r>
    </w:p>
    <w:p>
      <w:pPr>
        <w:pStyle w:val="Heading1"/>
        <w:spacing w:after="200" w:before="400"/>
      </w:pPr>
      <w:r>
        <w:rPr>
          <w:b/>
          <w:bCs/>
          <w:color w:val="1F3864"/>
          <w:sz w:val="32"/>
          <w:szCs w:val="32"/>
        </w:rPr>
        <w:t xml:space="preserve">4. Proyección de futuro: la infraestructura regulatoria preexistente</w:t>
      </w:r>
    </w:p>
    <w:p>
      <w:pPr>
        <w:spacing w:after="120" w:line="300"/>
        <w:jc w:val="both"/>
      </w:pPr>
      <w:r>
        <w:t xml:space="preserve">El análisis anterior se refiere al presente y a la ordenación urgente del sector tal como hoy existe. Pero la discusión regulatoria sobre el cannabis tiene, inevitablemente, una dimensión de medio y largo plazo que conviene abordar ahora para evitar decisiones subóptimas que hipotequen escenarios futuros.</w:t>
      </w:r>
    </w:p>
    <w:p>
      <w:pPr>
        <w:pStyle w:val="Heading2"/>
        <w:spacing w:after="160" w:before="300"/>
      </w:pPr>
      <w:r>
        <w:rPr>
          <w:b/>
          <w:bCs/>
          <w:color w:val="2E75B6"/>
          <w:sz w:val="26"/>
          <w:szCs w:val="26"/>
        </w:rPr>
        <w:t xml:space="preserve">4.1 La experiencia canadiense</w:t>
      </w:r>
    </w:p>
    <w:p>
      <w:pPr>
        <w:spacing w:after="120" w:line="300"/>
        <w:jc w:val="both"/>
      </w:pPr>
      <w:r>
        <w:t xml:space="preserve">Canadá aprobó en 2018 la </w:t>
      </w:r>
      <w:r>
        <w:rPr>
          <w:i/>
          <w:iCs/>
        </w:rPr>
        <w:t xml:space="preserve">Cannabis Act</w:t>
      </w:r>
      <w:r>
        <w:t xml:space="preserve">, que desarrolló una red de tiendas especializadas autorizadas como canal único para el cannabis recreativo. El modelo combina licencias limitadas, personal formado, verificación obligatoria de edad, trazabilidad desde cultivo hasta venta, y separación estricta del canal del tabaco y del canal farmacéutico. Los resultados documentados tras siete años de aplicación incluyen: desplazamiento medible del mercado ilícito hacia el canal regulado, recaudación fiscal significativa, acceso del consumidor adulto a producto con control de calidad, y reducción del consumo problemático adolescente.</w:t>
      </w:r>
    </w:p>
    <w:p>
      <w:pPr>
        <w:pStyle w:val="Heading2"/>
        <w:spacing w:after="160" w:before="300"/>
      </w:pPr>
      <w:r>
        <w:rPr>
          <w:b/>
          <w:bCs/>
          <w:color w:val="2E75B6"/>
          <w:sz w:val="26"/>
          <w:szCs w:val="26"/>
        </w:rPr>
        <w:t xml:space="preserve">4.2 La oportunidad española</w:t>
      </w:r>
    </w:p>
    <w:p>
      <w:pPr>
        <w:spacing w:after="120" w:line="300"/>
        <w:jc w:val="both"/>
      </w:pPr>
      <w:r>
        <w:t xml:space="preserve">España cuenta ya, sin haberlo planificado y sin un marco regulatorio adecuado, con un tejido de aproximadamente 1.700 establecimientos especializados en productos de cáñamo industrial y derivados. Este tejido empresarial existe, factura, tributa y opera —paradójicamente— sin código CNAE propio, sin posibilidad de registrar sus productos ante la AEMPS debido a la interpretación restrictiva que incluye las flores de cáñamo en el ámbito de la Convención Única de 1961, y sin un marco que diferencie al operador responsable del comercio informal.</w:t>
      </w:r>
    </w:p>
    <w:p>
      <w:pPr>
        <w:spacing w:after="120" w:line="300"/>
        <w:jc w:val="both"/>
      </w:pPr>
      <w:r>
        <w:t xml:space="preserve">Esta red de establecimientos constituye, de facto, la </w:t>
      </w:r>
      <w:r>
        <w:rPr>
          <w:b/>
          <w:bCs/>
        </w:rPr>
        <w:t xml:space="preserve">infraestructura regulatoria preexistente</w:t>
      </w:r>
      <w:r>
        <w:t xml:space="preserve"> que cualquier evolución futura del marco cannábico en España necesitará utilizar. Tiene sentido plantear la cuestión en términos de desarrollo escalonado, en tres fases:</w:t>
      </w:r>
    </w:p>
    <w:p>
      <w:pPr>
        <w:pStyle w:val="Heading3"/>
        <w:spacing w:after="120" w:before="200"/>
      </w:pPr>
      <w:r>
        <w:rPr>
          <w:b/>
          <w:bCs/>
          <w:color w:val="2E75B6"/>
          <w:sz w:val="22"/>
          <w:szCs w:val="22"/>
        </w:rPr>
        <w:t xml:space="preserve">Fase 1 — Ordenación del presente (urgente)</w:t>
      </w:r>
    </w:p>
    <w:p>
      <w:pPr>
        <w:spacing w:after="120" w:line="300"/>
        <w:jc w:val="both"/>
      </w:pPr>
      <w:r>
        <w:t xml:space="preserve">Regular las tiendas que ya existen para comercializar flores de cáñamo de bajo THC, productos de CBD y otros derivados no estupefacientes, con código CNAE propio, verificación de edad, trazabilidad y control de calidad. Esto responde al marco ya habilitado por la Directiva 2014/40/UE (TPD), el Real Decreto 579/2017, la jurisprudencia Kanavape y la Propuesta COM(2025) 553 final. No requiere cambios legales de calado, sino interpretación administrativa coherente con el Derecho de la Unión.</w:t>
      </w:r>
    </w:p>
    <w:p>
      <w:pPr>
        <w:pStyle w:val="Heading3"/>
        <w:spacing w:after="120" w:before="200"/>
      </w:pPr>
      <w:r>
        <w:rPr>
          <w:b/>
          <w:bCs/>
          <w:color w:val="2E75B6"/>
          <w:sz w:val="22"/>
          <w:szCs w:val="22"/>
        </w:rPr>
        <w:t xml:space="preserve">Fase 2 — Categoría intermedia (cuando proceda)</w:t>
      </w:r>
    </w:p>
    <w:p>
      <w:pPr>
        <w:spacing w:after="120" w:line="300"/>
        <w:jc w:val="both"/>
      </w:pPr>
      <w:r>
        <w:t xml:space="preserve">Establecer requisitos adicionales para establecimientos que quieran comercializar productos con concentraciones superiores o perfiles de mayor impacto fisiológico. En este supuesto, podría exigirse la </w:t>
      </w:r>
      <w:r>
        <w:rPr>
          <w:b/>
          <w:bCs/>
        </w:rPr>
        <w:t xml:space="preserve">presencia de un profesional farmacéutico o sanitario en plantilla</w:t>
      </w:r>
      <w:r>
        <w:t xml:space="preserve"> encargado del seguimiento y asesoramiento del consumidor adulto, de forma análoga a como se estructuran las parafarmacias o los dispensarios canadienses. Esto permitiría separar claramente el canal medicinal (farmacia hospitalaria, RD 903/2025) del canal adulto responsable, sin obligar al consumidor a simular enfermedades para acceder a productos.</w:t>
      </w:r>
    </w:p>
    <w:p>
      <w:pPr>
        <w:pStyle w:val="Heading3"/>
        <w:spacing w:after="120" w:before="200"/>
      </w:pPr>
      <w:r>
        <w:rPr>
          <w:b/>
          <w:bCs/>
          <w:color w:val="2E75B6"/>
          <w:sz w:val="22"/>
          <w:szCs w:val="22"/>
        </w:rPr>
        <w:t xml:space="preserve">Fase 3 — Marco adulto regulado (si así lo decide el legislador)</w:t>
      </w:r>
    </w:p>
    <w:p>
      <w:pPr>
        <w:spacing w:after="120" w:line="300"/>
        <w:jc w:val="both"/>
      </w:pPr>
      <w:r>
        <w:t xml:space="preserve">Cuando España, como ya están haciendo Alemania, Luxemburgo, Malta o la República Checa, decida avanzar hacia un modelo de cannabis adulto regulado, la red de tiendas especializadas existentes y previamente reguladas constituiría la infraestructura natural de distribución controlada. La decisión sobre esta tercera fase corresponde exclusivamente al legislador y no es objeto del presente dossier; pero su eventual adopción está condicionada por las decisiones regulatorias que se adopten hoy sobre las fases 1 y 2.</w:t>
      </w:r>
    </w:p>
    <w:p>
      <w:pPr>
        <w:pStyle w:val="Heading2"/>
        <w:spacing w:after="160" w:before="300"/>
      </w:pPr>
      <w:r>
        <w:rPr>
          <w:b/>
          <w:bCs/>
          <w:color w:val="2E75B6"/>
          <w:sz w:val="26"/>
          <w:szCs w:val="26"/>
        </w:rPr>
        <w:t xml:space="preserve">4.3 El argumento central para la CNMC</w:t>
      </w:r>
    </w:p>
    <w:p>
      <w:pPr>
        <w:spacing w:after="120" w:line="300"/>
        <w:jc w:val="both"/>
      </w:pPr>
      <w:r>
        <w:rPr>
          <w:b/>
          <w:bCs/>
        </w:rPr>
        <w:t xml:space="preserve">Ignorar hoy a las tiendas especializadas y forzarlas al canal del estanco o al canal farmacéutico equivale a destruir anticipadamente la única infraestructura de distribución racional que España podría necesitar mañana. </w:t>
      </w:r>
      <w:r>
        <w:t xml:space="preserve">Es una decisión regulatoria con consecuencias estructurales de largo plazo sobre la competencia, el mercado interior y la capacidad del Estado para ordenar un sector que, quiera o no, seguirá existiendo y previsiblemente creciendo. La CNMC, como garante del funcionamiento eficiente de los mercados y de la unidad de mercado interior, tiene un interés legítimo en que esta infraestructura se preserve y se regule, en lugar de que se disuelva en categorías residuales o se absorba por un monopolio ajeno.</w:t>
      </w:r>
    </w:p>
    <w:p>
      <w:r>
        <w:br w:type="page"/>
      </w:r>
    </w:p>
    <w:p>
      <w:pPr>
        <w:pStyle w:val="Heading1"/>
        <w:spacing w:after="200" w:before="400"/>
      </w:pPr>
      <w:r>
        <w:rPr>
          <w:b/>
          <w:bCs/>
          <w:color w:val="1F3864"/>
          <w:sz w:val="32"/>
          <w:szCs w:val="32"/>
        </w:rPr>
        <w:t xml:space="preserve">5. Distorsiones de competencia identificadas</w:t>
      </w:r>
    </w:p>
    <w:p>
      <w:pPr>
        <w:spacing w:after="120" w:line="300"/>
        <w:jc w:val="both"/>
      </w:pPr>
      <w:r>
        <w:t xml:space="preserve">A modo de síntesis, AECANI identifica a continuación las principales distorsiones de competencia que el marco regulatorio actual está produciendo sobre el mercado del cáñamo industrial en España. Todas ellas caen dentro del ámbito material de competencia de la CNMC en virtud de la Ley 3/2013.</w:t>
      </w:r>
    </w:p>
    <w:p>
      <w:pPr>
        <w:pStyle w:val="Heading2"/>
        <w:spacing w:after="160" w:before="300"/>
      </w:pPr>
      <w:r>
        <w:rPr>
          <w:b/>
          <w:bCs/>
          <w:color w:val="2E75B6"/>
          <w:sz w:val="26"/>
          <w:szCs w:val="26"/>
        </w:rPr>
        <w:t xml:space="preserve">5.1 Vacío de clasificación económica (CNAE/IAE)</w:t>
      </w:r>
    </w:p>
    <w:p>
      <w:pPr>
        <w:spacing w:after="120" w:line="300"/>
        <w:jc w:val="both"/>
      </w:pPr>
      <w:r>
        <w:t xml:space="preserve">Inexistencia de código CNAE y epígrafe IAE específicos para el cultivo, transformación y comercialización minorista de cáñamo industrial y sus derivados. El sector opera bajo categorías residuales que impiden censo, cuantificación fiscal diferenciada y supervisión administrativa, con tres efectos directos sobre la competencia: (a) el operador que cumple normas de calidad, trazabilidad y verificación de edad compite en igualdad contable con el operador informal; (b) imposibilidad de diseñar políticas públicas sectoriales informadas; (c) los establecimientos responsables no pueden diferenciarse del comercio informal frente al consumidor, ni acceder a programas de apoyo ni a interlocución institucional como sector.</w:t>
      </w:r>
    </w:p>
    <w:p>
      <w:pPr>
        <w:pStyle w:val="Heading2"/>
        <w:spacing w:after="160" w:before="300"/>
      </w:pPr>
      <w:r>
        <w:rPr>
          <w:b/>
          <w:bCs/>
          <w:color w:val="2E75B6"/>
          <w:sz w:val="26"/>
          <w:szCs w:val="26"/>
        </w:rPr>
        <w:t xml:space="preserve">5.2 Fragmentación del mercado interior español</w:t>
      </w:r>
    </w:p>
    <w:p>
      <w:pPr>
        <w:spacing w:after="120" w:line="300"/>
        <w:jc w:val="both"/>
      </w:pPr>
      <w:r>
        <w:t xml:space="preserve">Interpretaciones administrativas divergentes entre Comunidades Autónomas, Ayuntamientos e incluso distintas delegaciones de la misma Administración General del Estado sobre la legalidad de los productos de cáñamo no medicinal. Un operador puede enfrentar procedimientos sancionadores en una jurisdicción mientras opera con normalidad en otra limítrofe. Esto configura una fragmentación del mercado interior español que contradice frontalmente el mandato constitucional de unidad de mercado y entra de lleno en el ámbito de actuación de la CNMC en aplicación de la Ley 20/2013, de garantía de la unidad de mercado.</w:t>
      </w:r>
    </w:p>
    <w:p>
      <w:pPr>
        <w:pStyle w:val="Heading2"/>
        <w:spacing w:after="160" w:before="300"/>
      </w:pPr>
      <w:r>
        <w:rPr>
          <w:b/>
          <w:bCs/>
          <w:color w:val="2E75B6"/>
          <w:sz w:val="26"/>
          <w:szCs w:val="26"/>
        </w:rPr>
        <w:t xml:space="preserve">5.3 Competencia desleal respecto a otros Estados miembros</w:t>
      </w:r>
    </w:p>
    <w:p>
      <w:pPr>
        <w:spacing w:after="120" w:line="300"/>
        <w:jc w:val="both"/>
      </w:pPr>
      <w:r>
        <w:t xml:space="preserve">El considerando 20 de la Propuesta COM(2025) 553 final establece literalmente que las divergencias nacionales en materia de cáñamo </w:t>
      </w:r>
      <w:r>
        <w:rPr>
          <w:i/>
          <w:iCs/>
        </w:rPr>
        <w:t xml:space="preserve">«socavan el correcto funcionamiento de la organización común de mercados, crean inseguridad jurídica y barreras en el mercado interior y generan competencia desleal entre los agricultores de los distintos Estados miembros»</w:t>
      </w:r>
      <w:r>
        <w:t xml:space="preserve">. Alemania, Austria, Bélgica, Francia, Luxemburgo, Polonia y (fuera de la UE) Suiza comercializan legalmente productos que en España operan en zona gris. Esto desplaza actividad económica, recaudación fiscal y empleo hacia otros Estados miembros, y genera dependencia importadora en productos que España podría producir y transformar de forma competitiva.</w:t>
      </w:r>
    </w:p>
    <w:p>
      <w:pPr>
        <w:pStyle w:val="Heading2"/>
        <w:spacing w:after="160" w:before="300"/>
      </w:pPr>
      <w:r>
        <w:rPr>
          <w:b/>
          <w:bCs/>
          <w:color w:val="2E75B6"/>
          <w:sz w:val="26"/>
          <w:szCs w:val="26"/>
        </w:rPr>
        <w:t xml:space="preserve">5.4 Incoherencia regulatoria interna</w:t>
      </w:r>
    </w:p>
    <w:p>
      <w:pPr>
        <w:spacing w:after="120" w:line="300"/>
        <w:jc w:val="both"/>
      </w:pPr>
      <w:r>
        <w:t xml:space="preserve">El marco actual presenta contradicciones que generan distorsiones concretas: (a) la PAC subvenciona el cultivo que el ordenamiento interno obstaculiza comercializar; (b) el RD 903/2025 habilita un mercado medicinal cuya materia prima no puede proveerse desde el cultivo nacional por efecto del artículo 5.2 del propio RD; (c) el RD 579/2017 prohíbe el CBD como aditivo en tabaco pero la propuesta de canalizar su venta a través del estanco situaría ambos productos en el mismo punto de venta; (d) la jurisprudencia del TJUE (C-663/18 Kanavape, C-462/01 Hammarsten) se aplica de forma desigual según la administración actuante.</w:t>
      </w:r>
    </w:p>
    <w:p>
      <w:pPr>
        <w:pStyle w:val="Heading2"/>
        <w:spacing w:after="160" w:before="300"/>
      </w:pPr>
      <w:r>
        <w:rPr>
          <w:b/>
          <w:bCs/>
          <w:color w:val="2E75B6"/>
          <w:sz w:val="26"/>
          <w:szCs w:val="26"/>
        </w:rPr>
        <w:t xml:space="preserve">5.5 Barreras de entrada y obstáculos a la innovación</w:t>
      </w:r>
    </w:p>
    <w:p>
      <w:pPr>
        <w:spacing w:after="120" w:line="300"/>
        <w:jc w:val="both"/>
      </w:pPr>
      <w:r>
        <w:t xml:space="preserve">La imposibilidad de registrar productos de CBD ante la AEMPS en virtud de interpretaciones restrictivas, junto con el bloqueo de la cadena agricultor-laboratorio por la construcción del artículo 5.2 del RD 903/2025, crea barreras de entrada artificialmente elevadas para operadores españoles frente a operadores extranjeros que suministran al mercado interior desde jurisdicciones con marco claro. El efecto neto es una pérdida de competitividad del tejido empresarial nacional y un incentivo al desplazamiento de la actividad innovadora fuera de España.</w:t>
      </w:r>
    </w:p>
    <w:p>
      <w:r>
        <w:br w:type="page"/>
      </w:r>
    </w:p>
    <w:p>
      <w:pPr>
        <w:pStyle w:val="Heading1"/>
        <w:spacing w:after="200" w:before="400"/>
      </w:pPr>
      <w:r>
        <w:rPr>
          <w:b/>
          <w:bCs/>
          <w:color w:val="1F3864"/>
          <w:sz w:val="32"/>
          <w:szCs w:val="32"/>
        </w:rPr>
        <w:t xml:space="preserve">6. Peticiones de AECANI a la CNMC</w:t>
      </w:r>
    </w:p>
    <w:p>
      <w:pPr>
        <w:spacing w:after="120" w:line="300"/>
        <w:jc w:val="both"/>
      </w:pPr>
      <w:r>
        <w:t xml:space="preserve">A la vista de todo lo anterior, AECANI traslada a la Comisión Nacional de los Mercados y la Competencia las siguientes peticiones, ordenadas por importancia:</w:t>
      </w:r>
    </w:p>
    <w:p>
      <w:pPr>
        <w:pStyle w:val="Heading3"/>
        <w:spacing w:after="120" w:before="200"/>
      </w:pPr>
      <w:r>
        <w:rPr>
          <w:b/>
          <w:bCs/>
          <w:color w:val="2E75B6"/>
          <w:sz w:val="22"/>
          <w:szCs w:val="22"/>
        </w:rPr>
        <w:t xml:space="preserve">Petición principal</w:t>
      </w:r>
    </w:p>
    <w:p>
      <w:pPr>
        <w:spacing w:after="120" w:line="300"/>
        <w:jc w:val="both"/>
      </w:pPr>
      <w:r>
        <w:rPr>
          <w:b/>
          <w:bCs/>
        </w:rPr>
        <w:t xml:space="preserve">Estudio sectorial sobre el mercado del cáñamo industrial en España. </w:t>
      </w:r>
      <w:r>
        <w:t xml:space="preserve">AECANI solicita a la CNMC que considere la apertura de un estudio sectorial específico sobre el mercado del cáñamo industrial y sus productos derivados no estupefacientes en España, cubriendo toda la cadena de valor (producción, transformación, consumo, distribución). El estudio permitiría cuantificar el sector, documentar las distorsiones de competencia identificadas y formular recomendaciones al Gobierno para su ordenación racional.</w:t>
      </w:r>
    </w:p>
    <w:p>
      <w:pPr>
        <w:pStyle w:val="Heading3"/>
        <w:spacing w:after="120" w:before="200"/>
      </w:pPr>
      <w:r>
        <w:rPr>
          <w:b/>
          <w:bCs/>
          <w:color w:val="2E75B6"/>
          <w:sz w:val="22"/>
          <w:szCs w:val="22"/>
        </w:rPr>
        <w:t xml:space="preserve">Peticiones complementarias</w:t>
      </w:r>
    </w:p>
    <w:p>
      <w:pPr>
        <w:spacing w:after="120" w:line="300"/>
        <w:jc w:val="both"/>
      </w:pPr>
      <w:r>
        <w:rPr>
          <w:b/>
          <w:bCs/>
        </w:rPr>
        <w:t xml:space="preserve">1. Pronunciamiento sobre el canal de venta. </w:t>
      </w:r>
      <w:r>
        <w:t xml:space="preserve">Actualización del pronunciamiento contenido en el Informe IPN/CNMC/029/22 en lo que específicamente se refiere a los productos sin nicotina y sin tabaco, incluyendo los productos a base de hierbas para fumar derivados del cáñamo industrial.</w:t>
      </w:r>
    </w:p>
    <w:p>
      <w:pPr>
        <w:spacing w:after="120" w:line="300"/>
        <w:jc w:val="both"/>
      </w:pPr>
      <w:r>
        <w:rPr>
          <w:b/>
          <w:bCs/>
        </w:rPr>
        <w:t xml:space="preserve">2. Informe sobre códigos CNAE/IAE. </w:t>
      </w:r>
      <w:r>
        <w:t xml:space="preserve">Pronunciamiento técnico sobre la necesidad de crear códigos CNAE e IAE específicos para el sector, al efecto de permitir su censo, supervisión y tratamiento estadístico diferenciado.</w:t>
      </w:r>
    </w:p>
    <w:p>
      <w:pPr>
        <w:spacing w:after="120" w:line="300"/>
        <w:jc w:val="both"/>
      </w:pPr>
      <w:r>
        <w:rPr>
          <w:b/>
          <w:bCs/>
        </w:rPr>
        <w:t xml:space="preserve">3. Actuación en unidad de mercado. </w:t>
      </w:r>
      <w:r>
        <w:t xml:space="preserve">Seguimiento de los casos concretos de fragmentación del mercado interior español documentados en el sector, en aplicación de la Ley 20/2013.</w:t>
      </w:r>
    </w:p>
    <w:p>
      <w:pPr>
        <w:spacing w:after="120" w:line="300"/>
        <w:jc w:val="both"/>
      </w:pPr>
      <w:r>
        <w:rPr>
          <w:b/>
          <w:bCs/>
        </w:rPr>
        <w:t xml:space="preserve">4. Informe sobre el RD 903/2025. </w:t>
      </w:r>
      <w:r>
        <w:t xml:space="preserve">Análisis del efecto del artículo 5.2 del RD 903/2025 sobre la cadena agricultor-laboratorio, y sus consecuencias sobre la competitividad del sector agrícola español en el mercado del cannabis medicinal habilitado por la norma.</w:t>
      </w:r>
    </w:p>
    <w:p>
      <w:pPr>
        <w:spacing w:after="120" w:line="300"/>
        <w:jc w:val="both"/>
      </w:pPr>
      <w:r>
        <w:rPr>
          <w:b/>
          <w:bCs/>
        </w:rPr>
        <w:t xml:space="preserve">5. Interlocución permanente. </w:t>
      </w:r>
      <w:r>
        <w:t xml:space="preserve">Establecimiento de un canal de interlocución estable entre AECANI y la CNMC para el seguimiento de la evolución del marco regulatorio y la detección temprana de nuevas distorsiones de competencia.</w:t>
      </w:r>
    </w:p>
    <w:p>
      <w:r>
        <w:br w:type="page"/>
      </w:r>
    </w:p>
    <w:p>
      <w:pPr>
        <w:pStyle w:val="Heading1"/>
        <w:spacing w:after="200" w:before="400"/>
      </w:pPr>
      <w:r>
        <w:rPr>
          <w:b/>
          <w:bCs/>
          <w:color w:val="1F3864"/>
          <w:sz w:val="32"/>
          <w:szCs w:val="32"/>
        </w:rPr>
        <w:t xml:space="preserve">7. Documentación de referencia aportada</w:t>
      </w:r>
    </w:p>
    <w:p>
      <w:pPr>
        <w:spacing w:after="120" w:line="300"/>
        <w:jc w:val="both"/>
      </w:pPr>
      <w:r>
        <w:t xml:space="preserve">El presente dossier se acompaña de los siguientes documentos de referencia, organizados por bloques temáticos:</w:t>
      </w:r>
    </w:p>
    <w:p>
      <w:pPr>
        <w:pStyle w:val="Heading3"/>
        <w:spacing w:after="120" w:before="200"/>
      </w:pPr>
      <w:r>
        <w:rPr>
          <w:b/>
          <w:bCs/>
          <w:color w:val="2E75B6"/>
          <w:sz w:val="22"/>
          <w:szCs w:val="22"/>
        </w:rPr>
        <w:t xml:space="preserve">Datos de mercado</w:t>
      </w:r>
    </w:p>
    <w:p>
      <w:pPr>
        <w:pStyle w:val="ListParagraph"/>
        <w:numPr>
          <w:ilvl w:val="0"/>
          <w:numId w:val="2"/>
        </w:numPr>
        <w:spacing w:after="80" w:line="280"/>
        <w:jc w:val="both"/>
      </w:pPr>
      <w:r>
        <w:t xml:space="preserve">Cannamonitor — Informe del Mercado del Cannabis en España (edición marzo 2024)</w:t>
      </w:r>
    </w:p>
    <w:p>
      <w:pPr>
        <w:pStyle w:val="ListParagraph"/>
        <w:numPr>
          <w:ilvl w:val="0"/>
          <w:numId w:val="2"/>
        </w:numPr>
        <w:spacing w:after="80" w:line="280"/>
        <w:jc w:val="both"/>
      </w:pPr>
      <w:r>
        <w:t xml:space="preserve">Cannamonitor — Informe del Mercado del Cannabis en España (edición octubre 2025)</w:t>
      </w:r>
    </w:p>
    <w:p>
      <w:pPr>
        <w:pStyle w:val="Heading3"/>
        <w:spacing w:after="120" w:before="200"/>
      </w:pPr>
      <w:r>
        <w:rPr>
          <w:b/>
          <w:bCs/>
          <w:color w:val="2E75B6"/>
          <w:sz w:val="22"/>
          <w:szCs w:val="22"/>
        </w:rPr>
        <w:t xml:space="preserve">Marco regulatorio europeo</w:t>
      </w:r>
    </w:p>
    <w:p>
      <w:pPr>
        <w:pStyle w:val="ListParagraph"/>
        <w:numPr>
          <w:ilvl w:val="0"/>
          <w:numId w:val="2"/>
        </w:numPr>
        <w:spacing w:after="80" w:line="280"/>
        <w:jc w:val="both"/>
      </w:pPr>
      <w:r>
        <w:t xml:space="preserve">Propuesta COM(2025) 553 final — modificación Reglamento (UE) 1308/2013 (OCM)</w:t>
      </w:r>
    </w:p>
    <w:p>
      <w:pPr>
        <w:pStyle w:val="ListParagraph"/>
        <w:numPr>
          <w:ilvl w:val="0"/>
          <w:numId w:val="2"/>
        </w:numPr>
        <w:spacing w:after="80" w:line="280"/>
        <w:jc w:val="both"/>
      </w:pPr>
      <w:r>
        <w:t xml:space="preserve">Reglamento (UE) 2021/2115 de la PAC (umbral 0,3% THC)</w:t>
      </w:r>
    </w:p>
    <w:p>
      <w:pPr>
        <w:pStyle w:val="ListParagraph"/>
        <w:numPr>
          <w:ilvl w:val="0"/>
          <w:numId w:val="2"/>
        </w:numPr>
        <w:spacing w:after="80" w:line="280"/>
        <w:jc w:val="both"/>
      </w:pPr>
      <w:r>
        <w:t xml:space="preserve">Directiva 2014/40/UE (TPD) — estado de la revisión TPD3</w:t>
      </w:r>
    </w:p>
    <w:p>
      <w:pPr>
        <w:pStyle w:val="ListParagraph"/>
        <w:numPr>
          <w:ilvl w:val="0"/>
          <w:numId w:val="2"/>
        </w:numPr>
        <w:spacing w:after="80" w:line="280"/>
        <w:jc w:val="both"/>
      </w:pPr>
      <w:r>
        <w:t xml:space="preserve">Sentencia TJUE C-663/18 (Kanavape), 19 de noviembre de 2020</w:t>
      </w:r>
    </w:p>
    <w:p>
      <w:pPr>
        <w:pStyle w:val="ListParagraph"/>
        <w:numPr>
          <w:ilvl w:val="0"/>
          <w:numId w:val="2"/>
        </w:numPr>
        <w:spacing w:after="80" w:line="280"/>
        <w:jc w:val="both"/>
      </w:pPr>
      <w:r>
        <w:t xml:space="preserve">Sentencia TJUE C-462/01 (Hammarsten), 16 de enero de 2003</w:t>
      </w:r>
    </w:p>
    <w:p>
      <w:pPr>
        <w:pStyle w:val="ListParagraph"/>
        <w:numPr>
          <w:ilvl w:val="0"/>
          <w:numId w:val="2"/>
        </w:numPr>
        <w:spacing w:after="80" w:line="280"/>
        <w:jc w:val="both"/>
      </w:pPr>
      <w:r>
        <w:t xml:space="preserve">Carta JIFE CL.20/2024, párrafo 23</w:t>
      </w:r>
    </w:p>
    <w:p>
      <w:pPr>
        <w:pStyle w:val="ListParagraph"/>
        <w:numPr>
          <w:ilvl w:val="0"/>
          <w:numId w:val="2"/>
        </w:numPr>
        <w:spacing w:after="80" w:line="280"/>
        <w:jc w:val="both"/>
      </w:pPr>
      <w:r>
        <w:t xml:space="preserve">Decisión (UE) 2021/3 del Consejo, de 23 de noviembre de 2020</w:t>
      </w:r>
    </w:p>
    <w:p>
      <w:pPr>
        <w:pStyle w:val="Heading3"/>
        <w:spacing w:after="120" w:before="200"/>
      </w:pPr>
      <w:r>
        <w:rPr>
          <w:b/>
          <w:bCs/>
          <w:color w:val="2E75B6"/>
          <w:sz w:val="22"/>
          <w:szCs w:val="22"/>
        </w:rPr>
        <w:t xml:space="preserve">Marco regulatorio español</w:t>
      </w:r>
    </w:p>
    <w:p>
      <w:pPr>
        <w:pStyle w:val="ListParagraph"/>
        <w:numPr>
          <w:ilvl w:val="0"/>
          <w:numId w:val="2"/>
        </w:numPr>
        <w:spacing w:after="80" w:line="280"/>
        <w:jc w:val="both"/>
      </w:pPr>
      <w:r>
        <w:t xml:space="preserve">Real Decreto 903/2025, de 7 de octubre (cannabis medicinal)</w:t>
      </w:r>
    </w:p>
    <w:p>
      <w:pPr>
        <w:pStyle w:val="ListParagraph"/>
        <w:numPr>
          <w:ilvl w:val="0"/>
          <w:numId w:val="2"/>
        </w:numPr>
        <w:spacing w:after="80" w:line="280"/>
        <w:jc w:val="both"/>
      </w:pPr>
      <w:r>
        <w:t xml:space="preserve">Real Decreto 579/2017 y proyecto de modificación (notificación TRIS D-2025-0602-ES-01)</w:t>
      </w:r>
    </w:p>
    <w:p>
      <w:pPr>
        <w:pStyle w:val="ListParagraph"/>
        <w:numPr>
          <w:ilvl w:val="0"/>
          <w:numId w:val="2"/>
        </w:numPr>
        <w:spacing w:after="80" w:line="280"/>
        <w:jc w:val="both"/>
      </w:pPr>
      <w:r>
        <w:t xml:space="preserve">Nota informativa MAPA sobre flores de cáñamo</w:t>
      </w:r>
    </w:p>
    <w:p>
      <w:pPr>
        <w:pStyle w:val="ListParagraph"/>
        <w:numPr>
          <w:ilvl w:val="0"/>
          <w:numId w:val="2"/>
        </w:numPr>
        <w:spacing w:after="80" w:line="280"/>
        <w:jc w:val="both"/>
      </w:pPr>
      <w:r>
        <w:t xml:space="preserve">Recurso 395/2025 Cannabis Hub vs. Administración del Estado ante el Tribunal Supremo (demanda formalizada 10 de marzo de 2026)</w:t>
      </w:r>
    </w:p>
    <w:p>
      <w:pPr>
        <w:pStyle w:val="Heading3"/>
        <w:spacing w:after="120" w:before="200"/>
      </w:pPr>
      <w:r>
        <w:rPr>
          <w:b/>
          <w:bCs/>
          <w:color w:val="2E75B6"/>
          <w:sz w:val="22"/>
          <w:szCs w:val="22"/>
        </w:rPr>
        <w:t xml:space="preserve">Informes CNMC previos</w:t>
      </w:r>
    </w:p>
    <w:p>
      <w:pPr>
        <w:pStyle w:val="ListParagraph"/>
        <w:numPr>
          <w:ilvl w:val="0"/>
          <w:numId w:val="2"/>
        </w:numPr>
        <w:spacing w:after="80" w:line="280"/>
        <w:jc w:val="both"/>
      </w:pPr>
      <w:r>
        <w:t xml:space="preserve">IPN/CNMC/029/22 — Anteproyecto de Ley del Mercado de Tabacos</w:t>
      </w:r>
    </w:p>
    <w:p>
      <w:pPr>
        <w:pStyle w:val="ListParagraph"/>
        <w:numPr>
          <w:ilvl w:val="0"/>
          <w:numId w:val="2"/>
        </w:numPr>
        <w:spacing w:after="80" w:line="280"/>
        <w:jc w:val="both"/>
      </w:pPr>
      <w:r>
        <w:t xml:space="preserve">Informes CNMC sobre modificaciones del RD 579/2017</w:t>
      </w:r>
    </w:p>
    <w:p>
      <w:pPr>
        <w:pStyle w:val="ListParagraph"/>
        <w:numPr>
          <w:ilvl w:val="0"/>
          <w:numId w:val="2"/>
        </w:numPr>
        <w:spacing w:after="80" w:line="280"/>
        <w:jc w:val="both"/>
      </w:pPr>
      <w:r>
        <w:t xml:space="preserve">Informe CNMC diciembre 2025 sobre restricciones a la promoción de productos relacionados con el tabaco</w:t>
      </w:r>
    </w:p>
    <w:p>
      <w:pPr>
        <w:pStyle w:val="Heading3"/>
        <w:spacing w:after="120" w:before="200"/>
      </w:pPr>
      <w:r>
        <w:rPr>
          <w:b/>
          <w:bCs/>
          <w:color w:val="2E75B6"/>
          <w:sz w:val="22"/>
          <w:szCs w:val="22"/>
        </w:rPr>
        <w:t xml:space="preserve">Evidencia científica</w:t>
      </w:r>
    </w:p>
    <w:p>
      <w:pPr>
        <w:pStyle w:val="ListParagraph"/>
        <w:numPr>
          <w:ilvl w:val="0"/>
          <w:numId w:val="2"/>
        </w:numPr>
        <w:spacing w:after="80" w:line="280"/>
        <w:jc w:val="both"/>
      </w:pPr>
      <w:r>
        <w:t xml:space="preserve">Tashkin D.P. et al. — Programa de investigación UCLA (1988-2018): NEJM 1988; Pharmacol Biochem Behav 1991; Barsky et al. 1998; Hashibe et al. Cancer Epidemiology 2006; Annals ATS 2013; Chest 2018</w:t>
      </w:r>
    </w:p>
    <w:p>
      <w:pPr>
        <w:pStyle w:val="ListParagraph"/>
        <w:numPr>
          <w:ilvl w:val="0"/>
          <w:numId w:val="2"/>
        </w:numPr>
        <w:spacing w:after="80" w:line="280"/>
        <w:jc w:val="both"/>
      </w:pPr>
      <w:r>
        <w:t xml:space="preserve">Zobel F., Notari L., Schneider E. (2019) — Cannabidiol: analyse de situation. OFSP Suiza</w:t>
      </w:r>
    </w:p>
    <w:p>
      <w:pPr>
        <w:pStyle w:val="ListParagraph"/>
        <w:numPr>
          <w:ilvl w:val="0"/>
          <w:numId w:val="2"/>
        </w:numPr>
        <w:spacing w:after="80" w:line="280"/>
        <w:jc w:val="both"/>
      </w:pPr>
      <w:r>
        <w:t xml:space="preserve">Weed Care Basel — RCT cannabis adulto regulado, Addiction 2025</w:t>
      </w:r>
    </w:p>
    <w:p>
      <w:pPr>
        <w:pStyle w:val="ListParagraph"/>
        <w:numPr>
          <w:ilvl w:val="0"/>
          <w:numId w:val="2"/>
        </w:numPr>
        <w:spacing w:after="80" w:line="280"/>
        <w:jc w:val="both"/>
      </w:pPr>
      <w:r>
        <w:t xml:space="preserve">EDADES 2024 (OEDA) — Encuesta sobre alcohol y otras drogas en España</w:t>
      </w:r>
    </w:p>
    <w:p>
      <w:pPr>
        <w:pStyle w:val="Heading3"/>
        <w:spacing w:after="120" w:before="200"/>
      </w:pPr>
      <w:r>
        <w:rPr>
          <w:b/>
          <w:bCs/>
          <w:color w:val="2E75B6"/>
          <w:sz w:val="22"/>
          <w:szCs w:val="22"/>
        </w:rPr>
        <w:t xml:space="preserve">Derecho comparado</w:t>
      </w:r>
    </w:p>
    <w:p>
      <w:pPr>
        <w:pStyle w:val="ListParagraph"/>
        <w:numPr>
          <w:ilvl w:val="0"/>
          <w:numId w:val="2"/>
        </w:numPr>
        <w:spacing w:after="80" w:line="280"/>
        <w:jc w:val="both"/>
      </w:pPr>
      <w:r>
        <w:t xml:space="preserve">Ficha Alemania — MedCanG / CanG y régimen CBD</w:t>
      </w:r>
    </w:p>
    <w:p>
      <w:pPr>
        <w:pStyle w:val="ListParagraph"/>
        <w:numPr>
          <w:ilvl w:val="0"/>
          <w:numId w:val="2"/>
        </w:numPr>
        <w:spacing w:after="80" w:line="280"/>
        <w:jc w:val="both"/>
      </w:pPr>
      <w:r>
        <w:t xml:space="preserve">Ficha Austria — hierbas para fumar y tiendas especializadas</w:t>
      </w:r>
    </w:p>
    <w:p>
      <w:pPr>
        <w:pStyle w:val="ListParagraph"/>
        <w:numPr>
          <w:ilvl w:val="0"/>
          <w:numId w:val="2"/>
        </w:numPr>
        <w:spacing w:after="80" w:line="280"/>
        <w:jc w:val="both"/>
      </w:pPr>
      <w:r>
        <w:t xml:space="preserve">Ficha Bélgica — CBD inhalatorio</w:t>
      </w:r>
    </w:p>
    <w:p>
      <w:pPr>
        <w:pStyle w:val="ListParagraph"/>
        <w:numPr>
          <w:ilvl w:val="0"/>
          <w:numId w:val="2"/>
        </w:numPr>
        <w:spacing w:after="80" w:line="280"/>
        <w:jc w:val="both"/>
      </w:pPr>
      <w:r>
        <w:t xml:space="preserve">Ficha Francia — Decreto 2022-194 y Arrêté de 30 de diciembre de 2021</w:t>
      </w:r>
    </w:p>
    <w:p>
      <w:pPr>
        <w:pStyle w:val="ListParagraph"/>
        <w:numPr>
          <w:ilvl w:val="0"/>
          <w:numId w:val="2"/>
        </w:numPr>
        <w:spacing w:after="80" w:line="280"/>
        <w:jc w:val="both"/>
      </w:pPr>
      <w:r>
        <w:t xml:space="preserve">Ficha Luxemburgo — cannabis adulto y CBD</w:t>
      </w:r>
    </w:p>
    <w:p>
      <w:pPr>
        <w:pStyle w:val="ListParagraph"/>
        <w:numPr>
          <w:ilvl w:val="0"/>
          <w:numId w:val="2"/>
        </w:numPr>
        <w:spacing w:after="80" w:line="280"/>
        <w:jc w:val="both"/>
      </w:pPr>
      <w:r>
        <w:t xml:space="preserve">Ficha Italia — Legge 242/2016 y dictamen EESC de 21 de enero de 2026</w:t>
      </w:r>
    </w:p>
    <w:p>
      <w:pPr>
        <w:pStyle w:val="ListParagraph"/>
        <w:numPr>
          <w:ilvl w:val="0"/>
          <w:numId w:val="2"/>
        </w:numPr>
        <w:spacing w:after="80" w:line="280"/>
        <w:jc w:val="both"/>
      </w:pPr>
      <w:r>
        <w:t xml:space="preserve">Ficha República Checa — umbral THC 1%</w:t>
      </w:r>
    </w:p>
    <w:p>
      <w:pPr>
        <w:pStyle w:val="ListParagraph"/>
        <w:numPr>
          <w:ilvl w:val="0"/>
          <w:numId w:val="2"/>
        </w:numPr>
        <w:spacing w:after="80" w:line="280"/>
        <w:jc w:val="both"/>
      </w:pPr>
      <w:r>
        <w:t xml:space="preserve">Ficha Suiza — cannabis light, Weed Care Basel</w:t>
      </w:r>
    </w:p>
    <w:p>
      <w:pPr>
        <w:pStyle w:val="ListParagraph"/>
        <w:numPr>
          <w:ilvl w:val="0"/>
          <w:numId w:val="2"/>
        </w:numPr>
        <w:spacing w:after="80" w:line="280"/>
        <w:jc w:val="both"/>
      </w:pPr>
      <w:r>
        <w:t xml:space="preserve">Ficha Canadá — Cannabis Act 2018</w:t>
      </w:r>
    </w:p>
    <w:p>
      <w:pPr>
        <w:pStyle w:val="Heading3"/>
        <w:spacing w:after="120" w:before="200"/>
      </w:pPr>
      <w:r>
        <w:rPr>
          <w:b/>
          <w:bCs/>
          <w:color w:val="2E75B6"/>
          <w:sz w:val="22"/>
          <w:szCs w:val="22"/>
        </w:rPr>
        <w:t xml:space="preserve">Documentación AECANI complementaria</w:t>
      </w:r>
    </w:p>
    <w:p>
      <w:pPr>
        <w:pStyle w:val="ListParagraph"/>
        <w:numPr>
          <w:ilvl w:val="0"/>
          <w:numId w:val="2"/>
        </w:numPr>
        <w:spacing w:after="80" w:line="280"/>
        <w:jc w:val="both"/>
      </w:pPr>
      <w:r>
        <w:t xml:space="preserve">Manifiesto AECANI «Tercera Vía / Sentido Común»</w:t>
      </w:r>
    </w:p>
    <w:p>
      <w:pPr>
        <w:pStyle w:val="ListParagraph"/>
        <w:numPr>
          <w:ilvl w:val="0"/>
          <w:numId w:val="2"/>
        </w:numPr>
        <w:spacing w:after="80" w:line="280"/>
        <w:jc w:val="both"/>
      </w:pPr>
      <w:r>
        <w:t xml:space="preserve">Paquete de preguntas parlamentarias al Gobierno (Grupo Parlamentario Republicano, abril 2026)</w:t>
      </w:r>
    </w:p>
    <w:p>
      <w:pPr>
        <w:pStyle w:val="ListParagraph"/>
        <w:numPr>
          <w:ilvl w:val="0"/>
          <w:numId w:val="2"/>
        </w:numPr>
        <w:spacing w:after="80" w:line="280"/>
        <w:jc w:val="both"/>
      </w:pPr>
      <w:r>
        <w:t xml:space="preserve">Propuesta AECANI de Real Decreto sobre control de cultivos y primera transformación (documento de trabajo, marzo 2026)</w:t>
      </w:r>
    </w:p>
    <w:p>
      <w:pPr>
        <w:spacing w:before="400"/>
      </w:pPr>
    </w:p>
    <w:p>
      <w:pPr>
        <w:spacing w:after="120" w:line="300"/>
        <w:jc w:val="both"/>
      </w:pPr>
      <w:r>
        <w:rPr>
          <w:i/>
          <w:iCs/>
        </w:rPr>
        <w:t xml:space="preserve">AECANI queda a entera disposición de la Comisión Nacional de los Mercados y la Competencia para ampliar cualquier extremo del presente dossier, aportar documentación adicional y colaborar activamente en los trabajos técnicos que la CNMC considere oportunos.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CNMC - El mercado del cáñamo en España</dc:title>
  <dc:creator>AECANI</dc:creator>
  <dc:description>Análisis de la cadena de valor y propuestas regulatorias</dc:description>
  <cp:lastModifiedBy>Un-named</cp:lastModifiedBy>
  <cp:revision>1</cp:revision>
  <dcterms:created xsi:type="dcterms:W3CDTF">2026-04-20T22:34:40.567Z</dcterms:created>
  <dcterms:modified xsi:type="dcterms:W3CDTF">2026-04-20T22:34:40.568Z</dcterms:modified>
</cp:coreProperties>
</file>

<file path=docProps/custom.xml><?xml version="1.0" encoding="utf-8"?>
<Properties xmlns="http://schemas.openxmlformats.org/officeDocument/2006/custom-properties" xmlns:vt="http://schemas.openxmlformats.org/officeDocument/2006/docPropsVTypes"/>
</file>