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ssier-aecani-cnmc-abril-2026"/>
    <w:p>
      <w:pPr>
        <w:pStyle w:val="Heading1"/>
      </w:pPr>
      <w:r>
        <w:t xml:space="preserve">Dossier AECANI · CNMC · Abril 2026</w:t>
      </w:r>
    </w:p>
    <w:bookmarkStart w:id="9" w:name="índice-del-anexo-documental"/>
    <w:p>
      <w:pPr>
        <w:pStyle w:val="Heading2"/>
      </w:pPr>
      <w:r>
        <w:t xml:space="preserve">Índice del anexo documental</w:t>
      </w:r>
    </w:p>
    <w:p>
      <w:pPr>
        <w:pStyle w:val="FirstParagraph"/>
      </w:pPr>
      <w:r>
        <w:t xml:space="preserve">Este índice acompaña al</w:t>
      </w:r>
      <w:r>
        <w:t xml:space="preserve"> </w:t>
      </w:r>
      <w:r>
        <w:rPr>
          <w:b/>
          <w:bCs/>
        </w:rPr>
        <w:t xml:space="preserve">Dossier AECANI para la Comisión Nacional de los Mercados y la Competencia, abril 2026</w:t>
      </w:r>
      <w:r>
        <w:t xml:space="preserve">. La numeración de anexos sigue la estructura del §9 del dossier (</w:t>
      </w:r>
      <w:r>
        <w:rPr>
          <w:i/>
          <w:iCs/>
        </w:rPr>
        <w:t xml:space="preserve">Documentación de referencia</w:t>
      </w:r>
      <w:r>
        <w:t xml:space="preserve">). Cada bloque agrupa los documentos invocados en el cuerpo del dossier y en su argumentación de soporte.</w:t>
      </w:r>
    </w:p>
    <w:p>
      <w:pPr>
        <w:pStyle w:val="BodyText"/>
      </w:pPr>
      <w:r>
        <w:t xml:space="preserve">Cada anexo se entrega en formato PDF (texto buscable salvo cuando se indica lo contrario). El nombre del fichero comienza con el código de anexo (ej.</w:t>
      </w:r>
      <w:r>
        <w:t xml:space="preserve"> </w:t>
      </w:r>
      <w:r>
        <w:rPr>
          <w:rStyle w:val="VerbatimChar"/>
        </w:rPr>
        <w:t xml:space="preserve">A3.1</w:t>
      </w:r>
      <w:r>
        <w:t xml:space="preserve">) para que el orden de carpeta refleje siempre el orden del listado.</w:t>
      </w:r>
    </w:p>
    <w:p>
      <w:r>
        <w:pict>
          <v:rect style="width:0;height:1.5pt" o:hralign="center" o:hrstd="t" o:hr="t"/>
        </w:pict>
      </w:r>
    </w:p>
    <w:bookmarkEnd w:id="9"/>
    <w:bookmarkStart w:id="10" w:name="estructura-del-zip"/>
    <w:p>
      <w:pPr>
        <w:pStyle w:val="Heading2"/>
      </w:pPr>
      <w:r>
        <w:t xml:space="preserve">Estructura del ZIP</w:t>
      </w:r>
    </w:p>
    <w:p>
      <w:pPr>
        <w:pStyle w:val="SourceCode"/>
      </w:pPr>
      <w:r>
        <w:rPr>
          <w:rStyle w:val="VerbatimChar"/>
        </w:rPr>
        <w:t xml:space="preserve">Dossier_AECANI_CNMC_Abril_2026/</w:t>
      </w:r>
      <w:r>
        <w:br/>
      </w:r>
      <w:r>
        <w:rPr>
          <w:rStyle w:val="VerbatimChar"/>
        </w:rPr>
        <w:t xml:space="preserve">├── 00_Dossier_AECANI_CNMC_Abril_2026_v4.pdf      ← Dossier principal</w:t>
      </w:r>
      <w:r>
        <w:br/>
      </w:r>
      <w:r>
        <w:rPr>
          <w:rStyle w:val="VerbatimChar"/>
        </w:rPr>
        <w:t xml:space="preserve">├── 00_Indice_Anexos.pdf                          ← Este documento</w:t>
      </w:r>
      <w:r>
        <w:br/>
      </w:r>
      <w:r>
        <w:rPr>
          <w:rStyle w:val="VerbatimChar"/>
        </w:rPr>
        <w:t xml:space="preserve">├── 00_LEEME.txt                                  ← Instrucciones de navegación</w:t>
      </w:r>
      <w:r>
        <w:br/>
      </w:r>
      <w:r>
        <w:rPr>
          <w:rStyle w:val="VerbatimChar"/>
        </w:rPr>
        <w:t xml:space="preserve">└── Anexos/</w:t>
      </w:r>
      <w:r>
        <w:br/>
      </w:r>
      <w:r>
        <w:rPr>
          <w:rStyle w:val="VerbatimChar"/>
        </w:rPr>
        <w:t xml:space="preserve">    ├── 01_Marco_competencial_CNMC/</w:t>
      </w:r>
      <w:r>
        <w:br/>
      </w:r>
      <w:r>
        <w:rPr>
          <w:rStyle w:val="VerbatimChar"/>
        </w:rPr>
        <w:t xml:space="preserve">    ├── 02_Precedentes_CNMC_propios/</w:t>
      </w:r>
      <w:r>
        <w:br/>
      </w:r>
      <w:r>
        <w:rPr>
          <w:rStyle w:val="VerbatimChar"/>
        </w:rPr>
        <w:t xml:space="preserve">    ├── 03_Marco_regulatorio_europeo/</w:t>
      </w:r>
      <w:r>
        <w:br/>
      </w:r>
      <w:r>
        <w:rPr>
          <w:rStyle w:val="VerbatimChar"/>
        </w:rPr>
        <w:t xml:space="preserve">    ├── 04_Jurisprudencia_y_regimen_internacional/</w:t>
      </w:r>
      <w:r>
        <w:br/>
      </w:r>
      <w:r>
        <w:rPr>
          <w:rStyle w:val="VerbatimChar"/>
        </w:rPr>
        <w:t xml:space="preserve">    ├── 05_Marco_regulatorio_espanol/</w:t>
      </w:r>
      <w:r>
        <w:br/>
      </w:r>
      <w:r>
        <w:rPr>
          <w:rStyle w:val="VerbatimChar"/>
        </w:rPr>
        <w:t xml:space="preserve">    ├── 06_Datos_de_mercado/</w:t>
      </w:r>
      <w:r>
        <w:br/>
      </w:r>
      <w:r>
        <w:rPr>
          <w:rStyle w:val="VerbatimChar"/>
        </w:rPr>
        <w:t xml:space="preserve">    ├── 07_Evidencia_cientifica/</w:t>
      </w:r>
      <w:r>
        <w:br/>
      </w:r>
      <w:r>
        <w:rPr>
          <w:rStyle w:val="VerbatimChar"/>
        </w:rPr>
        <w:t xml:space="preserve">    ├── 08_Derecho_comparado_paises/</w:t>
      </w:r>
      <w:r>
        <w:br/>
      </w:r>
      <w:r>
        <w:rPr>
          <w:rStyle w:val="VerbatimChar"/>
        </w:rPr>
        <w:t xml:space="preserve">    └── 09_Material_complementario/</w:t>
      </w:r>
    </w:p>
    <w:p>
      <w:r>
        <w:pict>
          <v:rect style="width:0;height:1.5pt" o:hralign="center" o:hrstd="t" o:hr="t"/>
        </w:pict>
      </w:r>
    </w:p>
    <w:bookmarkEnd w:id="10"/>
    <w:bookmarkStart w:id="11" w:name="anexo-1-marco-competencial-cnmc"/>
    <w:p>
      <w:pPr>
        <w:pStyle w:val="Heading2"/>
      </w:pPr>
      <w:r>
        <w:t xml:space="preserve">ANEXO 1 · Marco competencial CNMC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A1.1</w:t>
            </w:r>
          </w:p>
        </w:tc>
        <w:tc>
          <w:tcPr/>
          <w:p>
            <w:pPr>
              <w:pStyle w:val="Compact"/>
            </w:pPr>
            <w:r>
              <w:t xml:space="preserve">Ley 3/2013, de 4 de junio, de creación de la Comisión Nacional de los Mercados y la Competencia (BOE-A-2013-5940).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A1.2</w:t>
            </w:r>
          </w:p>
        </w:tc>
        <w:tc>
          <w:tcPr/>
          <w:p>
            <w:pPr>
              <w:pStyle w:val="Compact"/>
            </w:pPr>
            <w:r>
              <w:t xml:space="preserve">Ley 20/2013, de 9 de diciembre, de garantía de la unidad de mercado (BOE-A-2013-12888).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A1.3</w:t>
            </w:r>
          </w:p>
        </w:tc>
        <w:tc>
          <w:tcPr/>
          <w:p>
            <w:pPr>
              <w:pStyle w:val="Compact"/>
            </w:pPr>
            <w:r>
              <w:t xml:space="preserve">Ley 15/2007, de 3 de julio, de Defensa de la Competencia.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bookmarkEnd w:id="11"/>
    <w:bookmarkStart w:id="12" w:name="anexo-2-precedentes-cnmc-propios"/>
    <w:p>
      <w:pPr>
        <w:pStyle w:val="Heading2"/>
      </w:pPr>
      <w:r>
        <w:t xml:space="preserve">ANEXO 2 · Precedentes CNMC propios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A2.1</w:t>
            </w:r>
          </w:p>
        </w:tc>
        <w:tc>
          <w:tcPr/>
          <w:p>
            <w:pPr>
              <w:pStyle w:val="Compact"/>
            </w:pPr>
            <w:r>
              <w:t xml:space="preserve">IPN/CNMC/029/22 — Anteproyecto de Ley del Mercado de Tabacos.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A2.2</w:t>
            </w:r>
          </w:p>
        </w:tc>
        <w:tc>
          <w:tcPr/>
          <w:p>
            <w:pPr>
              <w:pStyle w:val="Compact"/>
            </w:pPr>
            <w:r>
              <w:t xml:space="preserve">IPN/CNMC/040/24 — PRD sobre productos del tabaco y productos relacionados (Informe del Consejo, 18/02/2025).</w:t>
            </w:r>
          </w:p>
        </w:tc>
        <w:tc>
          <w:tcPr/>
          <w:p>
            <w:pPr>
              <w:pStyle w:val="Compact"/>
            </w:pPr>
            <w:r>
              <w:t xml:space="preserve">§2.3,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A2.3</w:t>
            </w:r>
          </w:p>
        </w:tc>
        <w:tc>
          <w:tcPr/>
          <w:p>
            <w:pPr>
              <w:pStyle w:val="Compact"/>
            </w:pPr>
            <w:r>
              <w:t xml:space="preserve">IPN/CNMC/028/25 — APL Modificación Ley 28/2005 (diciembre 2025).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A2.4</w:t>
            </w:r>
          </w:p>
        </w:tc>
        <w:tc>
          <w:tcPr/>
          <w:p>
            <w:pPr>
              <w:pStyle w:val="Compact"/>
            </w:pPr>
            <w:r>
              <w:t xml:space="preserve">Memoria CNMC 2024 (referencia de actividad institucional).</w:t>
            </w:r>
          </w:p>
        </w:tc>
        <w:tc>
          <w:tcPr/>
          <w:p>
            <w:pPr>
              <w:pStyle w:val="Compact"/>
            </w:pPr>
            <w:r>
              <w:t xml:space="preserve">§9 (general)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A2.5</w:t>
            </w:r>
          </w:p>
        </w:tc>
        <w:tc>
          <w:tcPr/>
          <w:p>
            <w:pPr>
              <w:pStyle w:val="Compact"/>
            </w:pPr>
            <w:r>
              <w:t xml:space="preserve">Guía CNMC sobre estudios de mercado (MET/DP/01/13).</w:t>
            </w:r>
          </w:p>
        </w:tc>
        <w:tc>
          <w:tcPr/>
          <w:p>
            <w:pPr>
              <w:pStyle w:val="Compact"/>
            </w:pPr>
            <w:r>
              <w:t xml:space="preserve">Petición principal §8</w:t>
            </w:r>
          </w:p>
        </w:tc>
      </w:tr>
    </w:tbl>
    <w:bookmarkEnd w:id="12"/>
    <w:bookmarkStart w:id="13" w:name="anexo-3-marco-regulatorio-europeo"/>
    <w:p>
      <w:pPr>
        <w:pStyle w:val="Heading2"/>
      </w:pPr>
      <w:r>
        <w:t xml:space="preserve">ANEXO 3 · Marco regulatorio europeo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A3.1</w:t>
            </w:r>
          </w:p>
        </w:tc>
        <w:tc>
          <w:tcPr/>
          <w:p>
            <w:pPr>
              <w:pStyle w:val="Compact"/>
            </w:pPr>
            <w:r>
              <w:t xml:space="preserve">Propuesta COM(2025) 553 final · modificación Reglamento (UE) 1308/2013 OCM (ES + EN + Anexos).</w:t>
            </w:r>
          </w:p>
        </w:tc>
        <w:tc>
          <w:tcPr/>
          <w:p>
            <w:pPr>
              <w:pStyle w:val="Compact"/>
            </w:pPr>
            <w:r>
              <w:t xml:space="preserve">§3.1, §4.2.4,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A3.2</w:t>
            </w:r>
          </w:p>
        </w:tc>
        <w:tc>
          <w:tcPr/>
          <w:p>
            <w:pPr>
              <w:pStyle w:val="Compact"/>
            </w:pPr>
            <w:r>
              <w:t xml:space="preserve">Propuesta COM(2025) 560 final · ejecución PAC 2028-2034 (ES + Anexos).</w:t>
            </w:r>
          </w:p>
        </w:tc>
        <w:tc>
          <w:tcPr/>
          <w:p>
            <w:pPr>
              <w:pStyle w:val="Compact"/>
            </w:pPr>
            <w:r>
              <w:t xml:space="preserve">Contexto §4.2.4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A3.3</w:t>
            </w:r>
          </w:p>
        </w:tc>
        <w:tc>
          <w:tcPr/>
          <w:p>
            <w:pPr>
              <w:pStyle w:val="Compact"/>
            </w:pPr>
            <w:r>
              <w:t xml:space="preserve">Reglamento (UE) 2021/2115 sobre la PAC (umbral 0,3% THC).</w:t>
            </w:r>
          </w:p>
        </w:tc>
        <w:tc>
          <w:tcPr/>
          <w:p>
            <w:pPr>
              <w:pStyle w:val="Compact"/>
            </w:pPr>
            <w:r>
              <w:t xml:space="preserve">§3.1, §4.2.4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A3.4</w:t>
            </w:r>
          </w:p>
        </w:tc>
        <w:tc>
          <w:tcPr/>
          <w:p>
            <w:pPr>
              <w:pStyle w:val="Compact"/>
            </w:pPr>
            <w:r>
              <w:t xml:space="preserve">Reglamento (UE) 1308/2013 OCM única (versión vigente y consolidada 2023-01-01).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A3.5</w:t>
            </w:r>
          </w:p>
        </w:tc>
        <w:tc>
          <w:tcPr/>
          <w:p>
            <w:pPr>
              <w:pStyle w:val="Compact"/>
            </w:pPr>
            <w:r>
              <w:t xml:space="preserve">Directiva 2014/40/UE TPD (versión consolidada).</w:t>
            </w:r>
          </w:p>
        </w:tc>
        <w:tc>
          <w:tcPr/>
          <w:p>
            <w:pPr>
              <w:pStyle w:val="Compact"/>
            </w:pPr>
            <w:r>
              <w:t xml:space="preserve">§3.3, §5.1,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A3.6</w:t>
            </w:r>
          </w:p>
        </w:tc>
        <w:tc>
          <w:tcPr/>
          <w:p>
            <w:pPr>
              <w:pStyle w:val="Compact"/>
            </w:pPr>
            <w:r>
              <w:t xml:space="preserve">TPD3 — paquete de evaluación 2026: SWD(2026) 111 final + SWD(2026) 112 final + SEC(2026) 111 final + Have Your Say call for evidence (ES + EN).</w:t>
            </w:r>
          </w:p>
        </w:tc>
        <w:tc>
          <w:tcPr/>
          <w:p>
            <w:pPr>
              <w:pStyle w:val="Compact"/>
            </w:pPr>
            <w:r>
              <w:t xml:space="preserve">§5 (estado de revisión)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A3.7</w:t>
            </w:r>
          </w:p>
        </w:tc>
        <w:tc>
          <w:tcPr/>
          <w:p>
            <w:pPr>
              <w:pStyle w:val="Compact"/>
            </w:pPr>
            <w:r>
              <w:t xml:space="preserve">Decisión (UE) 2021/3 del Consejo, 23/11/2020 (eliminación cannabis Lista IV CN61).</w:t>
            </w:r>
          </w:p>
        </w:tc>
        <w:tc>
          <w:tcPr/>
          <w:p>
            <w:pPr>
              <w:pStyle w:val="Compact"/>
            </w:pPr>
            <w:r>
              <w:t xml:space="preserve">§4.2.1, §7.2</w:t>
            </w:r>
          </w:p>
        </w:tc>
      </w:tr>
    </w:tbl>
    <w:bookmarkEnd w:id="13"/>
    <w:bookmarkStart w:id="14" w:name="Xd783915a0d443bd75be49d5ffb75b7854ea656a"/>
    <w:p>
      <w:pPr>
        <w:pStyle w:val="Heading2"/>
      </w:pPr>
      <w:r>
        <w:t xml:space="preserve">ANEXO 4 · Jurisprudencia y régimen internacional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A4.1</w:t>
            </w:r>
          </w:p>
        </w:tc>
        <w:tc>
          <w:tcPr/>
          <w:p>
            <w:pPr>
              <w:pStyle w:val="Compact"/>
            </w:pPr>
            <w:r>
              <w:t xml:space="preserve">STJUE C-663/18</w:t>
            </w:r>
            <w:r>
              <w:t xml:space="preserve"> </w:t>
            </w:r>
            <w:r>
              <w:rPr>
                <w:i/>
                <w:iCs/>
              </w:rPr>
              <w:t xml:space="preserve">Kanavape</w:t>
            </w:r>
            <w:r>
              <w:t xml:space="preserve">, 19/11/2020 (versión EUR-Lex + versión limpia).</w:t>
            </w:r>
          </w:p>
        </w:tc>
        <w:tc>
          <w:tcPr/>
          <w:p>
            <w:pPr>
              <w:pStyle w:val="Compact"/>
            </w:pPr>
            <w:r>
              <w:t xml:space="preserve">§4.2.2, §5.1,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A4.2</w:t>
            </w:r>
          </w:p>
        </w:tc>
        <w:tc>
          <w:tcPr/>
          <w:p>
            <w:pPr>
              <w:pStyle w:val="Compact"/>
            </w:pPr>
            <w:r>
              <w:t xml:space="preserve">Conclusiones del Abogado General Sr. E. Tanchev, asunto C-663/18, 14/05/2020.</w:t>
            </w:r>
          </w:p>
        </w:tc>
        <w:tc>
          <w:tcPr/>
          <w:p>
            <w:pPr>
              <w:pStyle w:val="Compact"/>
            </w:pPr>
            <w:r>
              <w:t xml:space="preserve">§7.3 (inserción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A4.3</w:t>
            </w:r>
          </w:p>
        </w:tc>
        <w:tc>
          <w:tcPr/>
          <w:p>
            <w:pPr>
              <w:pStyle w:val="Compact"/>
            </w:pPr>
            <w:r>
              <w:t xml:space="preserve">STJUE C-462/01</w:t>
            </w:r>
            <w:r>
              <w:t xml:space="preserve"> </w:t>
            </w:r>
            <w:r>
              <w:rPr>
                <w:i/>
                <w:iCs/>
              </w:rPr>
              <w:t xml:space="preserve">Hammarsten</w:t>
            </w:r>
            <w:r>
              <w:t xml:space="preserve">, 16/01/2003.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A4.4</w:t>
            </w:r>
          </w:p>
        </w:tc>
        <w:tc>
          <w:tcPr/>
          <w:p>
            <w:pPr>
              <w:pStyle w:val="Compact"/>
            </w:pPr>
            <w:r>
              <w:t xml:space="preserve">Carta circular JIFE/INCB</w:t>
            </w:r>
            <w:r>
              <w:t xml:space="preserve"> </w:t>
            </w:r>
            <w:r>
              <w:rPr>
                <w:b/>
                <w:bCs/>
              </w:rPr>
              <w:t xml:space="preserve">E/INCB/NAR/C.L.20/2024</w:t>
            </w:r>
            <w:r>
              <w:t xml:space="preserve">, 16/12/2024 (ES + EN).</w:t>
            </w:r>
          </w:p>
        </w:tc>
        <w:tc>
          <w:tcPr/>
          <w:p>
            <w:pPr>
              <w:pStyle w:val="Compact"/>
            </w:pPr>
            <w:r>
              <w:t xml:space="preserve">§4.2.1,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A4.5</w:t>
            </w:r>
          </w:p>
        </w:tc>
        <w:tc>
          <w:tcPr/>
          <w:p>
            <w:pPr>
              <w:pStyle w:val="Compact"/>
            </w:pPr>
            <w:r>
              <w:t xml:space="preserve">Informe Anual JIFE 2024 (contexto institucional).</w:t>
            </w:r>
          </w:p>
        </w:tc>
        <w:tc>
          <w:tcPr/>
          <w:p>
            <w:pPr>
              <w:pStyle w:val="Compact"/>
            </w:pPr>
            <w:r>
              <w:t xml:space="preserve">Soporte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A4.6</w:t>
            </w:r>
          </w:p>
        </w:tc>
        <w:tc>
          <w:tcPr/>
          <w:p>
            <w:pPr>
              <w:pStyle w:val="Compact"/>
            </w:pPr>
            <w:r>
              <w:t xml:space="preserve">Convención Única sobre Estupefacientes de 1961 (CN61), Naciones Unidas.</w:t>
            </w:r>
          </w:p>
        </w:tc>
        <w:tc>
          <w:tcPr/>
          <w:p>
            <w:pPr>
              <w:pStyle w:val="Compact"/>
            </w:pPr>
            <w:r>
              <w:t xml:space="preserve">§7.1,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A4.7</w:t>
            </w:r>
          </w:p>
        </w:tc>
        <w:tc>
          <w:tcPr/>
          <w:p>
            <w:pPr>
              <w:pStyle w:val="Compact"/>
            </w:pPr>
            <w:r>
              <w:t xml:space="preserve">Convención de Viena sobre el Derecho de los Tratados (1969), art. 31.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</w:tbl>
    <w:bookmarkEnd w:id="14"/>
    <w:bookmarkStart w:id="15" w:name="anexo-5-marco-regulatorio-español"/>
    <w:p>
      <w:pPr>
        <w:pStyle w:val="Heading2"/>
      </w:pPr>
      <w:r>
        <w:t xml:space="preserve">ANEXO 5 · Marco regulatorio español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A5.1</w:t>
            </w:r>
          </w:p>
        </w:tc>
        <w:tc>
          <w:tcPr/>
          <w:p>
            <w:pPr>
              <w:pStyle w:val="Compact"/>
            </w:pPr>
            <w:r>
              <w:t xml:space="preserve">Real Decreto 903/2025, de 7 de octubre · cannabis medicinal (consolidado).</w:t>
            </w:r>
          </w:p>
        </w:tc>
        <w:tc>
          <w:tcPr/>
          <w:p>
            <w:pPr>
              <w:pStyle w:val="Compact"/>
            </w:pPr>
            <w:r>
              <w:t xml:space="preserve">§4 (íntegro)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A5.2</w:t>
            </w:r>
          </w:p>
        </w:tc>
        <w:tc>
          <w:tcPr/>
          <w:p>
            <w:pPr>
              <w:pStyle w:val="Compact"/>
            </w:pPr>
            <w:r>
              <w:t xml:space="preserve">Real Decreto 579/2017 · productos del tabaco y productos relacionados.</w:t>
            </w:r>
          </w:p>
        </w:tc>
        <w:tc>
          <w:tcPr/>
          <w:p>
            <w:pPr>
              <w:pStyle w:val="Compact"/>
            </w:pPr>
            <w:r>
              <w:t xml:space="preserve">§5.1,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A5.3</w:t>
            </w:r>
          </w:p>
        </w:tc>
        <w:tc>
          <w:tcPr/>
          <w:p>
            <w:pPr>
              <w:pStyle w:val="Compact"/>
            </w:pPr>
            <w:r>
              <w:t xml:space="preserve">Notificación TRIS</w:t>
            </w:r>
            <w:r>
              <w:t xml:space="preserve"> </w:t>
            </w:r>
            <w:r>
              <w:rPr>
                <w:b/>
                <w:bCs/>
              </w:rPr>
              <w:t xml:space="preserve">2025/0044/ES (ID 26624)</w:t>
            </w:r>
            <w:r>
              <w:t xml:space="preserve"> </w:t>
            </w:r>
            <w:r>
              <w:t xml:space="preserve">· proyecto modificación RD 579/2017 (textos ES + EN).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A5.4</w:t>
            </w:r>
          </w:p>
        </w:tc>
        <w:tc>
          <w:tcPr/>
          <w:p>
            <w:pPr>
              <w:pStyle w:val="Compact"/>
            </w:pPr>
            <w:r>
              <w:t xml:space="preserve">Recurso contencioso-administrativo nº</w:t>
            </w:r>
            <w:r>
              <w:t xml:space="preserve"> </w:t>
            </w:r>
            <w:r>
              <w:rPr>
                <w:b/>
                <w:bCs/>
              </w:rPr>
              <w:t xml:space="preserve">395/2025</w:t>
            </w:r>
            <w:r>
              <w:t xml:space="preserve"> </w:t>
            </w:r>
            <w:r>
              <w:rPr>
                <w:i/>
                <w:iCs/>
              </w:rPr>
              <w:t xml:space="preserve">Cannabis Hub</w:t>
            </w:r>
            <w:r>
              <w:t xml:space="preserve"> </w:t>
            </w:r>
            <w:r>
              <w:t xml:space="preserve">contra Administración del Estado, Sala 3ª-Sec. 4ª TS — demanda formalizada 10/03/2026 (dirección letrada Baño León).</w:t>
            </w:r>
          </w:p>
        </w:tc>
        <w:tc>
          <w:tcPr/>
          <w:p>
            <w:pPr>
              <w:pStyle w:val="Compact"/>
            </w:pPr>
            <w:r>
              <w:t xml:space="preserve">§4.4 (inserción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A5.5</w:t>
            </w:r>
          </w:p>
        </w:tc>
        <w:tc>
          <w:tcPr/>
          <w:p>
            <w:pPr>
              <w:pStyle w:val="Compact"/>
            </w:pPr>
            <w:r>
              <w:t xml:space="preserve">Informe jurídico Manjón-Cabeza Olmeda (Catedrática D. Penal UCM, Cátedra «Drogas Siglo XXI») para Cannabis Hub, firma digital 14/07/2024.</w:t>
            </w:r>
          </w:p>
        </w:tc>
        <w:tc>
          <w:tcPr/>
          <w:p>
            <w:pPr>
              <w:pStyle w:val="Compact"/>
            </w:pPr>
            <w:r>
              <w:t xml:space="preserve">Soporte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A5.6</w:t>
            </w:r>
          </w:p>
        </w:tc>
        <w:tc>
          <w:tcPr/>
          <w:p>
            <w:pPr>
              <w:pStyle w:val="Compact"/>
            </w:pPr>
            <w:r>
              <w:t xml:space="preserve">Nota informativa MAPA sobre flores de cáñamo.</w:t>
            </w:r>
          </w:p>
        </w:tc>
        <w:tc>
          <w:tcPr/>
          <w:p>
            <w:pPr>
              <w:pStyle w:val="Compact"/>
            </w:pPr>
            <w:r>
              <w:t xml:space="preserve">§3,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A5.7</w:t>
            </w:r>
          </w:p>
        </w:tc>
        <w:tc>
          <w:tcPr/>
          <w:p>
            <w:pPr>
              <w:pStyle w:val="Compact"/>
            </w:pPr>
            <w:r>
              <w:t xml:space="preserve">Nota DDGG MAPA sobre cultivo del cáñamo, dic. 2020.</w:t>
            </w:r>
          </w:p>
        </w:tc>
        <w:tc>
          <w:tcPr/>
          <w:p>
            <w:pPr>
              <w:pStyle w:val="Compact"/>
            </w:pPr>
            <w:r>
              <w:t xml:space="preserve">§3,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A5.8</w:t>
            </w:r>
          </w:p>
        </w:tc>
        <w:tc>
          <w:tcPr/>
          <w:p>
            <w:pPr>
              <w:pStyle w:val="Compact"/>
            </w:pPr>
            <w:r>
              <w:t xml:space="preserve">Real Decreto 969/2014 (tabaco — modelo espejo de cadena agrícola).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A5.9</w:t>
            </w:r>
          </w:p>
        </w:tc>
        <w:tc>
          <w:tcPr/>
          <w:p>
            <w:pPr>
              <w:pStyle w:val="Compact"/>
            </w:pPr>
            <w:r>
              <w:t xml:space="preserve">Ley 24/2003 de la Viña y del Vino (modelo espejo).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A5.10</w:t>
            </w:r>
          </w:p>
        </w:tc>
        <w:tc>
          <w:tcPr/>
          <w:p>
            <w:pPr>
              <w:pStyle w:val="Compact"/>
            </w:pPr>
            <w:r>
              <w:t xml:space="preserve">Ley 38/1992 de Impuestos Especiales (referencia §6).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</w:tbl>
    <w:bookmarkEnd w:id="15"/>
    <w:bookmarkStart w:id="16" w:name="anexo-6-datos-de-mercado"/>
    <w:p>
      <w:pPr>
        <w:pStyle w:val="Heading2"/>
      </w:pPr>
      <w:r>
        <w:t xml:space="preserve">ANEXO 6 · Datos de mercado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A6.1</w:t>
            </w:r>
          </w:p>
        </w:tc>
        <w:tc>
          <w:tcPr/>
          <w:p>
            <w:pPr>
              <w:pStyle w:val="Compact"/>
            </w:pPr>
            <w:r>
              <w:t xml:space="preserve">Cannamonitor — Informe del Mercado del Cannabis en España (edición octubre 2025) [referencia íntegra; resumen público anexo].</w:t>
            </w:r>
          </w:p>
        </w:tc>
        <w:tc>
          <w:tcPr/>
          <w:p>
            <w:pPr>
              <w:pStyle w:val="Compact"/>
            </w:pPr>
            <w:r>
              <w:t xml:space="preserve">§3.4, inserción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A6.2</w:t>
            </w:r>
          </w:p>
        </w:tc>
        <w:tc>
          <w:tcPr/>
          <w:p>
            <w:pPr>
              <w:pStyle w:val="Compact"/>
            </w:pPr>
            <w:r>
              <w:t xml:space="preserve">EDADES 2024 (Observatorio Español de las Drogas y las Adicciones, OEDA).</w:t>
            </w:r>
          </w:p>
        </w:tc>
        <w:tc>
          <w:tcPr/>
          <w:p>
            <w:pPr>
              <w:pStyle w:val="Compact"/>
            </w:pPr>
            <w:r>
              <w:t xml:space="preserve">§5.2(c)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A6.3</w:t>
            </w:r>
          </w:p>
        </w:tc>
        <w:tc>
          <w:tcPr/>
          <w:p>
            <w:pPr>
              <w:pStyle w:val="Compact"/>
            </w:pPr>
            <w:r>
              <w:t xml:space="preserve">FEGA · Resumen Informe de Actividades 2024 (datos cultivo).</w:t>
            </w:r>
          </w:p>
        </w:tc>
        <w:tc>
          <w:tcPr/>
          <w:p>
            <w:pPr>
              <w:pStyle w:val="Compact"/>
            </w:pPr>
            <w:r>
              <w:t xml:space="preserve">Inserción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A6.4</w:t>
            </w:r>
          </w:p>
        </w:tc>
        <w:tc>
          <w:tcPr/>
          <w:p>
            <w:pPr>
              <w:pStyle w:val="Compact"/>
            </w:pPr>
            <w:r>
              <w:t xml:space="preserve">INE · Encuesta estructural empresarial sector comercio 2024 (CNAE 4778).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</w:tbl>
    <w:bookmarkEnd w:id="16"/>
    <w:bookmarkStart w:id="17" w:name="anexo-7-evidencia-científica"/>
    <w:p>
      <w:pPr>
        <w:pStyle w:val="Heading2"/>
      </w:pPr>
      <w:r>
        <w:t xml:space="preserve">ANEXO 7 · Evidencia científica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A7.1</w:t>
            </w:r>
          </w:p>
        </w:tc>
        <w:tc>
          <w:tcPr/>
          <w:p>
            <w:pPr>
              <w:pStyle w:val="Compact"/>
            </w:pPr>
            <w:r>
              <w:t xml:space="preserve">Programa de investigación Tashkin D.P. et al. (UCLA · NIDA Grant R01-DA03018, 1988-2018) · Tashkin 2013</w:t>
            </w:r>
            <w:r>
              <w:t xml:space="preserve"> </w:t>
            </w:r>
            <w:r>
              <w:rPr>
                <w:i/>
                <w:iCs/>
              </w:rPr>
              <w:t xml:space="preserve">Annals ATS</w:t>
            </w:r>
            <w:r>
              <w:t xml:space="preserve"> </w:t>
            </w:r>
            <w:r>
              <w:t xml:space="preserve">(PDF) + fichas con DOI/PMID de NEJM 1988, PBB 1991, JNCI 1998, Cancer Epidemiology 2006, Chest 2018.</w:t>
            </w:r>
          </w:p>
        </w:tc>
        <w:tc>
          <w:tcPr/>
          <w:p>
            <w:pPr>
              <w:pStyle w:val="Compact"/>
            </w:pPr>
            <w:r>
              <w:t xml:space="preserve">§6.2(b)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A7.2</w:t>
            </w:r>
          </w:p>
        </w:tc>
        <w:tc>
          <w:tcPr/>
          <w:p>
            <w:pPr>
              <w:pStyle w:val="Compact"/>
            </w:pPr>
            <w:r>
              <w:t xml:space="preserve">Zobel F., Notari L., Schneider E. (2019) —</w:t>
            </w:r>
            <w:r>
              <w:t xml:space="preserve"> </w:t>
            </w:r>
            <w:r>
              <w:rPr>
                <w:i/>
                <w:iCs/>
              </w:rPr>
              <w:t xml:space="preserve">Cannabidiol: analyse de situation</w:t>
            </w:r>
            <w:r>
              <w:t xml:space="preserve">, OFSP/BAG Suiza.</w:t>
            </w:r>
          </w:p>
        </w:tc>
        <w:tc>
          <w:tcPr/>
          <w:p>
            <w:pPr>
              <w:pStyle w:val="Compact"/>
            </w:pPr>
            <w:r>
              <w:t xml:space="preserve">§6.2(b)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A7.3</w:t>
            </w:r>
          </w:p>
        </w:tc>
        <w:tc>
          <w:tcPr/>
          <w:p>
            <w:pPr>
              <w:pStyle w:val="Compact"/>
            </w:pPr>
            <w:r>
              <w:t xml:space="preserve">Weed Care Basel — RCT cannabis adulto regulado,</w:t>
            </w:r>
            <w:r>
              <w:t xml:space="preserve"> </w:t>
            </w:r>
            <w:r>
              <w:rPr>
                <w:i/>
                <w:iCs/>
              </w:rPr>
              <w:t xml:space="preserve">Addiction</w:t>
            </w:r>
            <w:r>
              <w:t xml:space="preserve"> </w:t>
            </w:r>
            <w:r>
              <w:t xml:space="preserve">2025.</w:t>
            </w:r>
          </w:p>
        </w:tc>
        <w:tc>
          <w:tcPr/>
          <w:p>
            <w:pPr>
              <w:pStyle w:val="Compact"/>
            </w:pPr>
            <w:r>
              <w:t xml:space="preserve">§6.2(b)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A7.4</w:t>
            </w:r>
          </w:p>
        </w:tc>
        <w:tc>
          <w:tcPr/>
          <w:p>
            <w:pPr>
              <w:pStyle w:val="Compact"/>
            </w:pPr>
            <w:r>
              <w:t xml:space="preserve">OMS —</w:t>
            </w:r>
            <w:r>
              <w:t xml:space="preserve"> </w:t>
            </w:r>
            <w:r>
              <w:rPr>
                <w:i/>
                <w:iCs/>
              </w:rPr>
              <w:t xml:space="preserve">Cannabidiol (CBD): Critical Review Report</w:t>
            </w:r>
            <w:r>
              <w:t xml:space="preserve">, ECDD 40ª reunión, junio 2018.</w:t>
            </w:r>
          </w:p>
        </w:tc>
        <w:tc>
          <w:tcPr/>
          <w:p>
            <w:pPr>
              <w:pStyle w:val="Compact"/>
            </w:pPr>
            <w:r>
              <w:t xml:space="preserve">§7.2 (inserción 8)</w:t>
            </w:r>
          </w:p>
        </w:tc>
      </w:tr>
    </w:tbl>
    <w:bookmarkEnd w:id="17"/>
    <w:bookmarkStart w:id="18" w:name="anexo-8-derecho-comparado-por-países"/>
    <w:p>
      <w:pPr>
        <w:pStyle w:val="Heading2"/>
      </w:pPr>
      <w:r>
        <w:t xml:space="preserve">ANEXO 8 · Derecho comparado por países</w:t>
      </w:r>
    </w:p>
    <w:p>
      <w:pPr>
        <w:pStyle w:val="FirstParagraph"/>
      </w:pPr>
      <w:r>
        <w:t xml:space="preserve">Una subcarpeta por país, cada una con (a) las normas nacionales clave en su versión oficial y (b) una ficha-resumen en español redactada por AECANI con citas verbatim verificables.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Normas clave incluidas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A8.1</w:t>
            </w:r>
          </w:p>
        </w:tc>
        <w:tc>
          <w:tcPr/>
          <w:p>
            <w:pPr>
              <w:pStyle w:val="Compact"/>
            </w:pPr>
            <w:r>
              <w:t xml:space="preserve">Alemania</w:t>
            </w:r>
          </w:p>
        </w:tc>
        <w:tc>
          <w:tcPr/>
          <w:p>
            <w:pPr>
              <w:pStyle w:val="Compact"/>
            </w:pPr>
            <w:r>
              <w:t xml:space="preserve">KCanG (Cannabisgesetz) 27/03/2024; MedCanG; ficha.</w:t>
            </w:r>
          </w:p>
        </w:tc>
        <w:tc>
          <w:tcPr/>
          <w:p>
            <w:pPr>
              <w:pStyle w:val="Compact"/>
            </w:pPr>
            <w:r>
              <w:t xml:space="preserve">§5.1 (cuadro)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A8.2</w:t>
            </w:r>
          </w:p>
        </w:tc>
        <w:tc>
          <w:tcPr/>
          <w:p>
            <w:pPr>
              <w:pStyle w:val="Compact"/>
            </w:pPr>
            <w: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Régimen estancos pos-VwGH Ro 2024/16/0006; ficha.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A8.3</w:t>
            </w:r>
          </w:p>
        </w:tc>
        <w:tc>
          <w:tcPr/>
          <w:p>
            <w:pPr>
              <w:pStyle w:val="Compact"/>
            </w:pPr>
            <w:r>
              <w:t xml:space="preserve">Bélgica</w:t>
            </w:r>
          </w:p>
        </w:tc>
        <w:tc>
          <w:tcPr/>
          <w:p>
            <w:pPr>
              <w:pStyle w:val="Compact"/>
            </w:pPr>
            <w:r>
              <w:t xml:space="preserve">Régimen CBD inhalable AFMPS; ficha.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A8.4</w:t>
            </w:r>
          </w:p>
        </w:tc>
        <w:tc>
          <w:tcPr/>
          <w:p>
            <w:pPr>
              <w:pStyle w:val="Compact"/>
            </w:pPr>
            <w:r>
              <w:t xml:space="preserve">Francia</w:t>
            </w:r>
          </w:p>
        </w:tc>
        <w:tc>
          <w:tcPr/>
          <w:p>
            <w:pPr>
              <w:pStyle w:val="Compact"/>
            </w:pPr>
            <w:r>
              <w:t xml:space="preserve">Décret 2022-194; Arrêté 30/12/2021; CE 444887 (29/12/2022); ficha.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A8.5</w:t>
            </w:r>
          </w:p>
        </w:tc>
        <w:tc>
          <w:tcPr/>
          <w:p>
            <w:pPr>
              <w:pStyle w:val="Compact"/>
            </w:pPr>
            <w:r>
              <w:t xml:space="preserve">Luxemburgo</w:t>
            </w:r>
          </w:p>
        </w:tc>
        <w:tc>
          <w:tcPr/>
          <w:p>
            <w:pPr>
              <w:pStyle w:val="Compact"/>
            </w:pPr>
            <w:r>
              <w:t xml:space="preserve">Loi 10/07/2023; ficha.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A8.6</w:t>
            </w:r>
          </w:p>
        </w:tc>
        <w:tc>
          <w:tcPr/>
          <w:p>
            <w:pPr>
              <w:pStyle w:val="Compact"/>
            </w:pPr>
            <w:r>
              <w:t xml:space="preserve">Italia</w:t>
            </w:r>
          </w:p>
        </w:tc>
        <w:tc>
          <w:tcPr/>
          <w:p>
            <w:pPr>
              <w:pStyle w:val="Compact"/>
            </w:pPr>
            <w:r>
              <w:t xml:space="preserve">Legge 242/2016;</w:t>
            </w:r>
            <w:r>
              <w:t xml:space="preserve"> </w:t>
            </w:r>
            <w:r>
              <w:rPr>
                <w:b/>
                <w:bCs/>
              </w:rPr>
              <w:t xml:space="preserve">Sentenza Corte Cost. 83/2015</w:t>
            </w:r>
            <w:r>
              <w:t xml:space="preserve"> </w:t>
            </w:r>
            <w:r>
              <w:t xml:space="preserve">(Gazzetta + oficial);</w:t>
            </w:r>
            <w:r>
              <w:t xml:space="preserve"> </w:t>
            </w:r>
            <w:r>
              <w:rPr>
                <w:b/>
                <w:bCs/>
              </w:rPr>
              <w:t xml:space="preserve">Sentenza Corte Cost. 240/2017</w:t>
            </w:r>
            <w:r>
              <w:t xml:space="preserve">; TUA D.Lgs. 504/1995 (consolidato); D.Lgs. 188/2014; dictamen EESC NAT/966 (21/01/2026); ficha.</w:t>
            </w:r>
          </w:p>
        </w:tc>
        <w:tc>
          <w:tcPr/>
          <w:p>
            <w:pPr>
              <w:pStyle w:val="Compact"/>
            </w:pPr>
            <w:r>
              <w:t xml:space="preserve">§5.2(a) (inserción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A8.7</w:t>
            </w:r>
          </w:p>
        </w:tc>
        <w:tc>
          <w:tcPr/>
          <w:p>
            <w:pPr>
              <w:pStyle w:val="Compact"/>
            </w:pPr>
            <w:r>
              <w:t xml:space="preserve">República Checa</w:t>
            </w:r>
          </w:p>
        </w:tc>
        <w:tc>
          <w:tcPr/>
          <w:p>
            <w:pPr>
              <w:pStyle w:val="Compact"/>
            </w:pPr>
            <w:r>
              <w:t xml:space="preserve">Ley 167/1998 (consolidado 2026); novela 321/2024 (umbral 1% THC); ficha.</w:t>
            </w:r>
          </w:p>
        </w:tc>
        <w:tc>
          <w:tcPr/>
          <w:p>
            <w:pPr>
              <w:pStyle w:val="Compact"/>
            </w:pPr>
            <w:r>
              <w:t xml:space="preserve">§4.2.4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A8.8</w:t>
            </w:r>
          </w:p>
        </w:tc>
        <w:tc>
          <w:tcPr/>
          <w:p>
            <w:pPr>
              <w:pStyle w:val="Compact"/>
            </w:pPr>
            <w:r>
              <w:t xml:space="preserve">Suiza</w:t>
            </w:r>
          </w:p>
        </w:tc>
        <w:tc>
          <w:tcPr/>
          <w:p>
            <w:pPr>
              <w:pStyle w:val="Compact"/>
            </w:pPr>
            <w:r>
              <w:t xml:space="preserve">LStup 2023; BetmPV 2021 (DE+FR);</w:t>
            </w:r>
            <w:r>
              <w:t xml:space="preserve"> </w:t>
            </w:r>
            <w:r>
              <w:rPr>
                <w:b/>
                <w:bCs/>
              </w:rPr>
              <w:t xml:space="preserve">BGer 2C_348/2019</w:t>
            </w:r>
            <w:r>
              <w:t xml:space="preserve"> </w:t>
            </w:r>
            <w:r>
              <w:t xml:space="preserve">(oficial + DFR Berna) y gemela 2C_402/2019;</w:t>
            </w:r>
            <w:r>
              <w:t xml:space="preserve"> </w:t>
            </w:r>
            <w:r>
              <w:rPr>
                <w:b/>
                <w:bCs/>
              </w:rPr>
              <w:t xml:space="preserve">BVGer A-1211/2018</w:t>
            </w:r>
            <w:r>
              <w:t xml:space="preserve"> </w:t>
            </w:r>
            <w:r>
              <w:t xml:space="preserve">(revocada); TStG (RS 641.31); TStV (RS 641.311); ficha.</w:t>
            </w:r>
          </w:p>
        </w:tc>
        <w:tc>
          <w:tcPr/>
          <w:p>
            <w:pPr>
              <w:pStyle w:val="Compact"/>
            </w:pPr>
            <w:r>
              <w:t xml:space="preserve">§6.2(b) (inserción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A8.9</w:t>
            </w:r>
          </w:p>
        </w:tc>
        <w:tc>
          <w:tcPr/>
          <w:p>
            <w:pPr>
              <w:pStyle w:val="Compact"/>
            </w:pPr>
            <w:r>
              <w:t xml:space="preserve">Canadá</w:t>
            </w:r>
          </w:p>
        </w:tc>
        <w:tc>
          <w:tcPr/>
          <w:p>
            <w:pPr>
              <w:pStyle w:val="Compact"/>
            </w:pPr>
            <w:r>
              <w:t xml:space="preserve">Cannabis Act SC 2018 c.16; Cannabis Regulations SOR/2018-144; Industrial Hemp Regulations SOR/2018-145; ficha.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</w:tbl>
    <w:bookmarkEnd w:id="18"/>
    <w:bookmarkStart w:id="19" w:name="Xa77db71917280b0cd117c9ff66fdb4f2efdb3e3"/>
    <w:p>
      <w:pPr>
        <w:pStyle w:val="Heading2"/>
      </w:pPr>
      <w:r>
        <w:t xml:space="preserve">ANEXO 9 · Material complementario español + AECANI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Cód.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Sección citada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 Verdejo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«Impacto del tabaco y las nuevas formas de consumo…»</w:t>
            </w:r>
            <w:r>
              <w:t xml:space="preserve"> </w:t>
            </w:r>
            <w:r>
              <w:t xml:space="preserve">· Susana Verdejo Fernández (Jefa de Área de Prevención y Control del Tabaquismo · Ministerio de Sanidad) · I Jornada Escuelas Promotoras de Salud, 15/10/2024.</w:t>
            </w:r>
          </w:p>
        </w:tc>
        <w:tc>
          <w:tcPr/>
          <w:p>
            <w:pPr>
              <w:pStyle w:val="Compact"/>
            </w:pPr>
            <w:r>
              <w:t xml:space="preserve">§5.1 (inserción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A9.2</w:t>
            </w:r>
          </w:p>
        </w:tc>
        <w:tc>
          <w:tcPr/>
          <w:p>
            <w:pPr>
              <w:pStyle w:val="Compact"/>
            </w:pPr>
            <w:r>
              <w:t xml:space="preserve">Documento de Consenso sobre aplicación de la Ley 28/2005 (MSCBS + CCAA, rev. Comisión Salud Pública 13/11/2019).</w:t>
            </w:r>
          </w:p>
        </w:tc>
        <w:tc>
          <w:tcPr/>
          <w:p>
            <w:pPr>
              <w:pStyle w:val="Compact"/>
            </w:pPr>
            <w:r>
              <w:t xml:space="preserve">§5.1 (inserción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A9.3</w:t>
            </w:r>
          </w:p>
        </w:tc>
        <w:tc>
          <w:tcPr/>
          <w:p>
            <w:pPr>
              <w:pStyle w:val="Compact"/>
            </w:pPr>
            <w:r>
              <w:t xml:space="preserve">Lista positiva oficial de productos a base de hierbas para fumar (Min. Sanidad).</w:t>
            </w:r>
          </w:p>
        </w:tc>
        <w:tc>
          <w:tcPr/>
          <w:p>
            <w:pPr>
              <w:pStyle w:val="Compact"/>
            </w:pPr>
            <w:r>
              <w:t xml:space="preserve">§5.1 (inserción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A9.4</w:t>
            </w:r>
          </w:p>
        </w:tc>
        <w:tc>
          <w:tcPr/>
          <w:p>
            <w:pPr>
              <w:pStyle w:val="Compact"/>
            </w:pPr>
            <w:r>
              <w:t xml:space="preserve">Circular 3/2020, de 27 de noviembre, del Comisionado para el Mercado de Tabacos sobre comercialización de productos derivados del cannabis en expendedurías.</w:t>
            </w:r>
          </w:p>
        </w:tc>
        <w:tc>
          <w:tcPr/>
          <w:p>
            <w:pPr>
              <w:pStyle w:val="Compact"/>
            </w:pPr>
            <w:r>
              <w:t xml:space="preserve">§5.2(d) (inserción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A9.5</w:t>
            </w:r>
          </w:p>
        </w:tc>
        <w:tc>
          <w:tcPr/>
          <w:p>
            <w:pPr>
              <w:pStyle w:val="Compact"/>
            </w:pPr>
            <w:r>
              <w:t xml:space="preserve">Consulta vinculante DGT</w:t>
            </w:r>
            <w:r>
              <w:t xml:space="preserve"> </w:t>
            </w:r>
            <w:r>
              <w:rPr>
                <w:b/>
                <w:bCs/>
              </w:rPr>
              <w:t xml:space="preserve">V2242-22</w:t>
            </w:r>
            <w:r>
              <w:t xml:space="preserve"> </w:t>
            </w:r>
            <w:r>
              <w:t xml:space="preserve">de 26/10/2022 (IVA flores cáñamo industrial).</w:t>
            </w:r>
          </w:p>
        </w:tc>
        <w:tc>
          <w:tcPr/>
          <w:p>
            <w:pPr>
              <w:pStyle w:val="Compact"/>
            </w:pPr>
            <w:r>
              <w:t xml:space="preserve">§6.1 (inserción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A9.6</w:t>
            </w:r>
          </w:p>
        </w:tc>
        <w:tc>
          <w:tcPr/>
          <w:p>
            <w:pPr>
              <w:pStyle w:val="Compact"/>
            </w:pPr>
            <w:r>
              <w:t xml:space="preserve">Conclusiones AG Tanchev, asunto C-663/18 (14/05/2020).</w:t>
            </w:r>
          </w:p>
        </w:tc>
        <w:tc>
          <w:tcPr/>
          <w:p>
            <w:pPr>
              <w:pStyle w:val="Compact"/>
            </w:pPr>
            <w:r>
              <w:t xml:space="preserve">§7.3 (inserción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A9.7</w:t>
            </w:r>
          </w:p>
        </w:tc>
        <w:tc>
          <w:tcPr/>
          <w:p>
            <w:pPr>
              <w:pStyle w:val="Compact"/>
            </w:pPr>
            <w:r>
              <w:t xml:space="preserve">OMS · CBD Critical Review Report, ECDD 40ª reunión (junio 2018).</w:t>
            </w:r>
          </w:p>
        </w:tc>
        <w:tc>
          <w:tcPr/>
          <w:p>
            <w:pPr>
              <w:pStyle w:val="Compact"/>
            </w:pPr>
            <w:r>
              <w:t xml:space="preserve">§7.2 (inserción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A9.8</w:t>
            </w:r>
          </w:p>
        </w:tc>
        <w:tc>
          <w:tcPr/>
          <w:p>
            <w:pPr>
              <w:pStyle w:val="Compact"/>
            </w:pPr>
            <w:r>
              <w:t xml:space="preserve">Sentenza Corte Costituzionale italiana</w:t>
            </w:r>
            <w:r>
              <w:t xml:space="preserve"> </w:t>
            </w:r>
            <w:r>
              <w:rPr>
                <w:b/>
                <w:bCs/>
              </w:rPr>
              <w:t xml:space="preserve">n. 83/2015</w:t>
            </w:r>
            <w:r>
              <w:t xml:space="preserve"> </w:t>
            </w:r>
            <w:r>
              <w:t xml:space="preserve">(Gazzetta Ufficiale + texto oficial Corte).</w:t>
            </w:r>
          </w:p>
        </w:tc>
        <w:tc>
          <w:tcPr/>
          <w:p>
            <w:pPr>
              <w:pStyle w:val="Compact"/>
            </w:pPr>
            <w:r>
              <w:t xml:space="preserve">§5.2(a) (inserción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A9.9</w:t>
            </w:r>
          </w:p>
        </w:tc>
        <w:tc>
          <w:tcPr/>
          <w:p>
            <w:pPr>
              <w:pStyle w:val="Compact"/>
            </w:pPr>
            <w:r>
              <w:t xml:space="preserve">Sentenza Corte Costituzionale italiana</w:t>
            </w:r>
            <w:r>
              <w:t xml:space="preserve"> </w:t>
            </w:r>
            <w:r>
              <w:rPr>
                <w:b/>
                <w:bCs/>
              </w:rPr>
              <w:t xml:space="preserve">n. 240/2017</w:t>
            </w:r>
            <w:r>
              <w:t xml:space="preserve"> </w:t>
            </w:r>
            <w:r>
              <w:t xml:space="preserve">(Gazzetta Ufficiale).</w:t>
            </w:r>
          </w:p>
        </w:tc>
        <w:tc>
          <w:tcPr/>
          <w:p>
            <w:pPr>
              <w:pStyle w:val="Compact"/>
            </w:pPr>
            <w:r>
              <w:t xml:space="preserve">§5.2(a) (inserción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A9.10</w:t>
            </w:r>
          </w:p>
        </w:tc>
        <w:tc>
          <w:tcPr/>
          <w:p>
            <w:pPr>
              <w:pStyle w:val="Compact"/>
            </w:pPr>
            <w:r>
              <w:t xml:space="preserve">Bundesgericht suizo · Urteil</w:t>
            </w:r>
            <w:r>
              <w:t xml:space="preserve"> </w:t>
            </w:r>
            <w:r>
              <w:rPr>
                <w:b/>
                <w:bCs/>
              </w:rPr>
              <w:t xml:space="preserve">2C_348/2019</w:t>
            </w:r>
            <w:r>
              <w:t xml:space="preserve"> </w:t>
            </w:r>
            <w:r>
              <w:t xml:space="preserve">de 29/01/2020 + gemelas 2C_402/2019 / 2C_350/2019; BVGer A-1211/2018 (revocada).</w:t>
            </w:r>
          </w:p>
        </w:tc>
        <w:tc>
          <w:tcPr/>
          <w:p>
            <w:pPr>
              <w:pStyle w:val="Compact"/>
            </w:pPr>
            <w:r>
              <w:t xml:space="preserve">§6.2(b) (inserción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A9.11</w:t>
            </w:r>
          </w:p>
        </w:tc>
        <w:tc>
          <w:tcPr/>
          <w:p>
            <w:pPr>
              <w:pStyle w:val="Compact"/>
            </w:pPr>
            <w:r>
              <w:t xml:space="preserve">PNL Comisión Agricultura, GP Republicano + GP Sumar + GP EH Bildu, instando a la AEMPS conformidad con Kanavape.</w:t>
            </w:r>
          </w:p>
        </w:tc>
        <w:tc>
          <w:tcPr/>
          <w:p>
            <w:pPr>
              <w:pStyle w:val="Compact"/>
            </w:pPr>
            <w:r>
              <w:t xml:space="preserve">§9 (inserción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A9.12</w:t>
            </w:r>
          </w:p>
        </w:tc>
        <w:tc>
          <w:tcPr/>
          <w:p>
            <w:pPr>
              <w:pStyle w:val="Compact"/>
            </w:pPr>
            <w:r>
              <w:t xml:space="preserve">Manifiesto AECANI «Sentido Común» (referencia interna).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notas-de-entrega"/>
    <w:p>
      <w:pPr>
        <w:pStyle w:val="Heading2"/>
      </w:pPr>
      <w:r>
        <w:t xml:space="preserve">NOTAS DE ENTREGA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Cita cruzada.</w:t>
      </w:r>
      <w:r>
        <w:t xml:space="preserve"> </w:t>
      </w:r>
      <w:r>
        <w:t xml:space="preserve">Cada inserción del v4 indica entre corchetes el código de anexo (</w:t>
      </w:r>
      <w:r>
        <w:rPr>
          <w:rStyle w:val="VerbatimChar"/>
        </w:rPr>
        <w:t xml:space="preserve">[Anexo X.Y]</w:t>
      </w:r>
      <w:r>
        <w:t xml:space="preserve">) que la sustenta. La CNMC puede acceder al documento referenciado abriendo la carpeta</w:t>
      </w:r>
      <w:r>
        <w:t xml:space="preserve"> </w:t>
      </w:r>
      <w:r>
        <w:rPr>
          <w:rStyle w:val="VerbatimChar"/>
        </w:rPr>
        <w:t xml:space="preserve">Anexos/0X_.../</w:t>
      </w:r>
      <w:r>
        <w:t xml:space="preserve"> </w:t>
      </w:r>
      <w:r>
        <w:t xml:space="preserve">y localizando el fichero por el prefijo numérico.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Pesos.</w:t>
      </w:r>
      <w:r>
        <w:t xml:space="preserve"> </w:t>
      </w:r>
      <w:r>
        <w:t xml:space="preserve">Volumen total estimado del ZIP: ≈ 95-110 MB. Si se prefiere fragmentación por pesos, se entrega el dossier principal en un envío y los anexos en un segundo envío (</w:t>
      </w:r>
      <w:r>
        <w:rPr>
          <w:rStyle w:val="VerbatimChar"/>
        </w:rPr>
        <w:t xml:space="preserve">Anexos_AECANI_CNMC.zip</w:t>
      </w:r>
      <w:r>
        <w:t xml:space="preserve">) referenciado por este mismo índice.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Documentos no incluidos por su naturaleza.</w:t>
      </w:r>
      <w:r>
        <w:t xml:space="preserve"> </w:t>
      </w:r>
      <w:r>
        <w:t xml:space="preserve">Los briefings internos AECANI, la correspondencia con expertos internacionales (incluida la Carta JIFE/INCB en su versión de circular reservada a Gobiernos) y el borrador de propuesta AECANI de Real Decreto sobre control de cultivos (documento de trabajo, marzo 2026) no se adjuntan en el envío institucional, pero quedan a disposición de la CNMC bajo la lógica del art. 5.2 Ley 3/2013 si el regulador requiere ampliación.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 y accesibilidad.</w:t>
      </w:r>
      <w:r>
        <w:t xml:space="preserve"> </w:t>
      </w:r>
      <w:r>
        <w:t xml:space="preserve">Todos los anexos se entregan en PDF buscable, salvo la</w:t>
      </w:r>
      <w:r>
        <w:t xml:space="preserve"> </w:t>
      </w:r>
      <w:r>
        <w:rPr>
          <w:i/>
          <w:iCs/>
        </w:rPr>
        <w:t xml:space="preserve">Instrucción de la Fiscalía sobre cáñamo</w:t>
      </w:r>
      <w:r>
        <w:t xml:space="preserve"> </w:t>
      </w:r>
      <w:r>
        <w:t xml:space="preserve">(documento escaneado sin OCR — anotado en la ficha del propio anexo).</w:t>
      </w:r>
    </w:p>
    <w:p>
      <w:pPr>
        <w:pStyle w:val="FirstParagraph"/>
      </w:pPr>
      <w:r>
        <w:t xml:space="preserve">— Fin del índice —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2026-04-28T12:35:32Z</dcterms:created>
  <dcterms:modified xsi:type="dcterms:W3CDTF">2026-04-28T12:35:32Z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