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4512" w14:textId="77777777" w:rsidR="007F073C" w:rsidRDefault="007F073C">
      <w:pPr>
        <w:spacing w:before="2400"/>
      </w:pPr>
    </w:p>
    <w:p w14:paraId="1AC9961D" w14:textId="77777777" w:rsidR="007F073C" w:rsidRDefault="00000000">
      <w:pPr>
        <w:spacing w:after="120"/>
        <w:jc w:val="center"/>
      </w:pPr>
      <w:r>
        <w:rPr>
          <w:b/>
          <w:bCs/>
          <w:color w:val="1F3864"/>
        </w:rPr>
        <w:t>ASOCIACIÓN ESPAÑOLA DEL CÁÑAMO INDUSTRIAL</w:t>
      </w:r>
    </w:p>
    <w:p w14:paraId="42909074" w14:textId="77777777" w:rsidR="007F073C" w:rsidRDefault="00000000">
      <w:pPr>
        <w:spacing w:after="600"/>
        <w:jc w:val="center"/>
      </w:pPr>
      <w:r>
        <w:rPr>
          <w:i/>
          <w:iCs/>
          <w:color w:val="606060"/>
        </w:rPr>
        <w:t>AECANI</w:t>
      </w:r>
    </w:p>
    <w:p w14:paraId="3F029BA4" w14:textId="77777777" w:rsidR="007F073C" w:rsidRDefault="00000000">
      <w:pPr>
        <w:spacing w:after="120"/>
        <w:jc w:val="center"/>
      </w:pPr>
      <w:r>
        <w:rPr>
          <w:b/>
          <w:bCs/>
          <w:color w:val="1F3864"/>
          <w:sz w:val="44"/>
          <w:szCs w:val="44"/>
        </w:rPr>
        <w:t>DISTORSIONES DE COMPETENCIA</w:t>
      </w:r>
    </w:p>
    <w:p w14:paraId="6219B2D3" w14:textId="37E67A94" w:rsidR="007F073C" w:rsidRDefault="00000000">
      <w:pPr>
        <w:spacing w:after="480"/>
        <w:jc w:val="center"/>
      </w:pPr>
      <w:r>
        <w:rPr>
          <w:b/>
          <w:bCs/>
          <w:color w:val="1F3864"/>
          <w:sz w:val="32"/>
          <w:szCs w:val="32"/>
        </w:rPr>
        <w:t>EN EL MERCADO DEL CÁÑAMO INDUSTRIAL EN ESPAÑA</w:t>
      </w:r>
    </w:p>
    <w:p w14:paraId="0EEE371A" w14:textId="77777777" w:rsidR="007F073C" w:rsidRDefault="00000000">
      <w:pPr>
        <w:spacing w:after="1200"/>
        <w:jc w:val="center"/>
      </w:pPr>
      <w:r>
        <w:rPr>
          <w:i/>
          <w:iCs/>
          <w:color w:val="404040"/>
          <w:sz w:val="24"/>
          <w:szCs w:val="24"/>
        </w:rPr>
        <w:t>El bloqueo regulatorio del cáñamo industrial: efectos sobre la cadena de valor agrícola, sobre el mercado interior español y sobre la unidad del mercado europeo</w:t>
      </w:r>
    </w:p>
    <w:p w14:paraId="63C489E1" w14:textId="77777777" w:rsidR="007F073C" w:rsidRDefault="00000000">
      <w:pPr>
        <w:spacing w:after="80"/>
        <w:jc w:val="center"/>
      </w:pPr>
      <w:r>
        <w:rPr>
          <w:color w:val="606060"/>
        </w:rPr>
        <w:t>Dossier elaborado para la</w:t>
      </w:r>
    </w:p>
    <w:p w14:paraId="05EA67BD" w14:textId="77777777" w:rsidR="007F073C" w:rsidRDefault="00000000">
      <w:pPr>
        <w:spacing w:after="600"/>
        <w:jc w:val="center"/>
      </w:pPr>
      <w:r>
        <w:rPr>
          <w:b/>
          <w:bCs/>
          <w:color w:val="1F3864"/>
          <w:sz w:val="26"/>
          <w:szCs w:val="26"/>
        </w:rPr>
        <w:t>COMISIÓN NACIONAL DE LOS MERCADOS Y LA COMPETENCIA</w:t>
      </w:r>
    </w:p>
    <w:p w14:paraId="0C9A7FD3" w14:textId="77777777" w:rsidR="007F073C" w:rsidRDefault="00000000">
      <w:pPr>
        <w:jc w:val="center"/>
      </w:pPr>
      <w:r>
        <w:rPr>
          <w:color w:val="606060"/>
        </w:rPr>
        <w:t>Abril 2026</w:t>
      </w:r>
    </w:p>
    <w:p w14:paraId="1E26840B" w14:textId="77777777" w:rsidR="007F073C" w:rsidRDefault="00000000">
      <w:r>
        <w:br w:type="page"/>
      </w:r>
    </w:p>
    <w:p w14:paraId="46A44AED" w14:textId="77777777" w:rsidR="007F073C" w:rsidRDefault="00000000">
      <w:pPr>
        <w:pStyle w:val="Ttulo1"/>
      </w:pPr>
      <w:r>
        <w:lastRenderedPageBreak/>
        <w:t>Índice</w:t>
      </w:r>
    </w:p>
    <w:p w14:paraId="27DB3107" w14:textId="77777777" w:rsidR="007F073C" w:rsidRDefault="00000000">
      <w:pPr>
        <w:spacing w:before="80" w:after="80" w:line="320" w:lineRule="auto"/>
        <w:jc w:val="both"/>
      </w:pPr>
      <w:r>
        <w:t>1. Presentación · Quiénes somos y por qué nos dirigimos a la CNMC</w:t>
      </w:r>
    </w:p>
    <w:p w14:paraId="1EF4A599" w14:textId="77777777" w:rsidR="007F073C" w:rsidRDefault="00000000">
      <w:pPr>
        <w:spacing w:before="80" w:after="80" w:line="320" w:lineRule="auto"/>
        <w:jc w:val="both"/>
      </w:pPr>
      <w:r>
        <w:t>2. La CNMC tiene jurisdicción sobre esta materia</w:t>
      </w:r>
    </w:p>
    <w:p w14:paraId="2A81A012" w14:textId="77777777" w:rsidR="007F073C" w:rsidRDefault="00000000">
      <w:pPr>
        <w:spacing w:before="80" w:after="80" w:line="320" w:lineRule="auto"/>
        <w:jc w:val="both"/>
      </w:pPr>
      <w:r>
        <w:t>3. Radiografía del sector · El cáñamo industrial y sus productos derivados</w:t>
      </w:r>
    </w:p>
    <w:p w14:paraId="49E6A2F0" w14:textId="77777777" w:rsidR="007F073C" w:rsidRDefault="00000000">
      <w:pPr>
        <w:spacing w:before="80" w:after="80" w:line="320" w:lineRule="auto"/>
        <w:jc w:val="both"/>
      </w:pPr>
      <w:r>
        <w:t>4. Primer frente · El bloqueo del agricultor español ante el mercado medicinal (art. 5.2 RD 903/2025)</w:t>
      </w:r>
    </w:p>
    <w:p w14:paraId="3005A735" w14:textId="77777777" w:rsidR="007F073C" w:rsidRDefault="00000000">
      <w:pPr>
        <w:spacing w:before="80" w:after="80" w:line="320" w:lineRule="auto"/>
        <w:jc w:val="both"/>
      </w:pPr>
      <w:r>
        <w:t>5. Segundo frente · El bloqueo del comerciante final (productos no medicinales y hierbas para fumar)</w:t>
      </w:r>
    </w:p>
    <w:p w14:paraId="63EC63CF" w14:textId="77777777" w:rsidR="007F073C" w:rsidRDefault="00000000">
      <w:pPr>
        <w:spacing w:before="80" w:after="80" w:line="320" w:lineRule="auto"/>
        <w:jc w:val="both"/>
      </w:pPr>
      <w:r>
        <w:t>6. Régimen fiscal · La hipocresía ornamental y la propuesta proporcional</w:t>
      </w:r>
    </w:p>
    <w:p w14:paraId="7EBDE7F1" w14:textId="77777777" w:rsidR="007F073C" w:rsidRDefault="00000000">
      <w:pPr>
        <w:spacing w:before="80" w:after="80" w:line="320" w:lineRule="auto"/>
        <w:jc w:val="both"/>
      </w:pPr>
      <w:r>
        <w:t>7. Argumentación legal transversal · Por qué el cáñamo industrial no es un estupefaciente</w:t>
      </w:r>
    </w:p>
    <w:p w14:paraId="56781065" w14:textId="77777777" w:rsidR="007F073C" w:rsidRDefault="00000000">
      <w:pPr>
        <w:spacing w:before="80" w:after="80" w:line="320" w:lineRule="auto"/>
        <w:jc w:val="both"/>
      </w:pPr>
      <w:r>
        <w:t>8. Peticiones a la CNMC</w:t>
      </w:r>
    </w:p>
    <w:p w14:paraId="5719D8AB" w14:textId="77777777" w:rsidR="007F073C" w:rsidRDefault="00000000">
      <w:pPr>
        <w:spacing w:before="80" w:after="80" w:line="320" w:lineRule="auto"/>
        <w:jc w:val="both"/>
      </w:pPr>
      <w:r>
        <w:t>9. Documentación de referencia</w:t>
      </w:r>
    </w:p>
    <w:p w14:paraId="1599FA21" w14:textId="77777777" w:rsidR="007F073C" w:rsidRDefault="00000000">
      <w:r>
        <w:br w:type="page"/>
      </w:r>
    </w:p>
    <w:p w14:paraId="4F1D8DF1" w14:textId="77777777" w:rsidR="007F073C" w:rsidRDefault="00000000">
      <w:pPr>
        <w:pStyle w:val="Ttulo1"/>
      </w:pPr>
      <w:r>
        <w:lastRenderedPageBreak/>
        <w:t>1. Presentación</w:t>
      </w:r>
    </w:p>
    <w:p w14:paraId="3BDB3B1B" w14:textId="77777777" w:rsidR="007F073C" w:rsidRDefault="00000000">
      <w:pPr>
        <w:pStyle w:val="Ttulo2"/>
      </w:pPr>
      <w:r>
        <w:t>1.1 Qué es AECANI</w:t>
      </w:r>
    </w:p>
    <w:p w14:paraId="64774B81" w14:textId="77777777" w:rsidR="007F073C" w:rsidRDefault="00000000">
      <w:pPr>
        <w:spacing w:before="80" w:after="80" w:line="320" w:lineRule="auto"/>
        <w:jc w:val="both"/>
      </w:pPr>
      <w:r>
        <w:t>La Asociación Española del Cáñamo Industrial (AECANI) es la entidad sectorial que agrupa a los principales operadores del cáñamo industrial en España, abarcando toda la cadena de valor: agricultores, primeros transformadores, fabricantes de productos derivados (cosméticos, suplementos, productos a base de hierbas para fumar, textil, materiales de construcción) y comercializadores minoristas.</w:t>
      </w:r>
    </w:p>
    <w:p w14:paraId="4F9885C1" w14:textId="77777777" w:rsidR="007F073C" w:rsidRDefault="00000000">
      <w:pPr>
        <w:spacing w:before="80" w:after="80" w:line="320" w:lineRule="auto"/>
        <w:jc w:val="both"/>
      </w:pPr>
      <w:r>
        <w:t>AECANI representa a un sector que en España genera, según los datos disponibles más recientes, una facturación agregada estimada en el entorno de los 450 millones de euros anuales, en torno a 6.700 empleos directos y aproximadamente 1.700 establecimientos minoristas distribuidos por todo el territorio nacional.</w:t>
      </w:r>
    </w:p>
    <w:p w14:paraId="29501A8D" w14:textId="77777777" w:rsidR="007F073C" w:rsidRDefault="00000000">
      <w:pPr>
        <w:spacing w:before="80" w:after="80" w:line="320" w:lineRule="auto"/>
        <w:jc w:val="both"/>
      </w:pPr>
      <w:r>
        <w:t xml:space="preserve">La asociación cuenta entre sus miembros con operadores fundadores del sector en España, así como con la mayoría de los actores con representatividad nacional. AECANI es asimismo interlocutor en los foros europeos del sector, participando activamente en los trabajos de la </w:t>
      </w:r>
      <w:proofErr w:type="spellStart"/>
      <w:r>
        <w:t>European</w:t>
      </w:r>
      <w:proofErr w:type="spellEnd"/>
      <w:r>
        <w:t xml:space="preserve"> Industrial Hemp </w:t>
      </w:r>
      <w:proofErr w:type="spellStart"/>
      <w:r>
        <w:t>Association</w:t>
      </w:r>
      <w:proofErr w:type="spellEnd"/>
      <w:r>
        <w:t xml:space="preserve"> (EIHA)y manteniendo coordinación con asociaciones homólogas de otros Estados miembros.</w:t>
      </w:r>
    </w:p>
    <w:p w14:paraId="01175A1C" w14:textId="77777777" w:rsidR="007F073C" w:rsidRDefault="00000000">
      <w:pPr>
        <w:pStyle w:val="Ttulo2"/>
      </w:pPr>
      <w:r>
        <w:t>1.2 Qué pedimos a la CNMC</w:t>
      </w:r>
    </w:p>
    <w:p w14:paraId="77E89133" w14:textId="77777777" w:rsidR="007F073C" w:rsidRDefault="00000000">
      <w:pPr>
        <w:spacing w:before="80" w:after="80" w:line="320" w:lineRule="auto"/>
        <w:jc w:val="both"/>
      </w:pPr>
      <w:r>
        <w:t>AECANI traslada a la Comisión Nacional de los Mercados y la Competencia el presente dossier con una petición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101B9C7E"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017581A" w14:textId="77777777" w:rsidR="007F073C" w:rsidRDefault="00000000">
            <w:pPr>
              <w:spacing w:after="80"/>
            </w:pPr>
            <w:r>
              <w:rPr>
                <w:b/>
                <w:bCs/>
                <w:color w:val="1F3864"/>
              </w:rPr>
              <w:t>PETICIÓN PRINCIPAL</w:t>
            </w:r>
          </w:p>
          <w:p w14:paraId="0A9BA528" w14:textId="77777777" w:rsidR="007F073C" w:rsidRDefault="00000000">
            <w:pPr>
              <w:spacing w:before="60" w:after="60" w:line="300" w:lineRule="auto"/>
              <w:jc w:val="both"/>
            </w:pPr>
            <w:r>
              <w:rPr>
                <w:b/>
                <w:bCs/>
              </w:rPr>
              <w:t>La apertura de un estudio sectorial específico sobre el mercado del cáñamo industrial y sus productos derivados no estupefacientes en España, al amparo del artículo 5.1.h de la Ley 3/2013, así como pronunciamientos técnicos sobre las concretas distorsiones de competencia identificadas en el presente dossier.</w:t>
            </w:r>
          </w:p>
        </w:tc>
      </w:tr>
    </w:tbl>
    <w:p w14:paraId="0E4F40A7" w14:textId="77777777" w:rsidR="007F073C" w:rsidRDefault="00000000">
      <w:pPr>
        <w:spacing w:before="80" w:after="80" w:line="320" w:lineRule="auto"/>
        <w:jc w:val="both"/>
      </w:pPr>
      <w:r>
        <w:t>La motivación de esta petición se desarrolla en los apartados siguientes. En síntesis: en España existe hoy un sector económico consolidado, de dimensiones relevantes y con presencia paneuropea, que opera bajo un marco regulatorio incoherente que produce distorsiones de competencia documentables. Estas distorsiones afectan tanto al primer eslabón de la cadena —el agricultor que no puede suministrar al mercado medicinal habilitado por el propio Estado— como al último —el comerciante que no puede registrar legalmente productos que en otros seis Estados miembros de la Unión Europea sí se comercializan.</w:t>
      </w:r>
    </w:p>
    <w:p w14:paraId="117006F6" w14:textId="77777777" w:rsidR="007F073C" w:rsidRDefault="00000000">
      <w:pPr>
        <w:spacing w:before="80" w:after="80" w:line="320" w:lineRule="auto"/>
        <w:jc w:val="both"/>
      </w:pPr>
      <w:r>
        <w:t>AECANI considera que estas distorsiones caen materialmente dentro del ámbito de actuación de la CNMC en virtud de la Ley 3/2013 y de la Ley 20/2013, y que su análisis y pronunciamiento por parte del regulador de competencia es necesario para el correcto funcionamiento del mercado, la unidad del mercado interior español y la coherencia con el Derecho de la Unión Europea.</w:t>
      </w:r>
    </w:p>
    <w:p w14:paraId="11C7B900" w14:textId="77777777" w:rsidR="007F073C" w:rsidRDefault="00000000">
      <w:r>
        <w:br w:type="page"/>
      </w:r>
    </w:p>
    <w:p w14:paraId="3611003B" w14:textId="77777777" w:rsidR="007F073C" w:rsidRDefault="00000000">
      <w:pPr>
        <w:pStyle w:val="Ttulo1"/>
      </w:pPr>
      <w:r>
        <w:lastRenderedPageBreak/>
        <w:t>2. La CNMC tiene jurisdicción sobre esta materia</w:t>
      </w:r>
    </w:p>
    <w:p w14:paraId="454298FF" w14:textId="77777777" w:rsidR="007F073C" w:rsidRDefault="00000000">
      <w:pPr>
        <w:spacing w:before="80" w:after="80" w:line="320" w:lineRule="auto"/>
        <w:jc w:val="both"/>
      </w:pPr>
      <w:r>
        <w:t>Antes de exponer el análisis sectorial, AECANI considera oportuno explicitar las bases jurídicas que fundamentan la competencia material de la CNMC sobre las cuestiones planteadas en este dossier. No se trata de una cuestión menor: parte del valor añadido de este documento consiste precisamente en demostrar que el regulador de competencia tiene tanto la habilitación legal como instrumentos concretos para pronunciarse y, en su caso, actuar.</w:t>
      </w:r>
    </w:p>
    <w:p w14:paraId="26F44601" w14:textId="77777777" w:rsidR="007F073C" w:rsidRDefault="00000000">
      <w:pPr>
        <w:pStyle w:val="Ttulo2"/>
      </w:pPr>
      <w:r>
        <w:t>2.1 Habilitación general · Ley 3/2013</w:t>
      </w:r>
    </w:p>
    <w:p w14:paraId="042E6644" w14:textId="77777777" w:rsidR="007F073C" w:rsidRDefault="00000000">
      <w:pPr>
        <w:spacing w:before="80" w:after="80" w:line="320" w:lineRule="auto"/>
        <w:jc w:val="both"/>
      </w:pPr>
      <w:r>
        <w:t>El artículo 1.2 de la Ley 3/2013 establece que la CNMC tiene por objeto «garantizar, preservar y promover el correcto funcionamiento, la transparencia y la existencia de una competencia efectiva en todos los mercados y sectores productivos, en beneficio de los consumidores y usuarios». Este mandato es general y se proyecta sobre todos los sectores económicos, sin exclusión sectorial alguna.</w:t>
      </w:r>
    </w:p>
    <w:p w14:paraId="0315E046" w14:textId="77777777" w:rsidR="007F073C" w:rsidRDefault="00000000">
      <w:pPr>
        <w:spacing w:before="80" w:after="80" w:line="320" w:lineRule="auto"/>
        <w:jc w:val="both"/>
      </w:pPr>
      <w:r>
        <w:t>El artículo 5.1 de la misma Ley despliega las funciones generales de la CNMC. Particularmente relevantes para el presente dossier son las siguientes:</w:t>
      </w:r>
    </w:p>
    <w:p w14:paraId="79499F4A" w14:textId="77777777" w:rsidR="007F073C" w:rsidRDefault="00000000">
      <w:pPr>
        <w:pStyle w:val="Ttulo3"/>
      </w:pPr>
      <w:r>
        <w:t>Artículo 5.1.h — habilitación para estudios sectoriales</w:t>
      </w:r>
    </w:p>
    <w:p w14:paraId="1870CD21" w14:textId="77777777" w:rsidR="007F073C" w:rsidRDefault="00000000">
      <w:pPr>
        <w:pBdr>
          <w:left w:val="single" w:sz="18" w:space="12" w:color="1F3864"/>
        </w:pBdr>
        <w:spacing w:before="120" w:after="120" w:line="300" w:lineRule="auto"/>
        <w:ind w:left="720" w:right="360"/>
        <w:jc w:val="both"/>
      </w:pPr>
      <w:r>
        <w:rPr>
          <w:i/>
          <w:iCs/>
          <w:color w:val="404040"/>
        </w:rPr>
        <w:t>«Promover y realizar estudios y trabajos de investigación en materia de competencia, así como informes generales sobre sectores económicos.»</w:t>
      </w:r>
    </w:p>
    <w:p w14:paraId="3A7A1D1E" w14:textId="77777777" w:rsidR="007F073C" w:rsidRDefault="00000000">
      <w:pPr>
        <w:spacing w:before="80" w:after="80" w:line="320" w:lineRule="auto"/>
        <w:jc w:val="both"/>
      </w:pPr>
      <w:r>
        <w:t>Esta es la base jurídica directa para la petición principal de AECANI. La CNMC puede, por iniciativa propia y sin requerir habilitación adicional, abrir un estudio sectorial sobre cualquier mercado de su elección. La presente comunicación de AECANI tiene por objeto poner a disposición del regulador la información sectorial necesaria para que pueda valorar la pertinencia de tal apertura.</w:t>
      </w:r>
    </w:p>
    <w:p w14:paraId="79BBCF3A" w14:textId="77777777" w:rsidR="007F073C" w:rsidRDefault="00000000">
      <w:pPr>
        <w:pStyle w:val="Ttulo3"/>
      </w:pPr>
      <w:r>
        <w:t>Artículo 5.1.a — supervisión de todos los mercados</w:t>
      </w:r>
    </w:p>
    <w:p w14:paraId="3509E147" w14:textId="77777777" w:rsidR="007F073C" w:rsidRDefault="00000000">
      <w:pPr>
        <w:pBdr>
          <w:left w:val="single" w:sz="18" w:space="12" w:color="1F3864"/>
        </w:pBdr>
        <w:spacing w:before="120" w:after="120" w:line="300" w:lineRule="auto"/>
        <w:ind w:left="720" w:right="360"/>
        <w:jc w:val="both"/>
      </w:pPr>
      <w:r>
        <w:rPr>
          <w:i/>
          <w:iCs/>
          <w:color w:val="404040"/>
        </w:rPr>
        <w:t>«Supervisión y control de todos los mercados y sectores económicos.»</w:t>
      </w:r>
    </w:p>
    <w:p w14:paraId="57142859" w14:textId="77777777" w:rsidR="007F073C" w:rsidRDefault="00000000">
      <w:pPr>
        <w:spacing w:before="80" w:after="80" w:line="320" w:lineRule="auto"/>
        <w:jc w:val="both"/>
      </w:pPr>
      <w:r>
        <w:t xml:space="preserve">La función supervisora de la CNMC es transversal. Se aplica con la misma intensidad a un sector tradicional regulado (energía, telecomunicaciones) </w:t>
      </w:r>
      <w:proofErr w:type="gramStart"/>
      <w:r>
        <w:t>que</w:t>
      </w:r>
      <w:proofErr w:type="gramEnd"/>
      <w:r>
        <w:t xml:space="preserve"> a un sector emergente con marco regulatorio incompleto, como es el caso del cáñamo industrial.</w:t>
      </w:r>
    </w:p>
    <w:p w14:paraId="3B5CCA14" w14:textId="77777777" w:rsidR="007F073C" w:rsidRDefault="00000000">
      <w:pPr>
        <w:pStyle w:val="Ttulo3"/>
      </w:pPr>
      <w:r>
        <w:t>Artículo 5.4 — legitimación impugnatoria</w:t>
      </w:r>
    </w:p>
    <w:p w14:paraId="71C142BF" w14:textId="77777777" w:rsidR="007F073C" w:rsidRDefault="00000000">
      <w:pPr>
        <w:pBdr>
          <w:left w:val="single" w:sz="18" w:space="12" w:color="1F3864"/>
        </w:pBdr>
        <w:spacing w:before="120" w:after="120" w:line="300" w:lineRule="auto"/>
        <w:ind w:left="720" w:right="360"/>
        <w:jc w:val="both"/>
      </w:pPr>
      <w:r>
        <w:rPr>
          <w:i/>
          <w:iCs/>
          <w:color w:val="404040"/>
        </w:rPr>
        <w:t>«En cumplimiento de sus funciones, la Comisión Nacional de los Mercados y la Competencia está legitimada para impugnar ante la jurisdicción competente los actos de las Administraciones Públicas sujetos al Derecho administrativo y disposiciones generales de rango inferior a la ley de los que se deriven obstáculos al mantenimiento de una competencia efectiva en los mercados.»</w:t>
      </w:r>
    </w:p>
    <w:p w14:paraId="1E2A7F4B" w14:textId="77777777" w:rsidR="007F073C" w:rsidRDefault="00000000">
      <w:pPr>
        <w:spacing w:before="80" w:after="80" w:line="320" w:lineRule="auto"/>
        <w:jc w:val="both"/>
      </w:pPr>
      <w:r>
        <w:t xml:space="preserve">Esta habilitación es de especial relevancia. La CNMC no es un órgano meramente consultivo: cuando detecta que actos administrativos —incluidos reales decretos, instrucciones, resoluciones de inspección </w:t>
      </w:r>
      <w:r>
        <w:lastRenderedPageBreak/>
        <w:t>o requerimientos— generan obstáculos a la competencia, dispone de legitimación activa para impugnarlos en vía contencioso-administrativa.</w:t>
      </w:r>
    </w:p>
    <w:p w14:paraId="5F6214EB" w14:textId="77777777" w:rsidR="007F073C" w:rsidRDefault="00000000">
      <w:pPr>
        <w:pStyle w:val="Ttulo2"/>
      </w:pPr>
      <w:r>
        <w:t>2.2 Habilitación específica · Ley 20/2013 de garantía de la unidad de mercado</w:t>
      </w:r>
    </w:p>
    <w:p w14:paraId="50C96FCF" w14:textId="77777777" w:rsidR="007F073C" w:rsidRDefault="00000000">
      <w:pPr>
        <w:spacing w:before="80" w:after="80" w:line="320" w:lineRule="auto"/>
        <w:jc w:val="both"/>
      </w:pPr>
      <w:r>
        <w:t>La Ley 20/2013, de 9 de diciembre, de garantía de la unidad de mercado (LGUM), refuerza la posición institucional de la CNMC mediante dos instrumentos adicionales:</w:t>
      </w:r>
    </w:p>
    <w:p w14:paraId="5AD33C61" w14:textId="77777777" w:rsidR="007F073C" w:rsidRDefault="00000000">
      <w:pPr>
        <w:pStyle w:val="Ttulo3"/>
      </w:pPr>
      <w:r>
        <w:t>Artículo 27 LGUM — legitimación específica de la CNMC</w:t>
      </w:r>
    </w:p>
    <w:p w14:paraId="74C02974" w14:textId="77777777" w:rsidR="007F073C" w:rsidRDefault="00000000">
      <w:pPr>
        <w:pBdr>
          <w:left w:val="single" w:sz="18" w:space="12" w:color="1F3864"/>
        </w:pBdr>
        <w:spacing w:before="120" w:after="120" w:line="300" w:lineRule="auto"/>
        <w:ind w:left="720" w:right="360"/>
        <w:jc w:val="both"/>
      </w:pPr>
      <w:r>
        <w:rPr>
          <w:i/>
          <w:iCs/>
          <w:color w:val="404040"/>
        </w:rPr>
        <w:t>«La Comisión Nacional de los Mercados y la Competencia está legitimada para la interposición de recurso contencioso-administrativo frente a cualquier disposición de carácter general, acto, actuación, inactividad o vía de hecho que se considere contraria, en los términos previstos en esta Ley, a la libertad de establecimiento o de circulación.»</w:t>
      </w:r>
    </w:p>
    <w:p w14:paraId="0B034DA4" w14:textId="77777777" w:rsidR="007F073C" w:rsidRDefault="00000000">
      <w:pPr>
        <w:spacing w:before="80" w:after="80" w:line="320" w:lineRule="auto"/>
        <w:jc w:val="both"/>
      </w:pPr>
      <w:r>
        <w:t>Este artículo amplía y especifica la legitimación general del art. 5.4 de la Ley 3/2013 al ámbito específico de la unidad de mercado, lo que es directamente aplicable al caso del cáñamo industrial: las interpretaciones administrativas divergentes entre Comunidades Autónomas, Ayuntamientos y delegaciones del Estado constituyen, según la propia definición de la LGUM, obstáculos a la libertad de circulación interior.</w:t>
      </w:r>
    </w:p>
    <w:p w14:paraId="18C641DB" w14:textId="77777777" w:rsidR="007F073C" w:rsidRDefault="00000000">
      <w:pPr>
        <w:pStyle w:val="Ttulo3"/>
      </w:pPr>
      <w:r>
        <w:t>Artículo 28 LGUM — mecanismo de información de obstáculos</w:t>
      </w:r>
    </w:p>
    <w:p w14:paraId="08D927A8" w14:textId="77777777" w:rsidR="007F073C" w:rsidRDefault="00000000">
      <w:pPr>
        <w:pBdr>
          <w:left w:val="single" w:sz="18" w:space="12" w:color="1F3864"/>
        </w:pBdr>
        <w:spacing w:before="120" w:after="120" w:line="300" w:lineRule="auto"/>
        <w:ind w:left="720" w:right="360"/>
        <w:jc w:val="both"/>
      </w:pPr>
      <w:r>
        <w:rPr>
          <w:i/>
          <w:iCs/>
          <w:color w:val="404040"/>
        </w:rPr>
        <w:t>«Fuera de los supuestos previstos por el artículo 26 de esta ley, los operadores económicos, los consumidores y usuarios, así como las organizaciones que los representan u otros interesados, podrán informar a la Secretaría para la Unidad de Mercado, en cualquier momento [...], sobre cualesquiera obstáculos o barreras relacionadas con la aplicación de esta ley.»</w:t>
      </w:r>
    </w:p>
    <w:p w14:paraId="0DD31B3F" w14:textId="77777777" w:rsidR="007F073C" w:rsidRDefault="00000000">
      <w:pPr>
        <w:spacing w:before="80" w:after="80" w:line="320" w:lineRule="auto"/>
        <w:jc w:val="both"/>
      </w:pPr>
      <w:r>
        <w:t>AECANI, en su condición de organización representativa de operadores económicos, está expresamente legitimada por este artículo para informar a la Secretaría para la Unidad de Mercado de las barreras detectadas. La presente comunicación a la CNMC se enmarca también, complementariamente, en la lógica del art. 28 LGUM.</w:t>
      </w:r>
    </w:p>
    <w:p w14:paraId="76C8F0BD" w14:textId="77777777" w:rsidR="007F073C" w:rsidRDefault="00000000">
      <w:pPr>
        <w:pStyle w:val="Ttulo2"/>
      </w:pPr>
      <w:r>
        <w:t>2.3 Precedentes propios · La CNMC ya se ha pronunciado sobre materias colindantes</w:t>
      </w:r>
    </w:p>
    <w:p w14:paraId="15C86CFC" w14:textId="77777777" w:rsidR="007F073C" w:rsidRDefault="00000000">
      <w:pPr>
        <w:spacing w:before="80" w:after="80" w:line="320" w:lineRule="auto"/>
        <w:jc w:val="both"/>
      </w:pPr>
      <w:r>
        <w:t>La CNMC dispone de un cuerpo de doctrina propio sobre el sector del tabaco y los productos relacionados, particularmente útil como precedente porque el debate regulatorio actual está intentando equiparar el cáñamo industrial precisamente al tabaco. Tres referencias son centrales:</w:t>
      </w:r>
    </w:p>
    <w:p w14:paraId="4509CFCC" w14:textId="77777777" w:rsidR="007F073C" w:rsidRDefault="00000000">
      <w:pPr>
        <w:pStyle w:val="Ttulo3"/>
      </w:pPr>
      <w:r>
        <w:t>IPN/CNMC/029/22 · Anteproyecto de Ley del Mercado de Tabacos</w:t>
      </w:r>
    </w:p>
    <w:p w14:paraId="24758D31" w14:textId="77777777" w:rsidR="007F073C" w:rsidRDefault="00000000">
      <w:pPr>
        <w:spacing w:before="80" w:after="80" w:line="320" w:lineRule="auto"/>
        <w:jc w:val="both"/>
      </w:pPr>
      <w:r>
        <w:t>En este informe la CNMC ya cuestionó la extensión del monopolio de las expendedurías a productos colindantes y recordó que existen instrumentos menos restrictivos que el monopolio para alcanzar los objetivos de salud pública.</w:t>
      </w:r>
    </w:p>
    <w:p w14:paraId="4CB66099" w14:textId="77777777" w:rsidR="007F073C" w:rsidRDefault="00000000">
      <w:pPr>
        <w:pStyle w:val="Ttulo3"/>
      </w:pPr>
      <w:r>
        <w:lastRenderedPageBreak/>
        <w:t>IPN/CNMC/040/24 · PRD sobre fabricación, presentación y comercialización de productos del tabaco y productos relacionados (Informe de 18 de febrero de 2025)</w:t>
      </w:r>
    </w:p>
    <w:p w14:paraId="0BA4B895" w14:textId="77777777" w:rsidR="007F073C" w:rsidRDefault="00000000">
      <w:pPr>
        <w:spacing w:before="80" w:after="80" w:line="320" w:lineRule="auto"/>
        <w:jc w:val="both"/>
      </w:pPr>
      <w:r>
        <w:t xml:space="preserve">En este informe reciente, la CNMC analizó las restricciones planteadas por el Ministerio de Sanidad sobre productos del tabaco y productos relacionados, incluyendo aromatizantes en cigarrillos electrónicos y bolsas de nicotina. La CNMC compartió el objetivo </w:t>
      </w:r>
      <w:proofErr w:type="gramStart"/>
      <w:r>
        <w:t>sanitario</w:t>
      </w:r>
      <w:proofErr w:type="gramEnd"/>
      <w:r>
        <w:t xml:space="preserve"> pero detectó varias restricciones a la competencia que no superaban los principios de buena regulación, y formuló advertencias particularmente relevantes para el caso del cáñamo:</w:t>
      </w:r>
    </w:p>
    <w:p w14:paraId="4949EE4A"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344775A2" w14:textId="77777777" w:rsidR="007F073C" w:rsidRDefault="00000000">
      <w:r>
        <w:t xml:space="preserve">A modo ilustrativo de la práctica administrativa de un Estado miembro vecino, la </w:t>
      </w:r>
      <w:proofErr w:type="spellStart"/>
      <w:r>
        <w:t>Administration</w:t>
      </w:r>
      <w:proofErr w:type="spellEnd"/>
      <w:r>
        <w:t xml:space="preserve"> des </w:t>
      </w:r>
      <w:proofErr w:type="spellStart"/>
      <w:r>
        <w:t>Douanes</w:t>
      </w:r>
      <w:proofErr w:type="spellEnd"/>
      <w:r>
        <w:t xml:space="preserve"> et </w:t>
      </w:r>
      <w:proofErr w:type="spellStart"/>
      <w:r>
        <w:t>Accises</w:t>
      </w:r>
      <w:proofErr w:type="spellEnd"/>
      <w:r>
        <w:t xml:space="preserve"> de Luxemburgo ha publicado en su sitio oficial (douanes.public.lu), bajo la rúbrica «</w:t>
      </w:r>
      <w:proofErr w:type="spellStart"/>
      <w:r>
        <w:t>Tabacs</w:t>
      </w:r>
      <w:proofErr w:type="spellEnd"/>
      <w:r>
        <w:t xml:space="preserve"> </w:t>
      </w:r>
      <w:proofErr w:type="spellStart"/>
      <w:r>
        <w:t>manufacturés</w:t>
      </w:r>
      <w:proofErr w:type="spellEnd"/>
      <w:r>
        <w:t xml:space="preserve"> · </w:t>
      </w:r>
      <w:proofErr w:type="spellStart"/>
      <w:r>
        <w:t>Produits</w:t>
      </w:r>
      <w:proofErr w:type="spellEnd"/>
      <w:r>
        <w:t xml:space="preserve"> à base de cannabis», un régimen específico vigente desde el 19 de marzo de 2019 para los productos a base de cannabis con contenido en THC inferior al 1% destinados a ser fumados o vaporizados, comprendiendo expresamente:</w:t>
      </w:r>
    </w:p>
    <w:p w14:paraId="34789F25" w14:textId="77777777" w:rsidR="007F073C" w:rsidRDefault="00000000">
      <w:pPr>
        <w:ind w:left="576"/>
      </w:pPr>
      <w:r>
        <w:rPr>
          <w:i/>
        </w:rPr>
        <w:t xml:space="preserve">«les </w:t>
      </w:r>
      <w:proofErr w:type="spellStart"/>
      <w:r>
        <w:rPr>
          <w:i/>
        </w:rPr>
        <w:t>fleurs</w:t>
      </w:r>
      <w:proofErr w:type="spellEnd"/>
      <w:r>
        <w:rPr>
          <w:i/>
        </w:rPr>
        <w:t xml:space="preserve"> de </w:t>
      </w:r>
      <w:proofErr w:type="spellStart"/>
      <w:r>
        <w:rPr>
          <w:i/>
        </w:rPr>
        <w:t>chanvre</w:t>
      </w:r>
      <w:proofErr w:type="spellEnd"/>
      <w:r>
        <w:rPr>
          <w:i/>
        </w:rPr>
        <w:t xml:space="preserve"> </w:t>
      </w:r>
      <w:proofErr w:type="spellStart"/>
      <w:r>
        <w:rPr>
          <w:i/>
        </w:rPr>
        <w:t>ou</w:t>
      </w:r>
      <w:proofErr w:type="spellEnd"/>
      <w:r>
        <w:rPr>
          <w:i/>
        </w:rPr>
        <w:t xml:space="preserve"> les </w:t>
      </w:r>
      <w:proofErr w:type="spellStart"/>
      <w:r>
        <w:rPr>
          <w:i/>
        </w:rPr>
        <w:t>parties</w:t>
      </w:r>
      <w:proofErr w:type="spellEnd"/>
      <w:r>
        <w:rPr>
          <w:i/>
        </w:rPr>
        <w:t xml:space="preserve"> de plantes susceptibles </w:t>
      </w:r>
      <w:proofErr w:type="spellStart"/>
      <w:r>
        <w:rPr>
          <w:i/>
        </w:rPr>
        <w:t>d'être</w:t>
      </w:r>
      <w:proofErr w:type="spellEnd"/>
      <w:r>
        <w:rPr>
          <w:i/>
        </w:rPr>
        <w:t xml:space="preserve"> </w:t>
      </w:r>
      <w:proofErr w:type="spellStart"/>
      <w:r>
        <w:rPr>
          <w:i/>
        </w:rPr>
        <w:t>fumées</w:t>
      </w:r>
      <w:proofErr w:type="spellEnd"/>
      <w:r>
        <w:rPr>
          <w:i/>
        </w:rPr>
        <w:t xml:space="preserve"> </w:t>
      </w:r>
      <w:proofErr w:type="spellStart"/>
      <w:r>
        <w:rPr>
          <w:i/>
        </w:rPr>
        <w:t>ou</w:t>
      </w:r>
      <w:proofErr w:type="spellEnd"/>
      <w:r>
        <w:rPr>
          <w:i/>
        </w:rPr>
        <w:t xml:space="preserve"> </w:t>
      </w:r>
      <w:proofErr w:type="spellStart"/>
      <w:r>
        <w:rPr>
          <w:i/>
        </w:rPr>
        <w:t>vaporisées</w:t>
      </w:r>
      <w:proofErr w:type="spellEnd"/>
      <w:r>
        <w:rPr>
          <w:i/>
        </w:rPr>
        <w:t xml:space="preserve"> (THC &lt; 1%</w:t>
      </w:r>
      <w:proofErr w:type="gramStart"/>
      <w:r>
        <w:rPr>
          <w:i/>
        </w:rPr>
        <w:t>) ;</w:t>
      </w:r>
      <w:proofErr w:type="gramEnd"/>
      <w:r>
        <w:rPr>
          <w:i/>
        </w:rPr>
        <w:t xml:space="preserve"> la </w:t>
      </w:r>
      <w:proofErr w:type="spellStart"/>
      <w:r>
        <w:rPr>
          <w:i/>
        </w:rPr>
        <w:t>résine</w:t>
      </w:r>
      <w:proofErr w:type="spellEnd"/>
      <w:r>
        <w:rPr>
          <w:i/>
        </w:rPr>
        <w:t xml:space="preserve"> de </w:t>
      </w:r>
      <w:proofErr w:type="spellStart"/>
      <w:r>
        <w:rPr>
          <w:i/>
        </w:rPr>
        <w:t>chanvre</w:t>
      </w:r>
      <w:proofErr w:type="spellEnd"/>
      <w:r>
        <w:rPr>
          <w:i/>
        </w:rPr>
        <w:t xml:space="preserve"> (THC &lt; 1%</w:t>
      </w:r>
      <w:proofErr w:type="gramStart"/>
      <w:r>
        <w:rPr>
          <w:i/>
        </w:rPr>
        <w:t>) ;</w:t>
      </w:r>
      <w:proofErr w:type="gramEnd"/>
      <w:r>
        <w:rPr>
          <w:i/>
        </w:rPr>
        <w:t xml:space="preserve"> les </w:t>
      </w:r>
      <w:proofErr w:type="spellStart"/>
      <w:r>
        <w:rPr>
          <w:i/>
        </w:rPr>
        <w:t>cigarettes</w:t>
      </w:r>
      <w:proofErr w:type="spellEnd"/>
      <w:r>
        <w:rPr>
          <w:i/>
        </w:rPr>
        <w:t xml:space="preserve"> </w:t>
      </w:r>
      <w:proofErr w:type="spellStart"/>
      <w:r>
        <w:rPr>
          <w:i/>
        </w:rPr>
        <w:t>composées</w:t>
      </w:r>
      <w:proofErr w:type="spellEnd"/>
      <w:r>
        <w:rPr>
          <w:i/>
        </w:rPr>
        <w:t xml:space="preserve"> </w:t>
      </w:r>
      <w:proofErr w:type="spellStart"/>
      <w:r>
        <w:rPr>
          <w:i/>
        </w:rPr>
        <w:t>exclusivement</w:t>
      </w:r>
      <w:proofErr w:type="spellEnd"/>
      <w:r>
        <w:rPr>
          <w:i/>
        </w:rPr>
        <w:t xml:space="preserve"> de </w:t>
      </w:r>
      <w:proofErr w:type="spellStart"/>
      <w:r>
        <w:rPr>
          <w:i/>
        </w:rPr>
        <w:t>chanvre</w:t>
      </w:r>
      <w:proofErr w:type="spellEnd"/>
      <w:r>
        <w:rPr>
          <w:i/>
        </w:rPr>
        <w:t xml:space="preserve"> (THC &lt; 1%).» [Anexo 8.5]</w:t>
      </w:r>
    </w:p>
    <w:p w14:paraId="127E195F" w14:textId="77777777" w:rsidR="007F073C" w:rsidRDefault="00000000">
      <w:r>
        <w:t xml:space="preserve">Es decir: en un Estado miembro de la Unión Europea la propia administración aduanera identifica las flores y demás partes de la planta de cáñamo industrial con contenido inferior al 1% de THC como categoría comercial autónoma y diferenciada, con un régimen administrativo específico, mientras que en España la administración sanitaria no admite siquiera su notificación bajo el régimen general de hierbas para fumar. La asimetría con la situación española es, por sí misma, expresiva, y se refuerza al constatar que el umbral aplicado por Luxemburgo (1% THC)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y con la legislación checa, en línea con la práctica seguida por aproximadamente cuarenta jurisdicciones a escala mundial.</w:t>
      </w:r>
    </w:p>
    <w:p w14:paraId="0AA01D91" w14:textId="078EE7EC" w:rsidR="007F073C" w:rsidRDefault="00000000">
      <w:pPr>
        <w:spacing w:before="80" w:after="80" w:line="320" w:lineRule="auto"/>
        <w:jc w:val="both"/>
      </w:pPr>
      <w:r>
        <w:t xml:space="preserve">Esta cita literal del propio informe del Consejo de la CNMC describe con precisión casi quirúrgica la situación actual del cáñamo industrial en España: un producto comercializado legalmente en </w:t>
      </w:r>
      <w:r w:rsidR="00B05E8D">
        <w:t>por lo menos cinco</w:t>
      </w:r>
      <w:r>
        <w:t xml:space="preserve"> Estados miembros de la Unión Europea (Alemania, Austria, Bélgica, Luxemburgo y Polonia) que en España es objeto de bloqueo administrativo, sin un fundamento normativo expreso y con base en interpretaciones que contradicen tanto el Derecho de la Unión como el propio ordenamiento español.</w:t>
      </w:r>
    </w:p>
    <w:p w14:paraId="3B9B052A" w14:textId="77777777" w:rsidR="007F073C" w:rsidRDefault="00000000">
      <w:pPr>
        <w:pStyle w:val="Ttulo3"/>
      </w:pPr>
      <w:r>
        <w:t>IPN/CNMC/028/25 · APL Modificación Ley 28/2005 (informe de diciembre de 2025)</w:t>
      </w:r>
    </w:p>
    <w:p w14:paraId="4521ECA8" w14:textId="77777777" w:rsidR="007F073C" w:rsidRDefault="00000000">
      <w:pPr>
        <w:spacing w:before="80" w:after="80" w:line="320" w:lineRule="auto"/>
        <w:jc w:val="both"/>
      </w:pPr>
      <w:r>
        <w:t>La CNMC reiteró en este informe que las restricciones regulatorias deben someterse a los principios de necesidad, proporcionalidad, no discriminación y buena regulación, y que la equiparación automática de productos distintos al régimen del tabaco tradicional no está justificada cuando dichos productos presentan perfiles de riesgo y características diferentes. La doctrina es directamente aplicable al cáñamo industrial, que carece de nicotina y presenta un perfil farmacológico cualitativamente distinto del tabaco.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1B26188B"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4180BF0D" w14:textId="77777777" w:rsidR="007F073C" w:rsidRDefault="00000000">
            <w:pPr>
              <w:spacing w:after="80"/>
            </w:pPr>
            <w:r>
              <w:rPr>
                <w:b/>
                <w:bCs/>
                <w:color w:val="1F3864"/>
              </w:rPr>
              <w:t>CONCLUSIÓN DEL APARTADO 2</w:t>
            </w:r>
          </w:p>
          <w:p w14:paraId="032E1D49" w14:textId="77777777" w:rsidR="007F073C" w:rsidRDefault="00000000">
            <w:r>
              <w:t>La CNMC dispone de habilitación legal directa, instrumentos procesales concretos y precedentes propios para pronunciarse sobre las distorsiones de competencia identificadas por AECANI en el sector del cáñamo industrial. La materia está dentro de su ámbito competencial; los instrumentos están disponibles; los precedentes apuntan en la dirección correcta.</w:t>
            </w:r>
          </w:p>
        </w:tc>
      </w:tr>
    </w:tbl>
    <w:p w14:paraId="1F88479F" w14:textId="77777777" w:rsidR="007F073C" w:rsidRDefault="00000000">
      <w:r>
        <w:lastRenderedPageBreak/>
        <w:br w:type="page"/>
      </w:r>
    </w:p>
    <w:p w14:paraId="4A304EF1" w14:textId="77777777" w:rsidR="007F073C" w:rsidRDefault="00000000">
      <w:pPr>
        <w:pStyle w:val="Ttulo1"/>
      </w:pPr>
      <w:r>
        <w:lastRenderedPageBreak/>
        <w:t>3. Radiografía del sector</w:t>
      </w:r>
    </w:p>
    <w:p w14:paraId="3A514586" w14:textId="77777777" w:rsidR="007F073C" w:rsidRDefault="00000000">
      <w:pPr>
        <w:spacing w:before="80" w:after="80" w:line="320" w:lineRule="auto"/>
        <w:jc w:val="both"/>
      </w:pPr>
      <w:r>
        <w:t>Antes de entrar en el análisis de las distorsiones de competencia, conviene establecer con claridad de qué hablamos. El cáñamo industrial es uno de los sectores económicos más malentendidos del ordenamiento español. La confusión sistemática entre cáñamo industrial y cannabis psicoactivo es la causa raíz de buena parte de las distorsiones que se documentarán a continuación.</w:t>
      </w:r>
    </w:p>
    <w:p w14:paraId="5AE4F494" w14:textId="77777777" w:rsidR="007F073C" w:rsidRDefault="00000000">
      <w:pPr>
        <w:pStyle w:val="Ttulo2"/>
      </w:pPr>
      <w:r>
        <w:t>3.1 ¿Qué es el cáñamo industrial?</w:t>
      </w:r>
    </w:p>
    <w:p w14:paraId="1C87B5DF" w14:textId="77777777" w:rsidR="007F073C" w:rsidRDefault="00000000">
      <w:pPr>
        <w:spacing w:before="80" w:after="80" w:line="320" w:lineRule="auto"/>
        <w:jc w:val="both"/>
      </w:pPr>
      <w:r>
        <w:t>El cáñamo industrial es la denominación común de las variedades de la especie Cannabis sativa L. caracterizadas por un contenido en delta-9-tetrahidrocannabinol (THC) inferior a un determinado umbral —0,3% en el ordenamiento de la Unión Europea— y por su destino a usos no estupefacientes (industrial, agrícola, alimentario, cosmético o textil).</w:t>
      </w:r>
    </w:p>
    <w:p w14:paraId="1D58F944" w14:textId="77777777" w:rsidR="007F073C" w:rsidRDefault="00000000">
      <w:pPr>
        <w:spacing w:before="80" w:after="80" w:line="320" w:lineRule="auto"/>
        <w:jc w:val="both"/>
      </w:pPr>
      <w:r>
        <w:t xml:space="preserve">La diferencia entre cáñamo industrial y cannabis psicoactivo no es una diferencia de especie botánica —ambos pertenecen a Cannabis sativa L.—, sino una diferencia de </w:t>
      </w:r>
      <w:proofErr w:type="spellStart"/>
      <w:r>
        <w:t>quimiotipo</w:t>
      </w:r>
      <w:proofErr w:type="spellEnd"/>
      <w:r>
        <w:t xml:space="preserve"> (perfil de cannabinoides), de variedad cultivada y de destino comercial. El cáñamo industrial presenta predominio del </w:t>
      </w:r>
      <w:proofErr w:type="spellStart"/>
      <w:r>
        <w:t>cannabidiol</w:t>
      </w:r>
      <w:proofErr w:type="spellEnd"/>
      <w:r>
        <w:t xml:space="preserve"> (CBD), un cannabinoide no psicoactivo, sobre el THC; las variedades psicoactivas presentan el patrón inverso.</w:t>
      </w:r>
    </w:p>
    <w:p w14:paraId="795F6397" w14:textId="77777777" w:rsidR="007F073C" w:rsidRDefault="00000000">
      <w:pPr>
        <w:spacing w:before="80" w:after="80" w:line="320" w:lineRule="auto"/>
        <w:jc w:val="both"/>
      </w:pPr>
      <w:r>
        <w:t>Esta distinción es jurídicamente reconocida en el ordenamiento europeo:</w:t>
      </w:r>
    </w:p>
    <w:p w14:paraId="5B7C9968" w14:textId="77777777" w:rsidR="007F073C" w:rsidRDefault="00000000">
      <w:pPr>
        <w:pStyle w:val="Prrafodelista"/>
        <w:numPr>
          <w:ilvl w:val="0"/>
          <w:numId w:val="2"/>
        </w:numPr>
        <w:spacing w:before="60" w:after="60" w:line="300" w:lineRule="auto"/>
        <w:jc w:val="both"/>
      </w:pPr>
      <w:r>
        <w:t>El Reglamento (UE) 2021/2115 sobre la Política Agrícola Común establece el umbral del 0,3% THC para el cáñamo subvencionable.</w:t>
      </w:r>
    </w:p>
    <w:p w14:paraId="561606DE" w14:textId="77777777" w:rsidR="007F073C" w:rsidRDefault="00000000">
      <w:pPr>
        <w:pStyle w:val="Prrafodelista"/>
        <w:numPr>
          <w:ilvl w:val="0"/>
          <w:numId w:val="2"/>
        </w:numPr>
        <w:spacing w:before="60" w:after="60" w:line="300" w:lineRule="auto"/>
        <w:jc w:val="both"/>
      </w:pPr>
      <w:r>
        <w:t>El Reglamento (UE) 1308/2013 (OCM) incluye al cáñamo en su Anexo I como producto agrícola sujeto al régimen ordinario de organización común de mercados.</w:t>
      </w:r>
    </w:p>
    <w:p w14:paraId="2612558E" w14:textId="77777777" w:rsidR="007F073C" w:rsidRDefault="00000000">
      <w:pPr>
        <w:pStyle w:val="Prrafodelista"/>
        <w:numPr>
          <w:ilvl w:val="0"/>
          <w:numId w:val="2"/>
        </w:numPr>
        <w:spacing w:before="60" w:after="60" w:line="300" w:lineRule="auto"/>
        <w:jc w:val="both"/>
      </w:pPr>
      <w:r>
        <w:t>El Catálogo Común de variedades agrícolas de la UE registra las variedades de cáñamo industrial cuyas semillas pueden ser comercializadas y cultivadas con derecho a ayudas PAC.</w:t>
      </w:r>
    </w:p>
    <w:p w14:paraId="2868F96F" w14:textId="77777777" w:rsidR="007F073C" w:rsidRDefault="00000000">
      <w:pPr>
        <w:pStyle w:val="Prrafodelista"/>
        <w:numPr>
          <w:ilvl w:val="0"/>
          <w:numId w:val="2"/>
        </w:numPr>
        <w:spacing w:before="60" w:after="60" w:line="300" w:lineRule="auto"/>
        <w:jc w:val="both"/>
      </w:pPr>
      <w:r>
        <w:t xml:space="preserve">La Propuesta </w:t>
      </w:r>
      <w:proofErr w:type="gramStart"/>
      <w:r>
        <w:t>COM(</w:t>
      </w:r>
      <w:proofErr w:type="gramEnd"/>
      <w:r>
        <w:t>2025) 553 final reconoce expresamente todas las partes de la planta de cáñamo (incluidas las sumidades floridas bajo NC 1211 90 86) como producto agrícola comercializable</w:t>
      </w:r>
      <w:r w:rsidR="00F62B5E">
        <w:t xml:space="preserve"> como materia prima</w:t>
      </w:r>
      <w:r>
        <w:t xml:space="preserve"> dentro de la OCM, y propone elevar el umbral al 0,3% THC con armonización a escala de la Unión.</w:t>
      </w:r>
    </w:p>
    <w:p w14:paraId="66E39462" w14:textId="78CFF251" w:rsidR="00B05E8D" w:rsidRDefault="00B05E8D">
      <w:r>
        <w:br w:type="page"/>
      </w:r>
    </w:p>
    <w:p w14:paraId="5E35F0C9" w14:textId="77777777" w:rsidR="007F073C" w:rsidRDefault="00000000">
      <w:pPr>
        <w:pStyle w:val="Ttulo2"/>
      </w:pPr>
      <w:r>
        <w:lastRenderedPageBreak/>
        <w:t>3.2 La cadena de valor</w:t>
      </w:r>
    </w:p>
    <w:p w14:paraId="56634A93" w14:textId="77777777" w:rsidR="007F073C" w:rsidRDefault="00000000">
      <w:pPr>
        <w:spacing w:before="80" w:after="80" w:line="320" w:lineRule="auto"/>
        <w:jc w:val="both"/>
      </w:pPr>
      <w:r>
        <w:t>El sector del cáñamo industrial se estructura, como cualquier sector agrícola con derivados industriales, en una cadena de valor de cuatro eslabones: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4781E32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30D766" w14:textId="77777777" w:rsidR="007F073C" w:rsidRDefault="00000000">
            <w:r>
              <w:rPr>
                <w:b/>
                <w:bCs/>
                <w:color w:val="1F3864"/>
                <w:sz w:val="20"/>
                <w:szCs w:val="20"/>
              </w:rPr>
              <w:t>1. CULTIVO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C43067" w14:textId="77777777" w:rsidR="007F073C" w:rsidRDefault="00000000">
            <w:r>
              <w:rPr>
                <w:sz w:val="20"/>
                <w:szCs w:val="20"/>
              </w:rPr>
              <w:t>Producción agrícola de cáñamo industrial bajo régimen PAC. Variedades del Catálogo Común UE. Contenido THC &lt;0,3%. Subvencionable.</w:t>
            </w:r>
          </w:p>
        </w:tc>
      </w:tr>
      <w:tr w:rsidR="007F073C" w14:paraId="6E075F0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F3C281" w14:textId="77777777" w:rsidR="007F073C" w:rsidRDefault="00000000">
            <w:r>
              <w:rPr>
                <w:b/>
                <w:bCs/>
                <w:color w:val="1F3864"/>
                <w:sz w:val="20"/>
                <w:szCs w:val="20"/>
              </w:rPr>
              <w:t>2. PRIMERA TRANSFORMACIÓN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9B452" w14:textId="77777777" w:rsidR="007F073C" w:rsidRDefault="00000000">
            <w:r>
              <w:rPr>
                <w:sz w:val="20"/>
                <w:szCs w:val="20"/>
              </w:rPr>
              <w:t>Acondicionamiento (secado, trillado, curado, envasado) y/o procesos industriales (extracción de CBD</w:t>
            </w:r>
            <w:r w:rsidR="00F62B5E">
              <w:rPr>
                <w:sz w:val="20"/>
                <w:szCs w:val="20"/>
              </w:rPr>
              <w:t>, flor de cáñamo en bruto,</w:t>
            </w:r>
            <w:r>
              <w:rPr>
                <w:sz w:val="20"/>
                <w:szCs w:val="20"/>
              </w:rPr>
              <w:t xml:space="preserve"> fraccionamiento). Genera materias primas para la industria.</w:t>
            </w:r>
          </w:p>
        </w:tc>
      </w:tr>
      <w:tr w:rsidR="007F073C" w14:paraId="3869DBD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D50342" w14:textId="77777777" w:rsidR="007F073C" w:rsidRDefault="00000000">
            <w:r>
              <w:rPr>
                <w:b/>
                <w:bCs/>
                <w:color w:val="1F3864"/>
                <w:sz w:val="20"/>
                <w:szCs w:val="20"/>
              </w:rPr>
              <w:t>3. PRODUCTO FINAL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EAB68C" w14:textId="77777777" w:rsidR="007F073C" w:rsidRDefault="00000000">
            <w:r>
              <w:rPr>
                <w:sz w:val="20"/>
                <w:szCs w:val="20"/>
              </w:rPr>
              <w:t xml:space="preserve">Bifurcación entre dos destinos: </w:t>
            </w:r>
            <w:r>
              <w:rPr>
                <w:b/>
                <w:bCs/>
                <w:sz w:val="20"/>
                <w:szCs w:val="20"/>
              </w:rPr>
              <w:t>(a) producto medicinal</w:t>
            </w:r>
            <w:r>
              <w:rPr>
                <w:sz w:val="20"/>
                <w:szCs w:val="20"/>
              </w:rPr>
              <w:t xml:space="preserve"> (preparados estandarizados, principios activos farmacéuticos como CBD); </w:t>
            </w:r>
            <w:r>
              <w:rPr>
                <w:b/>
                <w:bCs/>
                <w:sz w:val="20"/>
                <w:szCs w:val="20"/>
              </w:rPr>
              <w:t xml:space="preserve">(b) producto </w:t>
            </w:r>
            <w:r w:rsidR="00F62B5E">
              <w:rPr>
                <w:b/>
                <w:bCs/>
                <w:sz w:val="20"/>
                <w:szCs w:val="20"/>
              </w:rPr>
              <w:t xml:space="preserve">industrial, </w:t>
            </w:r>
            <w:r>
              <w:rPr>
                <w:b/>
                <w:bCs/>
                <w:sz w:val="20"/>
                <w:szCs w:val="20"/>
              </w:rPr>
              <w:t>no medicinal</w:t>
            </w:r>
            <w:r>
              <w:rPr>
                <w:sz w:val="20"/>
                <w:szCs w:val="20"/>
              </w:rPr>
              <w:t xml:space="preserve"> (cosmético, alimentario, textil, hierbas para fumar, etc.).</w:t>
            </w:r>
          </w:p>
        </w:tc>
      </w:tr>
      <w:tr w:rsidR="007F073C" w14:paraId="357843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23D625" w14:textId="77777777" w:rsidR="007F073C" w:rsidRDefault="00000000">
            <w:r>
              <w:rPr>
                <w:b/>
                <w:bCs/>
                <w:color w:val="1F3864"/>
                <w:sz w:val="20"/>
                <w:szCs w:val="20"/>
              </w:rPr>
              <w:t>4. DISTRIBUCIÓN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DB19C5" w14:textId="77777777" w:rsidR="007F073C" w:rsidRDefault="00000000">
            <w:r>
              <w:rPr>
                <w:sz w:val="20"/>
                <w:szCs w:val="20"/>
              </w:rPr>
              <w:t>Para producto medicinal: oficinas de farmacia y farmacia hospitalaria (RD 903/2025). Para producto no medicinal: tiendas especializadas, cosmética, comercio electrónico.</w:t>
            </w:r>
          </w:p>
        </w:tc>
      </w:tr>
    </w:tbl>
    <w:p w14:paraId="61B8E04A" w14:textId="77777777" w:rsidR="007F073C" w:rsidRDefault="00000000">
      <w:pPr>
        <w:spacing w:before="80" w:after="80" w:line="320" w:lineRule="auto"/>
        <w:jc w:val="both"/>
      </w:pPr>
      <w:r>
        <w:t>Esta bifurcación entre destino medicinal y destino no medicinal en el eslabón 3 es la clave de todo el dossier. Las distorsiones de competencia identificadas se manifiestan precisamente en esa bifurcación: la administración española trata el destino medicinal de forma incoherente con la propia normativa que ha aprobado (RD 903/2025 art. 5.2), y trata el destino no medicinal con un régimen prohibitivo que contradice tanto el Derecho de la Unión como el ordenamiento español.</w:t>
      </w:r>
    </w:p>
    <w:p w14:paraId="0C816242" w14:textId="5D643CDA" w:rsidR="007F073C" w:rsidRPr="00F62B5E" w:rsidRDefault="00000000">
      <w:pPr>
        <w:pStyle w:val="Ttulo2"/>
      </w:pPr>
      <w:r w:rsidRPr="00F62B5E">
        <w:t>3.3 Qué se vende en las tiendas especializadas</w:t>
      </w:r>
      <w:r w:rsidR="00B05E8D">
        <w:t xml:space="preserve"> en productos de cáñamo y CBD</w:t>
      </w:r>
    </w:p>
    <w:p w14:paraId="5AA33C9E" w14:textId="77777777" w:rsidR="007F073C" w:rsidRPr="00F62B5E" w:rsidRDefault="00000000">
      <w:pPr>
        <w:spacing w:before="80" w:after="80" w:line="320" w:lineRule="auto"/>
        <w:jc w:val="both"/>
      </w:pPr>
      <w:r w:rsidRPr="00F62B5E">
        <w:t>El catálogo del comercio especializado en cáñamo industrial y CBD en España abarca cuatro categorías principales de productos finales no medicinales, cuya situación regulatoria es radicalmente desigual: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00"/>
        <w:gridCol w:w="2460"/>
      </w:tblGrid>
      <w:tr w:rsidR="007F073C" w:rsidRPr="00F62B5E" w14:paraId="6C92B461" w14:textId="77777777">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3594D8B" w14:textId="77777777" w:rsidR="007F073C" w:rsidRPr="00F62B5E" w:rsidRDefault="00000000">
            <w:r w:rsidRPr="00F62B5E">
              <w:rPr>
                <w:b/>
                <w:bCs/>
                <w:color w:val="FFFFFF"/>
                <w:sz w:val="20"/>
                <w:szCs w:val="20"/>
              </w:rPr>
              <w:t>Categoría</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400A6A9" w14:textId="77777777" w:rsidR="007F073C" w:rsidRPr="00F62B5E" w:rsidRDefault="00000000">
            <w:r w:rsidRPr="00F62B5E">
              <w:rPr>
                <w:b/>
                <w:bCs/>
                <w:color w:val="FFFFFF"/>
                <w:sz w:val="20"/>
                <w:szCs w:val="20"/>
              </w:rPr>
              <w:t>Estatus regulatorio</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068114" w14:textId="77777777" w:rsidR="007F073C" w:rsidRPr="00F62B5E" w:rsidRDefault="00000000">
            <w:r w:rsidRPr="00F62B5E">
              <w:rPr>
                <w:b/>
                <w:bCs/>
                <w:color w:val="FFFFFF"/>
                <w:sz w:val="20"/>
                <w:szCs w:val="20"/>
              </w:rPr>
              <w:t>Bloqueo administrativo</w:t>
            </w:r>
          </w:p>
        </w:tc>
      </w:tr>
      <w:tr w:rsidR="007F073C" w:rsidRPr="00F62B5E" w14:paraId="7A12E82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1EDE74" w14:textId="77777777" w:rsidR="007F073C" w:rsidRPr="00F62B5E" w:rsidRDefault="00000000">
            <w:r w:rsidRPr="00F62B5E">
              <w:rPr>
                <w:b/>
                <w:bCs/>
                <w:sz w:val="20"/>
                <w:szCs w:val="20"/>
              </w:rPr>
              <w:t>Cosméticos con CBD</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48F3A9" w14:textId="77777777" w:rsidR="007F073C" w:rsidRPr="00F62B5E" w:rsidRDefault="00000000">
            <w:r w:rsidRPr="00F62B5E">
              <w:rPr>
                <w:sz w:val="20"/>
                <w:szCs w:val="20"/>
              </w:rPr>
              <w:t>Reglamento (CE) 1223/2009. CBD listado como ingrediente cosmético (</w:t>
            </w:r>
            <w:proofErr w:type="spellStart"/>
            <w:r w:rsidRPr="00F62B5E">
              <w:rPr>
                <w:sz w:val="20"/>
                <w:szCs w:val="20"/>
              </w:rPr>
              <w:t>CosIng</w:t>
            </w:r>
            <w:proofErr w:type="spellEnd"/>
            <w:r w:rsidRPr="00F62B5E">
              <w:rPr>
                <w:sz w:val="20"/>
                <w:szCs w:val="20"/>
              </w:rPr>
              <w:t>). Comercialización legal en toda la UE.</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B88D56" w14:textId="77777777" w:rsidR="007F073C" w:rsidRPr="00F62B5E" w:rsidRDefault="00F62B5E">
            <w:r w:rsidRPr="00F62B5E">
              <w:rPr>
                <w:b/>
                <w:bCs/>
                <w:color w:val="608A30"/>
                <w:sz w:val="20"/>
                <w:szCs w:val="20"/>
              </w:rPr>
              <w:t>No</w:t>
            </w:r>
          </w:p>
        </w:tc>
      </w:tr>
      <w:tr w:rsidR="007F073C" w:rsidRPr="00F62B5E" w14:paraId="5F152E3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0AD5B" w14:textId="77777777" w:rsidR="007F073C" w:rsidRPr="00F62B5E" w:rsidRDefault="00000000">
            <w:r w:rsidRPr="00F62B5E">
              <w:rPr>
                <w:b/>
                <w:bCs/>
                <w:sz w:val="20"/>
                <w:szCs w:val="20"/>
              </w:rPr>
              <w:t>Cáñamo textil</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E754B4" w14:textId="77777777" w:rsidR="007F073C" w:rsidRPr="00F62B5E" w:rsidRDefault="00000000">
            <w:r w:rsidRPr="00F62B5E">
              <w:rPr>
                <w:sz w:val="20"/>
                <w:szCs w:val="20"/>
              </w:rPr>
              <w:t>Producto agrícola tradicional (fibra). Sin restricciones específicas. Mercado consolidado.</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92C4B" w14:textId="77777777" w:rsidR="007F073C" w:rsidRPr="00F62B5E" w:rsidRDefault="00000000">
            <w:r w:rsidRPr="00F62B5E">
              <w:rPr>
                <w:b/>
                <w:bCs/>
                <w:color w:val="608A30"/>
                <w:sz w:val="20"/>
                <w:szCs w:val="20"/>
              </w:rPr>
              <w:t>No</w:t>
            </w:r>
          </w:p>
        </w:tc>
      </w:tr>
      <w:tr w:rsidR="007F073C" w:rsidRPr="00F62B5E" w14:paraId="1BB3997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A95EC" w14:textId="77777777" w:rsidR="007F073C" w:rsidRPr="00F62B5E" w:rsidRDefault="00000000">
            <w:r w:rsidRPr="00F62B5E">
              <w:rPr>
                <w:b/>
                <w:bCs/>
                <w:sz w:val="20"/>
                <w:szCs w:val="20"/>
              </w:rPr>
              <w:t xml:space="preserve">Alimentario (Novel </w:t>
            </w:r>
            <w:proofErr w:type="spellStart"/>
            <w:r w:rsidRPr="00F62B5E">
              <w:rPr>
                <w:b/>
                <w:bCs/>
                <w:sz w:val="20"/>
                <w:szCs w:val="20"/>
              </w:rPr>
              <w:t>Foods</w:t>
            </w:r>
            <w:proofErr w:type="spellEnd"/>
            <w:r w:rsidRPr="00F62B5E">
              <w:rPr>
                <w:b/>
                <w:bCs/>
                <w:sz w:val="20"/>
                <w:szCs w:val="20"/>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766371" w14:textId="77777777" w:rsidR="007F073C" w:rsidRPr="00F62B5E" w:rsidRDefault="00000000">
            <w:r w:rsidRPr="00F62B5E">
              <w:rPr>
                <w:sz w:val="20"/>
                <w:szCs w:val="20"/>
              </w:rPr>
              <w:t xml:space="preserve">Reglamento (UE) 2015/2283. Solicitudes de autorización Novel </w:t>
            </w:r>
            <w:proofErr w:type="spellStart"/>
            <w:r w:rsidRPr="00F62B5E">
              <w:rPr>
                <w:sz w:val="20"/>
                <w:szCs w:val="20"/>
              </w:rPr>
              <w:t>Food</w:t>
            </w:r>
            <w:proofErr w:type="spellEnd"/>
            <w:r w:rsidRPr="00F62B5E">
              <w:rPr>
                <w:sz w:val="20"/>
                <w:szCs w:val="20"/>
              </w:rPr>
              <w:t xml:space="preserve"> en curso ante EFSA. EIHA Novel </w:t>
            </w:r>
            <w:proofErr w:type="spellStart"/>
            <w:r w:rsidRPr="00F62B5E">
              <w:rPr>
                <w:sz w:val="20"/>
                <w:szCs w:val="20"/>
              </w:rPr>
              <w:t>Food</w:t>
            </w:r>
            <w:proofErr w:type="spellEnd"/>
            <w:r w:rsidRPr="00F62B5E">
              <w:rPr>
                <w:sz w:val="20"/>
                <w:szCs w:val="20"/>
              </w:rPr>
              <w:t xml:space="preserve"> </w:t>
            </w:r>
            <w:proofErr w:type="spellStart"/>
            <w:r w:rsidRPr="00F62B5E">
              <w:rPr>
                <w:sz w:val="20"/>
                <w:szCs w:val="20"/>
              </w:rPr>
              <w:t>consortium</w:t>
            </w:r>
            <w:proofErr w:type="spellEnd"/>
            <w:r w:rsidRPr="00F62B5E">
              <w:rPr>
                <w:sz w:val="20"/>
                <w:szCs w:val="20"/>
              </w:rPr>
              <w:t xml:space="preserve"> activo desde 2019.</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D19E53" w14:textId="77777777" w:rsidR="007F073C" w:rsidRPr="00F62B5E" w:rsidRDefault="00000000">
            <w:r w:rsidRPr="00F62B5E">
              <w:rPr>
                <w:b/>
                <w:bCs/>
                <w:color w:val="B8860B"/>
                <w:sz w:val="20"/>
                <w:szCs w:val="20"/>
              </w:rPr>
              <w:t>Pendiente UE</w:t>
            </w:r>
          </w:p>
        </w:tc>
      </w:tr>
      <w:tr w:rsidR="00F62B5E" w:rsidRPr="00F62B5E" w14:paraId="0D78F50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23BDF" w14:textId="77777777" w:rsidR="00F62B5E" w:rsidRPr="00F62B5E" w:rsidRDefault="00F62B5E" w:rsidP="00F62B5E">
            <w:pPr>
              <w:rPr>
                <w:b/>
                <w:bCs/>
                <w:sz w:val="20"/>
                <w:szCs w:val="20"/>
              </w:rPr>
            </w:pPr>
            <w:r w:rsidRPr="00F62B5E">
              <w:rPr>
                <w:b/>
                <w:bCs/>
                <w:sz w:val="20"/>
                <w:szCs w:val="20"/>
              </w:rPr>
              <w:t>Flores de cáñamo en bruto</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8FC036" w14:textId="77777777" w:rsidR="00F62B5E" w:rsidRPr="00F62B5E" w:rsidRDefault="00F62B5E" w:rsidP="00F62B5E">
            <w:pPr>
              <w:rPr>
                <w:sz w:val="20"/>
                <w:szCs w:val="20"/>
              </w:rPr>
            </w:pPr>
            <w:r w:rsidRPr="00F62B5E">
              <w:t xml:space="preserve">Flores de cáñamo industrial comercializadas al consumidor final como «producto ornamental, tributado al 10% (referencia DGT V2242). </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CDCE87" w14:textId="77777777" w:rsidR="00F62B5E" w:rsidRPr="00F62B5E" w:rsidRDefault="00F62B5E" w:rsidP="00F62B5E">
            <w:pPr>
              <w:rPr>
                <w:b/>
                <w:bCs/>
                <w:color w:val="B8860B"/>
                <w:sz w:val="20"/>
                <w:szCs w:val="20"/>
              </w:rPr>
            </w:pPr>
            <w:r w:rsidRPr="00F62B5E">
              <w:rPr>
                <w:b/>
                <w:bCs/>
                <w:color w:val="B8860B"/>
                <w:sz w:val="20"/>
                <w:szCs w:val="20"/>
              </w:rPr>
              <w:t>Clasificación incorrecta</w:t>
            </w:r>
          </w:p>
        </w:tc>
      </w:tr>
      <w:tr w:rsidR="00F62B5E" w:rsidRPr="00F62B5E" w14:paraId="429E921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745BC050" w14:textId="77777777" w:rsidR="00F62B5E" w:rsidRPr="00F62B5E" w:rsidRDefault="00F62B5E" w:rsidP="00F62B5E">
            <w:r w:rsidRPr="00F62B5E">
              <w:rPr>
                <w:b/>
                <w:bCs/>
                <w:color w:val="C00000"/>
                <w:sz w:val="20"/>
                <w:szCs w:val="20"/>
              </w:rPr>
              <w:t>Hierbas para fumar (sumidades floridas de cáñamo, no estupefacientes ni con efectos farmacológicos)</w:t>
            </w:r>
          </w:p>
        </w:tc>
        <w:tc>
          <w:tcPr>
            <w:tcW w:w="45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7EEDA98E" w14:textId="77777777" w:rsidR="00F62B5E" w:rsidRPr="00F62B5E" w:rsidRDefault="00F62B5E" w:rsidP="00F62B5E">
            <w:r w:rsidRPr="00F62B5E">
              <w:rPr>
                <w:sz w:val="20"/>
                <w:szCs w:val="20"/>
              </w:rPr>
              <w:t>Directiva 2014/40/UE (TPD), art. 2.4: producto a base de hierbas para fumar. Comercialización legal en varios estados miembros DE, AT, BE, LU, PL.</w:t>
            </w:r>
          </w:p>
        </w:tc>
        <w:tc>
          <w:tcPr>
            <w:tcW w:w="246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7E8EAD62" w14:textId="77777777" w:rsidR="00F62B5E" w:rsidRPr="00F62B5E" w:rsidRDefault="00F62B5E" w:rsidP="00F62B5E">
            <w:r w:rsidRPr="00F62B5E">
              <w:rPr>
                <w:b/>
                <w:bCs/>
                <w:color w:val="C00000"/>
                <w:sz w:val="20"/>
                <w:szCs w:val="20"/>
              </w:rPr>
              <w:t>BLOQUEADO</w:t>
            </w:r>
          </w:p>
        </w:tc>
      </w:tr>
    </w:tbl>
    <w:p w14:paraId="5857888C" w14:textId="77777777" w:rsidR="007F073C" w:rsidRPr="00F62B5E" w:rsidRDefault="007F073C">
      <w:pPr>
        <w:spacing w:before="80" w:after="80"/>
      </w:pPr>
    </w:p>
    <w:p w14:paraId="311E36EE" w14:textId="77777777" w:rsidR="007F073C" w:rsidRDefault="00000000">
      <w:pPr>
        <w:spacing w:before="80" w:after="80" w:line="320" w:lineRule="auto"/>
        <w:jc w:val="both"/>
      </w:pPr>
      <w:r>
        <w:t xml:space="preserve">El presente dossier </w:t>
      </w:r>
      <w:proofErr w:type="gramStart"/>
      <w:r>
        <w:t>se centra principalmente en</w:t>
      </w:r>
      <w:proofErr w:type="gramEnd"/>
      <w:r>
        <w:t xml:space="preserve"> la categoría que sufre el bloqueo más severo y manifiesto —las hierbas para fumar de cáñamo—, sin perjuicio de que la lógica del análisis es extensible a las demás categorías afectadas.</w:t>
      </w:r>
    </w:p>
    <w:p w14:paraId="6F2E1AA8" w14:textId="77777777" w:rsidR="007F073C" w:rsidRDefault="00000000">
      <w:pPr>
        <w:pStyle w:val="Ttulo2"/>
      </w:pPr>
      <w:r>
        <w:t>3.4 Cifras agregadas del sector</w:t>
      </w:r>
    </w:p>
    <w:p w14:paraId="56C182D6" w14:textId="77777777" w:rsidR="007F073C" w:rsidRDefault="00000000">
      <w:pPr>
        <w:spacing w:before="80" w:after="80" w:line="320" w:lineRule="auto"/>
        <w:jc w:val="both"/>
      </w:pPr>
      <w:r>
        <w:t>Según los datos sectoriales más recientes disponibles (</w:t>
      </w:r>
      <w:proofErr w:type="spellStart"/>
      <w:r>
        <w:t>Cannamonitor</w:t>
      </w:r>
      <w:proofErr w:type="spellEnd"/>
      <w:r>
        <w:t xml:space="preserve">, edición octubre 2025; informes de la International Cannabis Business </w:t>
      </w:r>
      <w:proofErr w:type="spellStart"/>
      <w:r>
        <w:t>Conference</w:t>
      </w:r>
      <w:proofErr w:type="spellEnd"/>
      <w:r>
        <w:t>; datos AECANI), el sector del cáñamo industrial y derivados no medicinales en España presenta las siguientes magnitudes:</w:t>
      </w:r>
    </w:p>
    <w:p w14:paraId="58C5237B" w14:textId="77777777" w:rsidR="007F073C" w:rsidRDefault="00000000">
      <w:pPr>
        <w:pStyle w:val="Prrafodelista"/>
        <w:numPr>
          <w:ilvl w:val="0"/>
          <w:numId w:val="2"/>
        </w:numPr>
        <w:spacing w:before="60" w:after="60" w:line="300" w:lineRule="auto"/>
        <w:jc w:val="both"/>
      </w:pPr>
      <w:r>
        <w:t xml:space="preserve">Aproximadamente 1.700 establecimientos minoristas (696 tiendas especializadas en CBD + en torno a 1.000 </w:t>
      </w:r>
      <w:proofErr w:type="spellStart"/>
      <w:r>
        <w:t>grow</w:t>
      </w:r>
      <w:proofErr w:type="spellEnd"/>
      <w:r>
        <w:t xml:space="preserve"> shops con catálogo hibridado).</w:t>
      </w:r>
    </w:p>
    <w:p w14:paraId="1DEF1A6D" w14:textId="77777777" w:rsidR="007F073C" w:rsidRDefault="00000000">
      <w:pPr>
        <w:pStyle w:val="Prrafodelista"/>
        <w:numPr>
          <w:ilvl w:val="0"/>
          <w:numId w:val="2"/>
        </w:numPr>
        <w:spacing w:before="60" w:after="60" w:line="300" w:lineRule="auto"/>
        <w:jc w:val="both"/>
      </w:pPr>
      <w:r>
        <w:t>Facturación agregada estimada en el entorno de los 450 millones de euros anuales.</w:t>
      </w:r>
    </w:p>
    <w:p w14:paraId="78D57AEC" w14:textId="77777777" w:rsidR="007F073C" w:rsidRDefault="00000000">
      <w:pPr>
        <w:pStyle w:val="Prrafodelista"/>
        <w:numPr>
          <w:ilvl w:val="0"/>
          <w:numId w:val="2"/>
        </w:numPr>
        <w:spacing w:before="60" w:after="60" w:line="300" w:lineRule="auto"/>
        <w:jc w:val="both"/>
      </w:pPr>
      <w:r>
        <w:t>En torno a 6.700 empleos directos, con presencia en la totalidad del territorio nacional.</w:t>
      </w:r>
    </w:p>
    <w:p w14:paraId="30D999D6" w14:textId="77777777" w:rsidR="007F073C" w:rsidRDefault="00000000">
      <w:pPr>
        <w:pStyle w:val="Prrafodelista"/>
        <w:numPr>
          <w:ilvl w:val="0"/>
          <w:numId w:val="2"/>
        </w:numPr>
        <w:spacing w:before="60" w:after="60" w:line="300" w:lineRule="auto"/>
        <w:jc w:val="both"/>
      </w:pPr>
      <w:r>
        <w:t>Más de 200 marcas con facturación superior a los 100.000 euros anuales y un número significativo de pequeñas marcas locales y regionales.</w:t>
      </w:r>
    </w:p>
    <w:p w14:paraId="26EF6203" w14:textId="77777777" w:rsidR="007F073C" w:rsidRDefault="00000000">
      <w:pPr>
        <w:pStyle w:val="Prrafodelista"/>
        <w:numPr>
          <w:ilvl w:val="0"/>
          <w:numId w:val="2"/>
        </w:numPr>
        <w:spacing w:before="60" w:after="60" w:line="300" w:lineRule="auto"/>
        <w:jc w:val="both"/>
      </w:pPr>
      <w:r>
        <w:t xml:space="preserve">Bancos de semillas internacionales (Royal Queen Seeds, </w:t>
      </w:r>
      <w:proofErr w:type="spellStart"/>
      <w:r>
        <w:t>Seedsman</w:t>
      </w:r>
      <w:proofErr w:type="spellEnd"/>
      <w:r>
        <w:t xml:space="preserve">) y nacionales (Sweet Seeds, </w:t>
      </w:r>
      <w:proofErr w:type="spellStart"/>
      <w:r>
        <w:t>Positronics</w:t>
      </w:r>
      <w:proofErr w:type="spellEnd"/>
      <w:r>
        <w:t xml:space="preserve">, </w:t>
      </w:r>
      <w:proofErr w:type="spellStart"/>
      <w:r>
        <w:t>Kannabia</w:t>
      </w:r>
      <w:proofErr w:type="spellEnd"/>
      <w:r>
        <w:t>) con base operativa europea en España.</w:t>
      </w:r>
    </w:p>
    <w:p w14:paraId="488FDA91" w14:textId="77777777" w:rsidR="007F073C" w:rsidRDefault="00000000">
      <w:pPr>
        <w:pStyle w:val="Prrafodelista"/>
        <w:numPr>
          <w:ilvl w:val="0"/>
          <w:numId w:val="2"/>
        </w:numPr>
        <w:spacing w:before="60" w:after="60" w:line="300" w:lineRule="auto"/>
        <w:jc w:val="both"/>
      </w:pPr>
      <w:r>
        <w:t>Crecimiento sostenido: de 515 establecimientos especializados en 2023 a 696 en 2025 (+35%).</w:t>
      </w:r>
    </w:p>
    <w:p w14:paraId="51C0BF79" w14:textId="77777777" w:rsidR="007F073C" w:rsidRDefault="00000000">
      <w:pPr>
        <w:pStyle w:val="Prrafodelista"/>
      </w:pPr>
      <w:r>
        <w:t xml:space="preserve">Colapso paralelo del cultivo nacional: la superficie declarada de cáñamo industrial en España cayó de 688 hectáreas en 2020 a 62 hectáreas en 2024 (−91%), según datos FEGA y </w:t>
      </w:r>
      <w:proofErr w:type="spellStart"/>
      <w:r>
        <w:t>Cannamonitor</w:t>
      </w:r>
      <w:proofErr w:type="spellEnd"/>
      <w:r>
        <w:t xml:space="preserve"> (edición octubre 2025). En 2024 se produjeron 51,3 toneladas de materia prima medicinal en territorio español, íntegramente exportadas. Es decir: los laboratorios farmacéuticos españoles autorizados por el RD 903/2025 se ven obligados a importar materia prima desde terceros países o desde otros Estados miembros mientras la producción nacional se exporta en su totalidad.</w:t>
      </w:r>
    </w:p>
    <w:p w14:paraId="6A7E53C8" w14:textId="7E93DD47" w:rsidR="007F073C" w:rsidRDefault="00000000">
      <w:r>
        <w:rPr>
          <w:b/>
        </w:rPr>
        <w:t>LA SEGUNDA CONSTATACIÓN. Coexisten dos colapsos simétricos: el establecimiento de venta minorista crece (+35% en dos años) mientras la producción agrícola nacional se desploma (−91% en cuatro años). Ambos fenómenos comparten una misma causa: la inexistencia de un marco regulatorio coherente que ordene el sector y permita conectar la oferta agrícola nacional con la demanda nacional —medicinal y no medicinal— ya existente.</w:t>
      </w:r>
      <w:r w:rsidR="00B05E8D">
        <w:rPr>
          <w:b/>
        </w:rPr>
        <w:t xml:space="preserve"> El comercio actual se basa en la compra de productos legalmente producidos en estados miembros y puestos en libre circulación invocando el artículo 34 del TFUE. </w:t>
      </w:r>
    </w:p>
    <w:p w14:paraId="0B60FCCC" w14:textId="77777777" w:rsidR="007F073C" w:rsidRDefault="00000000">
      <w:pPr>
        <w:spacing w:before="80" w:after="80" w:line="320" w:lineRule="auto"/>
        <w:jc w:val="both"/>
      </w:pPr>
      <w:r>
        <w:t>Un dato regulatorio crucial: ninguno de estos establecimientos dispone de un código CNAE específico ni de un epígrafe IAE propio. Operan bajo categorías residuales como el CNAE 4778 («Otro comercio al por menor de artículos nuevos en establecimientos especializados»), compartido con galerías de arte, sex-shops y coleccionismo. Esta invisibilidad estadística impide a las administraciones competentes su censo, cuantificación fiscal diferenciada y supervisión como categoría comercial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7AC81C00"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2CEC91F" w14:textId="77777777" w:rsidR="007F073C" w:rsidRDefault="00000000">
            <w:pPr>
              <w:spacing w:after="80"/>
            </w:pPr>
            <w:r>
              <w:rPr>
                <w:b/>
                <w:bCs/>
                <w:color w:val="1F3864"/>
              </w:rPr>
              <w:t>LA CONSTATACIÓN</w:t>
            </w:r>
          </w:p>
          <w:p w14:paraId="720667C6" w14:textId="77777777" w:rsidR="007F073C" w:rsidRDefault="00000000">
            <w:r>
              <w:t xml:space="preserve">La CNMC tiene ante sí un sector económico de aproximadamente 1.700 establecimientos y 450 millones de euros de facturación anual que, </w:t>
            </w:r>
            <w:proofErr w:type="gramStart"/>
            <w:r>
              <w:t>a día de hoy</w:t>
            </w:r>
            <w:proofErr w:type="gramEnd"/>
            <w:r>
              <w:t>, es estadísticamente invisible para la administración pública. Esto es de por sí un primer indicador serio de fallo regulatorio.</w:t>
            </w:r>
          </w:p>
        </w:tc>
      </w:tr>
    </w:tbl>
    <w:p w14:paraId="69E71C9D" w14:textId="77777777" w:rsidR="007F073C" w:rsidRDefault="00000000">
      <w:r>
        <w:lastRenderedPageBreak/>
        <w:br w:type="page"/>
      </w:r>
    </w:p>
    <w:p w14:paraId="6241B389" w14:textId="77777777" w:rsidR="007F073C" w:rsidRDefault="00000000">
      <w:pPr>
        <w:pStyle w:val="Ttulo1"/>
      </w:pPr>
      <w:r>
        <w:lastRenderedPageBreak/>
        <w:t>4. Primer frente · El bloqueo del agricultor español</w:t>
      </w:r>
    </w:p>
    <w:p w14:paraId="0D917C51" w14:textId="77777777" w:rsidR="007F073C" w:rsidRDefault="00000000">
      <w:pPr>
        <w:pStyle w:val="Ttulo2"/>
      </w:pPr>
      <w:r>
        <w:t>Análisis del art. 5.2 RD 903/2025 desde la perspectiva de la competencia</w:t>
      </w:r>
    </w:p>
    <w:p w14:paraId="215AF855" w14:textId="77777777" w:rsidR="007F073C" w:rsidRDefault="00000000">
      <w:pPr>
        <w:pStyle w:val="Ttulo2"/>
      </w:pPr>
      <w:r>
        <w:t>4.1 La paradoja</w:t>
      </w:r>
    </w:p>
    <w:p w14:paraId="39F5A49A" w14:textId="0F91916F" w:rsidR="007F073C" w:rsidRDefault="00000000">
      <w:pPr>
        <w:spacing w:before="80" w:after="80" w:line="320" w:lineRule="auto"/>
        <w:jc w:val="both"/>
      </w:pPr>
      <w:r>
        <w:t>España ha aprobado en octubre de 2025 el Real Decreto 903/2025, que regula el cannabis medicinal y habilita a los laboratorios farmacéuticos autorizados a utilizar principios activos —entre ellos</w:t>
      </w:r>
      <w:r w:rsidR="00B05E8D">
        <w:t>, extractos de cáñamo industrial (cannabis sativa L.) y su principio activo principal,</w:t>
      </w:r>
      <w:r>
        <w:t xml:space="preserve"> el </w:t>
      </w:r>
      <w:proofErr w:type="spellStart"/>
      <w:r>
        <w:t>cannabidiol</w:t>
      </w:r>
      <w:proofErr w:type="spellEnd"/>
      <w:r>
        <w:t>— procedentes de materias primas vegetales. Es un paso que la propia industria farmacéutica venía demandando desde hace años, y que sitúa a España en línea con buena parte de los Estados miembros de la Unión.</w:t>
      </w:r>
    </w:p>
    <w:p w14:paraId="1FB88BFA" w14:textId="77777777" w:rsidR="007F073C" w:rsidRDefault="00000000">
      <w:pPr>
        <w:spacing w:before="80" w:after="80" w:line="320" w:lineRule="auto"/>
        <w:jc w:val="both"/>
      </w:pPr>
      <w:r>
        <w:t xml:space="preserve">Simultáneamente, el Reglamento (UE) 2021/2115 mantiene al cáñamo industrial dentro del régimen subvencionable de la PAC, y la Propuesta </w:t>
      </w:r>
      <w:proofErr w:type="gramStart"/>
      <w:r>
        <w:t>COM(</w:t>
      </w:r>
      <w:proofErr w:type="gramEnd"/>
      <w:r>
        <w:t>2025) 553 final propone reconocer expresamente las sumidades floridas como producto agrícola comercializable dentro de la OCM.</w:t>
      </w:r>
    </w:p>
    <w:p w14:paraId="05DEBC1B" w14:textId="77777777" w:rsidR="007F073C" w:rsidRDefault="00000000">
      <w:pPr>
        <w:spacing w:before="80" w:after="80" w:line="320" w:lineRule="auto"/>
        <w:jc w:val="both"/>
      </w:pPr>
      <w:r>
        <w:t>La paradoja es la siguiente: España subvenciona vía PAC el cultivo de cáñamo, ha abierto un mercado medicinal que demanda materia prima vegetal de cannabis, y sin embargo el propio Real Decreto 903/2025 contiene una construcción normativa —el artículo 5.2— que bloquea al agricultor español de ese mercado, forzando a los laboratorios a importar materia prima desde terceros países o desde otros Estados miembros.</w:t>
      </w:r>
    </w:p>
    <w:p w14:paraId="4CE319D2" w14:textId="77777777" w:rsidR="007F073C" w:rsidRDefault="00000000">
      <w:pPr>
        <w:pStyle w:val="Ttulo2"/>
      </w:pPr>
      <w:r>
        <w:t>4.2 El art. 5.2 RD 903/2025 — análisis</w:t>
      </w:r>
    </w:p>
    <w:p w14:paraId="3F62681A" w14:textId="77777777" w:rsidR="007F073C" w:rsidRDefault="00000000">
      <w:pPr>
        <w:spacing w:before="80" w:after="80" w:line="320" w:lineRule="auto"/>
        <w:jc w:val="both"/>
      </w:pPr>
      <w:r>
        <w:t>El artículo 5.2 del Real Decreto 903/2025 establece, en sustancia, que el «material de partida» de los preparados estandarizados de cannabis para uso medicinal debe cumplir «con la legislación aplicable a las sustancias estupefacientes y/o psicótropas».</w:t>
      </w:r>
    </w:p>
    <w:p w14:paraId="3D408CFB" w14:textId="77777777" w:rsidR="007F073C" w:rsidRDefault="00000000">
      <w:pPr>
        <w:spacing w:before="80" w:after="80" w:line="320" w:lineRule="auto"/>
        <w:jc w:val="both"/>
      </w:pPr>
      <w:r>
        <w:t>Esta construcción presupone, sin justificación expresa, que TODA materia prima vegetal procedente de la planta del cannabis está sujeta a la Convención Única sobre Estupefacientes de 1961 (CN61), con independencia de:</w:t>
      </w:r>
    </w:p>
    <w:p w14:paraId="706D435C" w14:textId="77777777" w:rsidR="007F073C" w:rsidRDefault="00000000">
      <w:pPr>
        <w:pStyle w:val="Prrafodelista"/>
        <w:numPr>
          <w:ilvl w:val="0"/>
          <w:numId w:val="2"/>
        </w:numPr>
        <w:spacing w:before="60" w:after="60" w:line="300" w:lineRule="auto"/>
        <w:jc w:val="both"/>
      </w:pPr>
      <w:r>
        <w:t>su contenido en THC,</w:t>
      </w:r>
    </w:p>
    <w:p w14:paraId="2ABE19E2" w14:textId="77777777" w:rsidR="007F073C" w:rsidRDefault="00000000">
      <w:pPr>
        <w:pStyle w:val="Prrafodelista"/>
        <w:numPr>
          <w:ilvl w:val="0"/>
          <w:numId w:val="2"/>
        </w:numPr>
        <w:spacing w:before="60" w:after="60" w:line="300" w:lineRule="auto"/>
        <w:jc w:val="both"/>
      </w:pPr>
      <w:r>
        <w:t xml:space="preserve">su </w:t>
      </w:r>
      <w:proofErr w:type="spellStart"/>
      <w:r>
        <w:t>quimiotipo</w:t>
      </w:r>
      <w:proofErr w:type="spellEnd"/>
      <w:r>
        <w:t xml:space="preserve"> (predominio CBD vs predominio THC),</w:t>
      </w:r>
    </w:p>
    <w:p w14:paraId="59F3B783" w14:textId="77777777" w:rsidR="007F073C" w:rsidRDefault="00000000">
      <w:pPr>
        <w:pStyle w:val="Prrafodelista"/>
        <w:numPr>
          <w:ilvl w:val="0"/>
          <w:numId w:val="2"/>
        </w:numPr>
        <w:spacing w:before="60" w:after="60" w:line="300" w:lineRule="auto"/>
        <w:jc w:val="both"/>
      </w:pPr>
      <w:r>
        <w:t>su destino de uso final,</w:t>
      </w:r>
    </w:p>
    <w:p w14:paraId="75D3F035" w14:textId="77777777" w:rsidR="007F073C" w:rsidRDefault="00000000">
      <w:pPr>
        <w:pStyle w:val="Prrafodelista"/>
        <w:numPr>
          <w:ilvl w:val="0"/>
          <w:numId w:val="2"/>
        </w:numPr>
        <w:spacing w:before="60" w:after="60" w:line="300" w:lineRule="auto"/>
        <w:jc w:val="both"/>
      </w:pPr>
      <w:r>
        <w:t>su procedencia varietal (variedades del Catálogo Común UE vs variedades no registradas).</w:t>
      </w:r>
    </w:p>
    <w:p w14:paraId="5EB3165E" w14:textId="77777777" w:rsidR="007F073C" w:rsidRDefault="00000000">
      <w:pPr>
        <w:spacing w:before="80" w:after="80" w:line="320" w:lineRule="auto"/>
        <w:jc w:val="both"/>
      </w:pPr>
      <w:r>
        <w:t>Esta presuposición es jurídicamente insostenible por cuatro razones convergentes que se desarrollan a continuación.</w:t>
      </w:r>
    </w:p>
    <w:p w14:paraId="176DEA65" w14:textId="77777777" w:rsidR="007F073C" w:rsidRDefault="00000000">
      <w:pPr>
        <w:pStyle w:val="Ttulo3"/>
      </w:pPr>
      <w:r>
        <w:t>4.2.1 Contradicción con la posición oficial de la JIFE / INCB</w:t>
      </w:r>
    </w:p>
    <w:p w14:paraId="6EC5DAC9" w14:textId="77777777" w:rsidR="007F073C" w:rsidRDefault="00000000">
      <w:pPr>
        <w:spacing w:before="80" w:after="80" w:line="320" w:lineRule="auto"/>
        <w:jc w:val="both"/>
      </w:pPr>
      <w:r>
        <w:t>La Junta Internacional de Fiscalización de Estupefacientes (JIFE / INCB), órgano de Naciones Unidas competente para interpretar y vigilar el cumplimiento de la CN61, ha emitido en diciembre de 2024 una comunicación oficial dirigida a todos los Gobiernos de los Estados Parte —incluido el Gobierno español— en la que actualiza su posición sobre el cannabis.</w:t>
      </w:r>
    </w:p>
    <w:p w14:paraId="376756C4" w14:textId="77777777" w:rsidR="007F073C" w:rsidRDefault="00000000">
      <w:pPr>
        <w:spacing w:before="80" w:after="80" w:line="320" w:lineRule="auto"/>
        <w:jc w:val="both"/>
      </w:pPr>
      <w:r>
        <w:lastRenderedPageBreak/>
        <w:t xml:space="preserve">La carta circular, identificada con la referencia </w:t>
      </w:r>
    </w:p>
    <w:p w14:paraId="12787FE3" w14:textId="77777777" w:rsidR="007F073C" w:rsidRDefault="00000000">
      <w:pPr>
        <w:pBdr>
          <w:left w:val="single" w:sz="18" w:space="12" w:color="1F3864"/>
        </w:pBdr>
        <w:spacing w:before="120" w:after="120" w:line="300" w:lineRule="auto"/>
        <w:ind w:left="720" w:right="360"/>
        <w:jc w:val="both"/>
      </w:pPr>
      <w:r>
        <w:rPr>
          <w:i/>
          <w:iCs/>
          <w:color w:val="404040"/>
        </w:rPr>
        <w:t>E/INCB/NAR/C.L.20/2024 de 16 de diciembre de 2024</w:t>
      </w:r>
    </w:p>
    <w:p w14:paraId="33CEE369" w14:textId="7ABE8E25" w:rsidR="007F073C" w:rsidRDefault="00B05E8D">
      <w:pPr>
        <w:spacing w:before="80" w:after="80" w:line="320" w:lineRule="auto"/>
        <w:jc w:val="both"/>
      </w:pPr>
      <w:r>
        <w:t>C</w:t>
      </w:r>
      <w:r w:rsidR="00000000">
        <w:t>onfirma</w:t>
      </w:r>
      <w:r>
        <w:t xml:space="preserve"> en su párrafo 23</w:t>
      </w:r>
      <w:r w:rsidR="00000000">
        <w:t>, entre otras cuestiones, que la enumeración del artículo 28.2 de la CN61 (que excluye del régimen de fiscalización el cultivo destinado «exclusivamente a fines industriales —fibra y semillas— u hortícolas») debe entenderse como ilustrativa y no exhaustiva, y que cabe extender la exención a</w:t>
      </w:r>
      <w:r>
        <w:t xml:space="preserve">l cultivo para aprovechamiento de sus flores para la extracción de CBD, y </w:t>
      </w:r>
      <w:r w:rsidR="00000000">
        <w:t>otros usos industriales legítimos del cáñamo no estupefaciente.</w:t>
      </w:r>
    </w:p>
    <w:p w14:paraId="22F6F29C" w14:textId="77777777" w:rsidR="007F073C" w:rsidRDefault="00000000">
      <w:pPr>
        <w:spacing w:before="80" w:after="80" w:line="320" w:lineRule="auto"/>
        <w:jc w:val="both"/>
      </w:pPr>
      <w:r>
        <w:t>Esta posición es coherente con la evolución reciente del régimen internacional de control: la Decisión (UE) 2021/3 del Consejo, de 23 de noviembre de 2020, eliminó el cannabis y la resina de cannabis de la Lista IV de la CN61 (la lista de sustancias más restrictiva), reconociendo así sus usos legítimos no estupefacientes.</w:t>
      </w:r>
    </w:p>
    <w:p w14:paraId="76C61EBD" w14:textId="77777777" w:rsidR="007F073C" w:rsidRDefault="00000000">
      <w:pPr>
        <w:pStyle w:val="Ttulo3"/>
      </w:pPr>
      <w:r>
        <w:t>4.2.2 Contradicción con la jurisprudencia obligatoria del TJUE</w:t>
      </w:r>
    </w:p>
    <w:p w14:paraId="29963139" w14:textId="77777777" w:rsidR="007F073C" w:rsidRDefault="00000000">
      <w:pPr>
        <w:spacing w:before="80" w:after="80" w:line="320" w:lineRule="auto"/>
        <w:jc w:val="both"/>
      </w:pPr>
      <w:r>
        <w:t>La Sentencia del Tribunal de Justicia de la Unión Europea de 19 de noviembre de 2020, asunto C-663/18 (</w:t>
      </w:r>
      <w:proofErr w:type="spellStart"/>
      <w:r>
        <w:t>Kanavape</w:t>
      </w:r>
      <w:proofErr w:type="spellEnd"/>
      <w:r>
        <w:t>), establece con claridad que el cáñamo no psicoactivo no puede ser tratado como estupefaciente por los Estados miembros, y que las restricciones nacionales a la comercialización del CBD obtenido legalmente en otro Estado miembro vulneran los artículos 34 y 36 del TFUE sobre libre circulación de mercancías.</w:t>
      </w:r>
    </w:p>
    <w:p w14:paraId="01EB153A" w14:textId="77777777" w:rsidR="007F073C" w:rsidRDefault="00000000">
      <w:pPr>
        <w:spacing w:before="80" w:after="80" w:line="320" w:lineRule="auto"/>
        <w:jc w:val="both"/>
      </w:pPr>
      <w:r>
        <w:t xml:space="preserve">La doctrina </w:t>
      </w:r>
      <w:proofErr w:type="spellStart"/>
      <w:r>
        <w:t>Kanavape</w:t>
      </w:r>
      <w:proofErr w:type="spellEnd"/>
      <w:r>
        <w:t xml:space="preserve"> es jurisprudencia obligatoria para todas las administraciones españolas. La interpretación del artículo 5.2 del RD 903/2025, al equiparar toda materia prima vegetal de cannabis con sustancias estupefacientes con independencia de su contenido en THC, se aparta directamente de esta jurisprudencia.</w:t>
      </w:r>
    </w:p>
    <w:p>
      <w:r>
        <w:t>Otros Estados miembros han ajustado su ordenamiento interno precisamente para dar cumplimiento a la doctrina Kanavape. El caso francés es paradigmático: tras la sentencia del TJUE de 19 de noviembre de 2020, Francia adoptó el Arrêté du 30 décembre 2021 [Anexo 8.4] modificando el régimen del cannabis y autorizando expresamente el cultivo, importación y uso industrial y comercial de variedades de Cannabis sativa L. con contenido inferior al 0,3% de THC. Aquella primera respuesta administrativa francesa, sin embargo, mantenía la prohibición de venta al consumidor de flor y hoja crudas, y fue impugnada por el sector. La cuestión llegó al Conseil d'État —tribunal supremo administrativo francés—, que en su Decisión nº 444887, de 29 de diciembre de 2022 [Anexo 4.6] anuló esa prohibición por desproporcionada, con un razonamiento directamente trasladable al ordenamiento español:</w:t>
      </w:r>
    </w:p>
    <w:p>
      <w:pPr>
        <w:ind w:left="576"/>
      </w:pPr>
      <w:r>
        <w:rPr>
          <w:i/>
        </w:rPr>
        <w:t>«Le cannabidiol a des propriétés décontractantes et relaxantes ainsi que des effets anticonvulsivants, [et] il ne présente pas de propriétés psychotropes.»</w:t>
      </w:r>
    </w:p>
    <w:p>
      <w:pPr>
        <w:ind w:left="576"/>
      </w:pPr>
      <w:r>
        <w:rPr>
          <w:i/>
        </w:rPr>
        <w:t>«La teneur en delta-9-tétrahydrocannabinol des fleurs et de feuilles peut être contrôlée au moyen de tests rapides et peu coûteux.»</w:t>
      </w:r>
    </w:p>
    <w:p>
      <w:pPr>
        <w:ind w:left="576"/>
      </w:pPr>
      <w:r>
        <w:rPr>
          <w:i/>
        </w:rPr>
        <w:t>«La consommation de variétés de cannabis dont la teneur en THC est inférieure à 0,3 % ne crée pas de risques sanitaires justifiant une interdiction générale et absolue.»</w:t>
      </w:r>
    </w:p>
    <w:p>
      <w:r>
        <w:t>El Conseil d'État aplicó así la doctrina Kanavape al supuesto concreto de la flor de cáñamo industrial y concluyó que su prohibición general y absoluta era desproporcionada y carente de justificación sanitaria u orden público. Francia hizo, por tanto, los deberes que el Derecho de la Unión imponía: adaptó su ordenamiento interno (Décret 2022-194 + Arrêté 30/12/2021) y, ante la duda residual sobre la flor cruda, su tribunal supremo administrativo resolvió en sentido alineado con la jurisprudencia del TJUE. España, en cambio, no ha adoptado norma alguna comparable, y el RD 903/2025 mantiene una asimilación general del cannabis al régimen de los estupefacientes que la doctrina del Conseil d'État francés ya ha declarado expresamente injustificada en otro Estado miembro.</w:t>
      </w:r>
    </w:p>
    <w:p w14:paraId="329A0A6B" w14:textId="77777777" w:rsidR="007F073C" w:rsidRDefault="00000000">
      <w:pPr>
        <w:pStyle w:val="Ttulo3"/>
      </w:pPr>
      <w:r>
        <w:t>4.2.3 Contradicción interna del propio ordenamiento español</w:t>
      </w:r>
    </w:p>
    <w:p w14:paraId="5A8E7520" w14:textId="77777777" w:rsidR="007F073C" w:rsidRDefault="00000000">
      <w:pPr>
        <w:spacing w:before="80" w:after="80" w:line="320" w:lineRule="auto"/>
        <w:jc w:val="both"/>
      </w:pPr>
      <w:r>
        <w:t>El propio Estado español aplica criterios divergentes a productos sustancialmente equivalentes:</w:t>
      </w:r>
    </w:p>
    <w:p w14:paraId="26303DB2" w14:textId="77777777" w:rsidR="007F073C" w:rsidRDefault="00000000">
      <w:pPr>
        <w:pStyle w:val="Prrafodelista"/>
        <w:numPr>
          <w:ilvl w:val="0"/>
          <w:numId w:val="2"/>
        </w:numPr>
        <w:spacing w:before="60" w:after="60" w:line="300" w:lineRule="auto"/>
        <w:jc w:val="both"/>
      </w:pPr>
      <w:r>
        <w:t xml:space="preserve">Los extractos de cannabis con bajo contenido en THC (como el principio activo </w:t>
      </w:r>
      <w:proofErr w:type="spellStart"/>
      <w:r>
        <w:t>Epidiolex</w:t>
      </w:r>
      <w:proofErr w:type="spellEnd"/>
      <w:r>
        <w:t>, presentación farmacéutica de CBD) se importan y comercializan SIN exigir una licencia general de estupefacientes a los importadores, en virtud de su no inclusión en las listas estupefacientes nacionales.</w:t>
      </w:r>
    </w:p>
    <w:p w14:paraId="23BB8CD0" w14:textId="77777777" w:rsidR="007F073C" w:rsidRDefault="00000000">
      <w:pPr>
        <w:pStyle w:val="Prrafodelista"/>
        <w:numPr>
          <w:ilvl w:val="0"/>
          <w:numId w:val="2"/>
        </w:numPr>
        <w:spacing w:before="60" w:after="60" w:line="300" w:lineRule="auto"/>
        <w:jc w:val="both"/>
      </w:pPr>
      <w:r>
        <w:t>Los cosméticos con CBD se importan y comercializan SIN licencia de estupefacientes.</w:t>
      </w:r>
    </w:p>
    <w:p w14:paraId="6D15D569" w14:textId="77777777" w:rsidR="007F073C" w:rsidRDefault="00000000">
      <w:pPr>
        <w:pStyle w:val="Prrafodelista"/>
        <w:numPr>
          <w:ilvl w:val="0"/>
          <w:numId w:val="2"/>
        </w:numPr>
        <w:spacing w:before="60" w:after="60" w:line="300" w:lineRule="auto"/>
        <w:jc w:val="both"/>
      </w:pPr>
      <w:r>
        <w:t>Sin embargo, las flores de cáñamo industrial de las que se obtendrían esos mismos extractos sí requieren, según la lectura administrativa actual, licencia de estupefacientes.</w:t>
      </w:r>
    </w:p>
    <w:p w14:paraId="79A912C7" w14:textId="77777777" w:rsidR="007F073C" w:rsidRDefault="00000000">
      <w:pPr>
        <w:spacing w:before="80" w:after="80" w:line="320" w:lineRule="auto"/>
        <w:jc w:val="both"/>
      </w:pPr>
      <w:r>
        <w:t>Esta asimetría no encuentra fundamento en la propia CN61 ni en su normativa de desarrollo: si el extracto está exento de fiscalización, la materia prima vegetal del mismo perfil de THC también debe estarlo. La asimetría tiene un único fundamento real: la inercia administrativa y la confusión sistemática entre cáñamo industrial y cannabis psicoactivo.</w:t>
      </w:r>
    </w:p>
    <w:p w14:paraId="66426363" w14:textId="77777777" w:rsidR="007F073C" w:rsidRDefault="00000000">
      <w:pPr>
        <w:pStyle w:val="Ttulo3"/>
      </w:pPr>
      <w:r>
        <w:t>4.2.4 La cuestión del umbral THC</w:t>
      </w:r>
    </w:p>
    <w:p w14:paraId="1BEBB9FD" w14:textId="77777777" w:rsidR="007F073C" w:rsidRDefault="00000000">
      <w:pPr>
        <w:spacing w:before="80" w:after="80" w:line="320" w:lineRule="auto"/>
        <w:jc w:val="both"/>
      </w:pPr>
      <w:r>
        <w:lastRenderedPageBreak/>
        <w:t xml:space="preserve">España carece </w:t>
      </w:r>
      <w:proofErr w:type="gramStart"/>
      <w:r>
        <w:t>a día de hoy</w:t>
      </w:r>
      <w:proofErr w:type="gramEnd"/>
      <w:r>
        <w:t xml:space="preserve"> de un umbral expreso de THC por debajo del cual la materia prima vegetal de cáñamo se considere automáticamente fuera del régimen de fiscalización. Este vacío normativo es la causa de buena parte de las arbitrariedades documentadas.</w:t>
      </w:r>
    </w:p>
    <w:p w14:paraId="3D4ADD67" w14:textId="378E61AB" w:rsidR="007F073C" w:rsidRDefault="00000000">
      <w:pPr>
        <w:spacing w:before="80" w:after="80" w:line="320" w:lineRule="auto"/>
        <w:jc w:val="both"/>
      </w:pPr>
      <w:r>
        <w:t xml:space="preserve">En el plano internacional, </w:t>
      </w:r>
      <w:r w:rsidR="00104B98">
        <w:t>más de 20</w:t>
      </w:r>
      <w:r>
        <w:t xml:space="preserve"> jurisdicciones aplican hoy un umbral del 1% de THC para considerar la materia prima de cáñamo como producto agrícola industrial. Esta cifra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≤1% THC) y con la legislación doméstica de la República Checa, entre otros. Empíricamente, los Estados que aplican este umbral no han documentado problemas de desvío al mercado ilícito atribuibles a la materia prima por debajo de ese nivel: indicio de que el umbral es suficiente para prevenir el riesgo de abuso.</w:t>
      </w:r>
    </w:p>
    <w:p w14:paraId="7C1C7E9F" w14:textId="77777777" w:rsidR="007F073C" w:rsidRDefault="00000000">
      <w:pPr>
        <w:spacing w:before="80" w:after="80" w:line="320" w:lineRule="auto"/>
        <w:jc w:val="both"/>
      </w:pPr>
      <w:r>
        <w:t xml:space="preserve">La </w:t>
      </w:r>
      <w:proofErr w:type="gramStart"/>
      <w:r>
        <w:t>COM(</w:t>
      </w:r>
      <w:proofErr w:type="gramEnd"/>
      <w:r>
        <w:t>2025) 553 final propone armonizar el umbral en el 0,3% para producto agrícola subvencionable PAC. La armonización, sea cual sea el nivel, es preferible a la situación actual de vacío normativo.</w:t>
      </w:r>
    </w:p>
    <w:p w14:paraId="6C32A188" w14:textId="08F1F936" w:rsidR="00C53E82" w:rsidRDefault="00000000">
      <w:pPr>
        <w:pStyle w:val="Ttulo3"/>
      </w:pPr>
      <w:r>
        <w:t>4.2.5 La asimetría regulatoria con otros Estados miembros y la doctrina Evans Medical (TJUE C-324/93)</w:t>
      </w:r>
      <w:r w:rsidR="00104B98">
        <w:t xml:space="preserve"> en cuanto a productos de cannabis fuera del ámbito agrícola</w:t>
      </w:r>
    </w:p>
    <w:p w14:paraId="706FD493" w14:textId="77777777" w:rsidR="00104B98" w:rsidRDefault="00104B98">
      <w:r>
        <w:t xml:space="preserve">Si bien este dossier se centra en los mercados derivados del cáñamo industrial, por similitud y convivencia, </w:t>
      </w:r>
      <w:proofErr w:type="spellStart"/>
      <w:r>
        <w:t>merce</w:t>
      </w:r>
      <w:proofErr w:type="spellEnd"/>
      <w:r>
        <w:t xml:space="preserve"> la pena hacer una pequeña mención a aquellos productos de cannabis destinados al mercado medicinal y como se ordenan en España VS otros estados miembros: </w:t>
      </w:r>
    </w:p>
    <w:p w14:paraId="2C4A75B7" w14:textId="77777777" w:rsidR="00104B98" w:rsidRDefault="00104B98"/>
    <w:p w14:paraId="6D6BBD57" w14:textId="0D3B0564" w:rsidR="00C53E82" w:rsidRDefault="00000000">
      <w:r>
        <w:t>Los apartados 4 y 5 del artículo 5 del RD 903/2025 imponen al fabricante de preparados estandarizados de cannabis la obtención de licencias específicas conforme al régimen español de fiscalización de estupefacientes (Ley 17/1967) y de sustancias psicótropas. Estas licencias se exigen con independencia del contenido en THC del producto y con independencia de su quimiotipo, y operan adicionalmente respecto de la habilitación farmacéutica general del fabricante.</w:t>
      </w:r>
    </w:p>
    <w:p w14:paraId="594B91D7" w14:textId="0D4892B2" w:rsidR="00C53E82" w:rsidRDefault="00104B98">
      <w:r>
        <w:t>Para la regulación de cannabis con alto THC (no cáñamo industrial ni productos de CBD), o</w:t>
      </w:r>
      <w:r w:rsidR="00000000">
        <w:t>tros Estados miembros han optado por regímenes que no exigen tales licencias adicionales. La Medizinal-Cannabisgesetz alemana (MedCanG), a la que se hace referencia adicional en el §4.3 siguiente, sujeta la dispensación de cannabis medicinal a prescripción médica ordinaria sin imponer al fabricante una licencia específica de estupefacientes por el solo hecho de operar con cannabis. Francia opera bajo lógica análoga.</w:t>
      </w:r>
    </w:p>
    <w:p w14:paraId="42A39EE3" w14:textId="77777777" w:rsidR="00104B98" w:rsidRDefault="00104B98"/>
    <w:p w14:paraId="4326B9D9" w14:textId="77777777" w:rsidR="00C53E82" w:rsidRDefault="00000000">
      <w:r>
        <w:t>La doctrina del Tribunal de Justicia de la Unión Europea sobre este tipo de asimetría está fijada desde hace tres décadas. La Sentencia de 28 de marzo de 1995, asunto C-324/93 Evans Medical y Macfarlan Smith, dictada precisamente sobre la importación intracomunitaria de un estupefaciente fiscalizado por la Convención Única de 1961, estableció (apartados 31-33):</w:t>
      </w:r>
    </w:p>
    <w:p w14:paraId="6D5616DB" w14:textId="1AB7B3E4" w:rsidR="00104B98" w:rsidRPr="00104B98" w:rsidRDefault="00000000" w:rsidP="00104B98">
      <w:pPr>
        <w:ind w:left="576"/>
        <w:rPr>
          <w:i/>
        </w:rPr>
      </w:pPr>
      <w:r>
        <w:rPr>
          <w:i/>
        </w:rPr>
        <w:t>«Cuando un Convenio internacional permite que un Estado miembro adopte una medida que es contraria al Derecho comunitario, pero sin obligarle, el Estado miembro debe abstenerse de adoptar dicha medida. Por consiguiente, [...] un Estado miembro debe garantizar la plena eficacia de [la libre circulación de mercancías] dejando inaplicada una práctica nacional contraria, salvo si dicha práctica es necesaria para garantizar la ejecución [...] de obligaciones [...] de un Convenio celebrado con anterioridad.»</w:t>
      </w:r>
    </w:p>
    <w:p w14:paraId="10130252" w14:textId="77777777" w:rsidR="00C53E82" w:rsidRDefault="00000000">
      <w:r>
        <w:t>Aplicada al RD 903/2025: si las licencias de los apartados 4 y 5 del artículo 5 son una medida de fiscalización más estricta de lo estrictamente exigido por las Convenciones de 1961 y 1971 —y la propia existencia de regímenes alternativos en otros Estados miembros que cumplen igualmente con dichas Convenciones es prueba indiciaria de que esa exigencia no es necesaria—, la previsión española constituye medida de efecto equivalente prohibida por el artículo 34 TFUE. Esta dimensión es objeto del recurso 395/2025 ante el Tribunal Supremo (cf. §4.4); su análisis por la CNMC en sede de competencia es complementario y autónomo del proceso jurisdiccional.</w:t>
      </w:r>
    </w:p>
    <w:p w14:paraId="686FBCD5" w14:textId="7BC98361" w:rsidR="00104B98" w:rsidRDefault="00104B98">
      <w:r>
        <w:lastRenderedPageBreak/>
        <w:t xml:space="preserve">En resumen, un mecanismo de control puede y debe ser proporcional y adecuado para mantener suficiente seguridad y garantizar agilidad y flexibilidad en su comercio. En el caso de los productos medicinales, como hacen en Alemania, las licencias y protocolos GMP que tienen los laboratorios farmacéuticos. Y en el caso de los productos no medicinales y sin riesgo contra la salud pública, los mecanismos establecidos para los productos finales ya controlan correctamente la trazabilidad y seguridad de los operadores y productos. </w:t>
      </w:r>
    </w:p>
    <w:p w14:paraId="3BBFDF1D" w14:textId="194759EC" w:rsidR="00104B98" w:rsidRDefault="00104B98">
      <w:r>
        <w:t xml:space="preserve">Cosmética, Novel </w:t>
      </w:r>
      <w:proofErr w:type="spellStart"/>
      <w:r>
        <w:t>Food</w:t>
      </w:r>
      <w:proofErr w:type="spellEnd"/>
      <w:r>
        <w:t>, Hierbas para fumar (TPD, GESTABRE, 579/2017)</w:t>
      </w:r>
    </w:p>
    <w:p w14:paraId="444CB88A" w14:textId="77777777" w:rsidR="007F073C" w:rsidRDefault="00000000">
      <w:pPr>
        <w:pStyle w:val="Ttulo2"/>
      </w:pPr>
      <w:r>
        <w:t>4.3 Distorsión de competencia documentada</w:t>
      </w:r>
    </w:p>
    <w:p w14:paraId="4E505B2D" w14:textId="77777777" w:rsidR="007F073C" w:rsidRDefault="00000000">
      <w:pPr>
        <w:spacing w:before="80" w:after="80" w:line="320" w:lineRule="auto"/>
        <w:jc w:val="both"/>
      </w:pPr>
      <w:r>
        <w:t>El efecto del art. 5.2 RD 903/2025 sobre la competencia es directo y cuantificable:</w:t>
      </w:r>
    </w:p>
    <w:p w14:paraId="7BC6AD67" w14:textId="77777777" w:rsidR="007F073C" w:rsidRDefault="00000000">
      <w:pPr>
        <w:pStyle w:val="Prrafodelista"/>
        <w:numPr>
          <w:ilvl w:val="0"/>
          <w:numId w:val="2"/>
        </w:numPr>
        <w:spacing w:before="60" w:after="60" w:line="300" w:lineRule="auto"/>
        <w:jc w:val="both"/>
      </w:pPr>
      <w:r>
        <w:rPr>
          <w:b/>
          <w:bCs/>
        </w:rPr>
        <w:t xml:space="preserve">Bloqueo del agricultor nacional: </w:t>
      </w:r>
      <w:r>
        <w:t>el productor español de cáñamo industrial subvencionado vía PAC no puede suministrar legalmente materia prima a los laboratorios farmacéuticos autorizados por el propio RD 903/2025, salvo que disponga de licencia de cultivo de estupefacientes (que no procede para cáñamo industrial bajo la lectura correcta de la CN61).</w:t>
      </w:r>
    </w:p>
    <w:p w14:paraId="0FF74361" w14:textId="77777777" w:rsidR="007F073C" w:rsidRDefault="00000000">
      <w:pPr>
        <w:pStyle w:val="Prrafodelista"/>
        <w:numPr>
          <w:ilvl w:val="0"/>
          <w:numId w:val="2"/>
        </w:numPr>
        <w:spacing w:before="60" w:after="60" w:line="300" w:lineRule="auto"/>
        <w:jc w:val="both"/>
      </w:pPr>
      <w:r>
        <w:rPr>
          <w:b/>
          <w:bCs/>
        </w:rPr>
        <w:t xml:space="preserve">Importación obligada desde terceros países y otros Estados miembros: </w:t>
      </w:r>
      <w:r>
        <w:t>los laboratorios autorizados se ven forzados a importar materia prima de jurisdicciones con marco regulatorio coherente (Países Bajos, Portugal, Macedonia del Norte, Canadá, Suiza), en detrimento de la agricultura nacional y de la balanza comercial.</w:t>
      </w:r>
    </w:p>
    <w:p w14:paraId="1BE09690" w14:textId="77777777" w:rsidR="007F073C" w:rsidRDefault="00000000">
      <w:pPr>
        <w:pStyle w:val="Prrafodelista"/>
        <w:numPr>
          <w:ilvl w:val="0"/>
          <w:numId w:val="2"/>
        </w:numPr>
        <w:spacing w:before="60" w:after="60" w:line="300" w:lineRule="auto"/>
        <w:jc w:val="both"/>
      </w:pPr>
      <w:r>
        <w:rPr>
          <w:b/>
          <w:bCs/>
        </w:rPr>
        <w:t xml:space="preserve">Competencia desleal entre Estados miembros: </w:t>
      </w:r>
      <w:r>
        <w:t xml:space="preserve">la propia </w:t>
      </w:r>
      <w:proofErr w:type="gramStart"/>
      <w:r>
        <w:t>COM(</w:t>
      </w:r>
      <w:proofErr w:type="gramEnd"/>
      <w:r>
        <w:t>2025) 553 final, considerando 20, advierte expresamente 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11FCE03E" w14:textId="77777777" w:rsidR="007F073C" w:rsidRDefault="00000000">
      <w:pPr>
        <w:pStyle w:val="Prrafodelista"/>
        <w:numPr>
          <w:ilvl w:val="0"/>
          <w:numId w:val="2"/>
        </w:numPr>
        <w:spacing w:before="60" w:after="60" w:line="300" w:lineRule="auto"/>
        <w:jc w:val="both"/>
      </w:pPr>
      <w:r>
        <w:rPr>
          <w:b/>
          <w:bCs/>
        </w:rPr>
        <w:t xml:space="preserve">Pérdida de competitividad agrícola estructural: </w:t>
      </w:r>
      <w:r>
        <w:t>España, con condiciones agroclimáticas idóneas para el cáñamo en buena parte del territorio (especialmente Castilla-La Mancha, Aragón, Castilla y León y Cataluña), está renunciando a una ventaja comparativa natural en un mercado de demanda creciente.</w:t>
      </w:r>
    </w:p>
    <w:p w14:paraId="2D335A67" w14:textId="77777777" w:rsidR="00C53E82" w:rsidRDefault="00000000">
      <w:pPr>
        <w:pStyle w:val="Prrafodelista"/>
      </w:pPr>
      <w:r>
        <w:t>Asimetría material con Alemania en el canal medicinal: exclusión española de la flor. La Medizinal-Cannabisgesetz alemana admite la dispensación medicinal del cannabis en todas sus formas farmacéuticamente válidas, incluida la flor seca (Cannabisblüten), bajo prescripción médica ordinaria a través de la red de oficinas de farmacia comunitarias. El RD 903/2025 español opta por circunscribir su régimen exclusivamente a extractos y preparados estandarizados, dejando la flor fuera del canal medicinal nacional. La consecuencia competitiva es directa: el operador español queda materialmente impedido de suministrar al mercado medicinal interno una de las formas de presentación que el operador alemán comercializa con normalidad. Ambos compiten, sin embargo, en el mismo mercado interior europeo: el operador alemán dispone de un mercado nacional más amplio (extractos + flor) y el español de un mercado nacional reducido (solo extractos), lo que configura una asimetría estructural entre operadores europeos atribuible a la opción regulatoria nacional. Esta asimetría es independiente del juicio de validez sobre la opción restrictiva en sí, y tiene plena dimensión competencial proyectable a la actuación de la CNMC.</w:t>
      </w:r>
    </w:p>
    <w:p w14:paraId="261FFDE2" w14:textId="77777777" w:rsidR="007F073C" w:rsidRDefault="00000000">
      <w:pPr>
        <w:pStyle w:val="Ttulo2"/>
      </w:pPr>
      <w:r>
        <w:t>4.4 Recurso pendiente ante el Tribunal Supremo</w:t>
      </w:r>
    </w:p>
    <w:p w14:paraId="345B801F" w14:textId="77777777" w:rsidR="007F073C" w:rsidRDefault="00000000">
      <w:pPr>
        <w:spacing w:before="80" w:after="80" w:line="320" w:lineRule="auto"/>
        <w:jc w:val="both"/>
      </w:pPr>
      <w:r>
        <w:t xml:space="preserve">La problemática que el presente dossier expone ha sido elevada a sede jurisdiccional. El RD 903/2025 ha sido objeto de un recurso contencioso-administrativo </w:t>
      </w:r>
      <w:proofErr w:type="spellStart"/>
      <w:r>
        <w:t>nº</w:t>
      </w:r>
      <w:proofErr w:type="spellEnd"/>
      <w:r>
        <w:t xml:space="preserve"> 395/2025 interpuesto por la Asociación </w:t>
      </w:r>
      <w:r>
        <w:lastRenderedPageBreak/>
        <w:t>Cannabis Hub ante la Sala Tercera (Sección Cuarta) del Tribunal Supremo, demanda formalizada el 10 de marzo de 2026 bajo dirección letrada del despacho Baño León (José María Baño Fos), uno de cuyos ejes centrales es precisamente la compatibilidad del artículo 5.2 con el Derecho de la Unión Europea y con el régimen internacional de fiscalización de estupefacientes correctamente interpretado.</w:t>
      </w:r>
    </w:p>
    <w:p w14:paraId="354F07DE" w14:textId="77777777" w:rsidR="007F073C" w:rsidRDefault="00000000">
      <w:pPr>
        <w:spacing w:before="80" w:after="80" w:line="320" w:lineRule="auto"/>
        <w:jc w:val="both"/>
      </w:pPr>
      <w:r>
        <w:t>AECANI no es parte recurrente en ese procedimiento. La eventual resolución del Tribunal Supremo no impide en absoluto que la CNMC se pronuncie de forma autónoma sobre los efectos del art. 5.2 RD 903/2025 sobre la competencia: ambas perspectivas son complementarias y no excluyentes.</w:t>
      </w:r>
    </w:p>
    <w:p w14:paraId="33EDAAFD" w14:textId="77777777" w:rsidR="00C53E82" w:rsidRDefault="00000000">
      <w:pPr>
        <w:pStyle w:val="Ttulo2"/>
      </w:pPr>
      <w:r>
        <w:t>4.5 Una autocrítica necesaria · El punto ciego del cultivo y el riesgo de los cannabinoides sintéticos</w:t>
      </w:r>
    </w:p>
    <w:p w14:paraId="3FC56F7F" w14:textId="77777777" w:rsidR="00C53E82" w:rsidRDefault="00000000">
      <w:pPr>
        <w:pStyle w:val="Ttulo3"/>
      </w:pPr>
      <w:r>
        <w:t>4.5.1 La autocrítica del propio sector</w:t>
      </w:r>
    </w:p>
    <w:p w14:paraId="14532ED6" w14:textId="77777777" w:rsidR="00C53E82" w:rsidRDefault="00000000">
      <w:r>
        <w:t>Antes de formular nuestras peticiones a la Comisión Nacional de los Mercados y la Competencia, AECANI desea explicitar una autocrítica sectorial que considera necesaria por coherencia y por eficacia argumental: la liberación regulatoria del cáñamo industrial no exige la ausencia de control. El cáñamo industrial es un cultivo agrícola legítimo, pero es también —por su parecido morfológico con el cannabis psicoactivo y por la continuidad química entre sus principios activos y los de las variedades estupefacientes— un cultivo con sensibilidades específicas. La industria que AECANI representa no pide ausencia de control; pide control en el lugar correcto de la cadena de valor.</w:t>
      </w:r>
    </w:p>
    <w:p w14:paraId="56387719" w14:textId="77777777" w:rsidR="00C53E82" w:rsidRDefault="00000000">
      <w:pPr>
        <w:pStyle w:val="Ttulo3"/>
      </w:pPr>
      <w:r>
        <w:t>4.5.2 Localización del punto ciego</w:t>
      </w:r>
    </w:p>
    <w:p w14:paraId="4F3DCC21" w14:textId="77777777" w:rsidR="00C53E82" w:rsidRDefault="00000000">
      <w:r>
        <w:t>El sistema regulatorio español sobre el cáñamo industrial presenta hoy una asimetría: los productos finales están razonablemente cubiertos —el cannabis medicinal por el RD 903/2025; los productos a base de hierbas para fumar por la Directiva 2014/40/UE TPD y el RD 579/2017; los cosméticos por el Reglamento (CE) 1223/2009; los productos alimentarios por el régimen Novel Food del Reglamento (UE) 2015/2283—. En cambio, los eslabones de cultivo y de primera transformación se encuentran en un punto ciego regulatorio. No existe un régimen específico de control del cultivo del cáñamo industrial análogo al que España aplica al tabaco (RD 969/2014), al vino (Ley 24/2003), al lúpulo o a la adormidera. Tampoco existe un régimen de trazabilidad obligatoria de la primera transformación de la flor.</w:t>
      </w:r>
    </w:p>
    <w:p w14:paraId="10CCE3DC" w14:textId="77777777" w:rsidR="00C53E82" w:rsidRDefault="00000000">
      <w:pPr>
        <w:pStyle w:val="Ttulo3"/>
      </w:pPr>
      <w:r>
        <w:t>4.5.3 El riesgo concreto: HHC y cannabinoides semi-sintéticos</w:t>
      </w:r>
    </w:p>
    <w:p w14:paraId="1F4E288B" w14:textId="77777777" w:rsidR="00C53E82" w:rsidRDefault="00000000">
      <w:r>
        <w:t>Este punto ciego no es teórico. Su manifestación más documentada es el desplazamiento del CBD obtenido del cáñamo industrial hacia la fabricación clandestina de HHC (hexahidrocannabinol) y otros cannabinoides semi-sintéticos (HHC-O, THCP, THC-O, H4-CBD y derivados análogos), que se sintetizan químicamente a partir del CBD aislado de la flor de cáñamo industrial.</w:t>
      </w:r>
    </w:p>
    <w:p w14:paraId="14762A20" w14:textId="77777777" w:rsidR="00C53E82" w:rsidRDefault="00000000">
      <w:r>
        <w:t>El European Monitoring Centre for Drugs and Drug Addiction (hoy European Union Drugs Agency, EUDA) describió con precisión el mecanismo en su informe técnico de mayo de 2023 [Anexo 9.13]:</w:t>
      </w:r>
    </w:p>
    <w:p w14:paraId="143AC7FF" w14:textId="77777777" w:rsidR="00C53E82" w:rsidRDefault="00000000">
      <w:pPr>
        <w:ind w:left="576"/>
      </w:pPr>
      <w:r>
        <w:rPr>
          <w:i/>
        </w:rPr>
        <w:t>«The current large-scale manufacturing of HHC is based on low-THC hemp derived CBD-extract which is first transformed into a mixture of Δ8-THC and Δ9-THC followed by catalytic hydrogenation of the THC isomer mixture into the final product.»</w:t>
      </w:r>
    </w:p>
    <w:p w14:paraId="2E174838" w14:textId="77777777" w:rsidR="00C53E82" w:rsidRDefault="00000000">
      <w:r>
        <w:t>Y, sobre la causa estructural:</w:t>
      </w:r>
    </w:p>
    <w:p w14:paraId="4E3A6A3A" w14:textId="77777777" w:rsidR="00C53E82" w:rsidRDefault="00000000">
      <w:pPr>
        <w:ind w:left="576"/>
      </w:pPr>
      <w:r>
        <w:rPr>
          <w:i/>
        </w:rPr>
        <w:t>«This new market is linked to: the legalisation of hemp cultivation in the US in 2018; subsequent abundant / surplus supply of hemp and cannabidiol (CBD) derived from hemp that can be used as a precursor for SSCs [semi-synthetic cannabinoids].»</w:t>
      </w:r>
    </w:p>
    <w:p w14:paraId="320A23C3" w14:textId="77777777" w:rsidR="00C53E82" w:rsidRDefault="00000000">
      <w:r>
        <w:t>El propio Plan Nacional sobre Drogas (PNSD), en su Dossier sobre Cannabinoides Sintéticos de 11 de abril de 2025 [Anexo 9.14], reconoce explícitamente el modus operandi del mercado ilícito español:</w:t>
      </w:r>
    </w:p>
    <w:p w14:paraId="4A0AD0DF" w14:textId="77777777" w:rsidR="00C53E82" w:rsidRDefault="00000000">
      <w:pPr>
        <w:ind w:left="576"/>
      </w:pPr>
      <w:r>
        <w:rPr>
          <w:i/>
        </w:rPr>
        <w:lastRenderedPageBreak/>
        <w:t>«Para maximizar los beneficios, hay traficantes que impregnan con cannabinoides sintéticos el cáñamo industrial con bajo contenido de THC, que posee un aspecto similar al de la hierba de cannabis.»</w:t>
      </w:r>
    </w:p>
    <w:p w14:paraId="1BFBDD78" w14:textId="77777777" w:rsidR="00C53E82" w:rsidRDefault="00000000">
      <w:r>
        <w:t>Las cifras dimensionan el problema. La EUDA vigila a 8 de octubre de 2025 un total de 298 cannabinoides; en 2024 se notificaron 20 nuevos cannabinoides (18 de ellos semi-sintéticos), más del 40% de las nuevas sustancias psicoactivas notificadas a la EUDA ese año. En España, el Sistema Español de Alerta Temprana (SEAT) registró 28 intoxicaciones agudas en servicios de urgencias en 2024, en su mayoría asociadas al consumo de gominolas y caramelos adulterados con HHC y THCP, con 14 notificaciones concentradas en Madrid y Barcelona [Informe SEAT-OEDA Resumen Ejecutivo 2025, Anexo 9.15].</w:t>
      </w:r>
    </w:p>
    <w:p w14:paraId="286C11FF" w14:textId="77777777" w:rsidR="00C53E82" w:rsidRDefault="00000000">
      <w:pPr>
        <w:pStyle w:val="Ttulo3"/>
      </w:pPr>
      <w:r>
        <w:t>4.5.4 La asimetría regulatoria española</w:t>
      </w:r>
    </w:p>
    <w:p w14:paraId="54FB2F77" w14:textId="77777777" w:rsidR="00C53E82" w:rsidRDefault="00000000">
      <w:r>
        <w:t>España ha adoptado una respuesta regulatoria downstream. La Orden SND/380/2025, de 14 de abril (BOE 22-abr-2025) [Anexo 5.11] incluye HHC, HHC-O, HHCP, HHCP-O, THCP, delta-8-THCP, THC-O, THCP-O, H4-CBD y delta-9-THCA en la Lista II anexa al RD 2829/1977, con entrada en vigor el 23 de abril de 2025. Es una respuesta sobre la molécula final que cabe valorar como necesaria.</w:t>
      </w:r>
    </w:p>
    <w:p w14:paraId="4358BB2D" w14:textId="77777777" w:rsidR="00C53E82" w:rsidRDefault="00000000">
      <w:r>
        <w:t>Pero la Orden SND/380/2025 es insuficiente desde la perspectiva regulatoria. La causa estructural identificada por la EMCDDA es la «abundant / surplus supply of hemp and CBD derived from hemp»: un fenómeno upstream que ninguna fiscalización de la molécula final, por sí sola, puede prevenir. España carece a día de hoy de un régimen específico de control del cultivo y de la primera transformación del cáñamo industrial que actúe sobre la causa estructural del problema. La asimetría es completa: la administración fiscaliza la molécula sintética producida por el desvío después de que el desvío se haya producido, mientras que la materia prima que alimenta ese desvío —el CBD extraído de la flor— no está sujeta a régimen de trazabilidad alguno.</w:t>
      </w:r>
    </w:p>
    <w:p w14:paraId="3E118A1C" w14:textId="77777777" w:rsidR="00C53E82" w:rsidRDefault="00000000">
      <w:r>
        <w:t>Simultáneamente, la pretensión regulatoria contenida en el TRIS 2025/0044/ES no aborda este riesgo: somete a presión adicional a los operadores legítimos del cáñamo industrial —los registrados, los que tributan, los que mantienen los 1.700 establecimientos minoristas y los 6.700 empleos documentados en el §3.4— sin añadir control alguno sobre la rama del sector que efectivamente se desvía hacia la fabricación ilícita de cannabinoides semi-sintéticos.</w:t>
      </w:r>
    </w:p>
    <w:p w14:paraId="41EC2911" w14:textId="77777777" w:rsidR="00C53E82" w:rsidRDefault="00000000">
      <w:pPr>
        <w:pStyle w:val="Ttulo3"/>
      </w:pPr>
      <w:r>
        <w:t>4.5.5 La inversión del argumento de salud pública: la inacción como riesgo</w:t>
      </w:r>
    </w:p>
    <w:p w14:paraId="1BF0434D" w14:textId="77777777" w:rsidR="00C53E82" w:rsidRDefault="00000000">
      <w:r>
        <w:t>El artículo 34 del Tratado de Funcionamiento de la Unión Europea prohíbe a los Estados miembros toda restricción cuantitativa a la libre circulación intracomunitaria de mercancías y toda medida de efecto equivalente. El artículo 36 del mismo Tratado admite excepciones por motivos de orden público, salud pública u otros taxativamente enumerados, pero la jurisprudencia del Tribunal de Justicia de la Unión Europea ha establecido —en términos especialmente claros en la sentencia C-663/18 Kanavape, ya citada— que esas excepciones requieren la acreditación, por parte del Estado que las invoque, de un riesgo real para la salud pública apreciado a la luz de los datos científicos más recientes, y que su aplicación debe respetar el principio de proporcionalidad.</w:t>
      </w:r>
    </w:p>
    <w:p w14:paraId="6B529771" w14:textId="77777777" w:rsidR="00C53E82" w:rsidRDefault="00000000">
      <w:r>
        <w:t>La administración española, en relación con el cáñamo industrial y sus productos derivados, opera hoy en sentido inverso al estándar exigido por el Derecho de la Unión: invoca implícitamente la salud pública como justificación de un régimen restrictivo basado en definiciones expansivas (asimilación de toda materia prima vegetal de cannabis al régimen de los estupefacientes, con independencia de su contenido en THC y de su quimiotipo) y, en su caso, en consideraciones de orden público (ausencia de un sistema unificado de verificación de edad, ausencia de canal regulado para el consumidor adulto), sin acreditar el riesgo real exigido por la jurisprudencia Kanavape ni adoptar las medidas de regulación positiva que harían tales consideraciones razonables.</w:t>
      </w:r>
    </w:p>
    <w:p w14:paraId="5A88CC46" w14:textId="77777777" w:rsidR="00C53E82" w:rsidRDefault="00000000">
      <w:r>
        <w:t>El resultado es paradójico y debe explicitarse con claridad: la administración española invoca la salud pública para impedir el comercio del cáñamo industrial legítimo, pero su inacción regulatoria simultáneamente genera los riesgos para la salud pública que dice querer prevenir. La constatación es directa:</w:t>
      </w:r>
    </w:p>
    <w:p w14:paraId="4D118DF1" w14:textId="77777777" w:rsidR="00C53E82" w:rsidRDefault="00000000">
      <w:pPr>
        <w:pStyle w:val="Prrafodelista"/>
      </w:pPr>
      <w:r>
        <w:lastRenderedPageBreak/>
        <w:t>Operadores no trazados. El comercio minorista del cáñamo industrial (≈1.700 establecimientos, ≈450 M€ de facturación, ≈6.700 empleos directos) carece de código CNAE específico, de epígrafe IAE propio y de cualquier sistema de registro o control administrativo diferenciado. La administración no sabe quién opera en el sector. Esto, per se, es un riesgo regulatorio.</w:t>
      </w:r>
    </w:p>
    <w:p w14:paraId="357F41B3" w14:textId="77777777" w:rsidR="00C53E82" w:rsidRDefault="00000000">
      <w:pPr>
        <w:pStyle w:val="Prrafodelista"/>
      </w:pPr>
      <w:r>
        <w:t>Cultivo no trazado. España subvenciona vía PAC el cultivo del cáñamo industrial pero no aplica trazabilidad obligatoria ni régimen de contratación productor-transformador. La materia prima destinada a la extracción de CBD —el precursor químico de los cannabinoides semi-sintéticos identificado por la EMCDDA— circula sin control diferenciado.</w:t>
      </w:r>
    </w:p>
    <w:p w14:paraId="6E084020" w14:textId="77777777" w:rsidR="00C53E82" w:rsidRDefault="00000000">
      <w:pPr>
        <w:pStyle w:val="Prrafodelista"/>
      </w:pPr>
      <w:r>
        <w:t>Producto en mercado gris. La administración no admite la notificación de productos a base de hierbas para fumar de cáñamo industrial bajo el régimen general de la Directiva 2014/40/UE TPD (cf. §5.1 del presente dossier), pero los mismos productos se siguen comercializando bajo otras categorías (referencia DGT V2242-22 sobre flores ornamentales tributadas al 10% IVA). El consumidor adulto adquiere el producto sin garantías de procedencia ni de composición.</w:t>
      </w:r>
    </w:p>
    <w:p w14:paraId="4D90EC22" w14:textId="77777777" w:rsidR="00C53E82" w:rsidRDefault="00000000">
      <w:pPr>
        <w:pStyle w:val="Prrafodelista"/>
      </w:pPr>
      <w:r>
        <w:t>Desvío al mercado ilícito. En este vacío proliferan los cannabinoides semi-sintéticos descritos en §4.5.3, con manifestación documentada en intoxicaciones agudas en servicios de urgencias españoles (28 casos notificados en 2024, principalmente por gominolas adulteradas con HHC y THCP).</w:t>
      </w:r>
    </w:p>
    <w:p w14:paraId="4BBFAC64" w14:textId="77777777" w:rsidR="00C53E82" w:rsidRDefault="00000000">
      <w:r>
        <w:t>El verdadero riesgo para la salud pública que la administración invoca como justificación de su política restrictiva no procede del cáñamo industrial en sí —cuyo perfil de riesgo está cualificado por la OMS (ECDD 2018), por la EMCDDA y por la jurisprudencia Kanavape como bajo cuando se trata del producto con bajo contenido en THC— sino de la inacción regulatoria de la propia administración, que simultáneamente impide la operación legal del sector y se desentiende del control efectivo del riesgo aguas arriba. Dicho con la simetría que el caso reclama: en el estado actual, no tener trazados a los operadores que comercializan flor de cáñamo (sea como producto ornamental bajo la ficción tributaria del 10% IVA, sea como producto a base de hierbas para fumar bajo régimen general TPD del que la administración los excluye) es objetivamente peor para la salud pública que regularlos correctamente.</w:t>
      </w:r>
    </w:p>
    <w:p w14:paraId="13456294" w14:textId="77777777" w:rsidR="00C53E82" w:rsidRDefault="00000000">
      <w:r>
        <w:t>La inversión argumental es, por tanto, simétrica y plenamente proyectable a la propia CNMC en sede de competencia: la inacción regulatoria no solo produce distorsiones de competencia (las documentadas en el §5 del presente dossier), sino que produce además los efectos sanitarios que la propia administración invoca para perpetuar la inacción. La salida razonable a este círculo es exactamente la que AECANI propone: regular —de manera diseñada, proporcionada, coherente con el Derecho de la Unión y con los modelos espejo nacionales (tabaco, vino, lúpulo, adormidera)— en lugar de prohibir.</w:t>
      </w:r>
    </w:p>
    <w:p w14:paraId="67E390F8" w14:textId="77777777" w:rsidR="00C53E82" w:rsidRDefault="00000000">
      <w:pPr>
        <w:pStyle w:val="Ttulo3"/>
      </w:pPr>
      <w:r>
        <w:t>4.5.6 La conclusión: control aguas arriba, no presión aguas abajo</w:t>
      </w:r>
    </w:p>
    <w:p w14:paraId="203D65B1" w14:textId="77777777" w:rsidR="00C53E82" w:rsidRDefault="00000000">
      <w:r>
        <w:t>La consecuencia de política regulatoria es directa. La forma eficaz de prevenir el desvío del cáñamo industrial a la fabricación de HHC y cannabinoides semi-sintéticos no consiste en restringir el comercio minorista del cáñamo industrial al consumidor adulto; consiste en establecer un régimen específico de control de cultivos y de primera transformación, con trazabilidad desde la semilla hasta el primer transformador autorizado, contratación obligatoria entre productor y transformador, y registro estadístico diferenciado. Es el modelo que España aplica con éxito al tabaco, al vino, al lúpulo y a la adormidera; es el modelo que la propia Propuesta COM(2025) 553 final invita implícitamente al reconocer todas las partes de la planta de cáñamo (incluidas las sumidades floridas bajo NC 1211 90 86) como producto agrícola comercializable dentro de la Organización Común de Mercados; y es el modelo que la EMCDDA identifica como condición para gobernar el riesgo de los cannabinoides semi-sintéticos en su origen.</w:t>
      </w:r>
    </w:p>
    <w:p w14:paraId="6E730AD8" w14:textId="77777777" w:rsidR="00C53E82" w:rsidRDefault="00000000">
      <w:r>
        <w:t>Un régimen de trazabilidad correctamente diseñado reduciría a niveles residuales la posibilidad de que la flor de cáñamo industrial cultivada legalmente en España se desvíe a la fabricación clandestina de HHC u otros cannabinoides semi-sintéticos. La prevención de este riesgo requiere actuación regulatoria, sí; pero requiere actuación en el lugar adecuado de la cadena de valor —el cultivo y la primera transformación— y no en el comerciante final del producto legítimo, que es el único eslabón actualmente sujeto a presión regulatoria por parte de la administración española.</w:t>
      </w:r>
    </w:p>
    <w:p w14:paraId="4E73EE9D" w14:textId="77777777" w:rsidR="00C53E82" w:rsidRDefault="00000000">
      <w:pPr>
        <w:pStyle w:val="Ttulo3"/>
      </w:pPr>
      <w:r>
        <w:lastRenderedPageBreak/>
        <w:t>4.5.7 Conexión con las peticiones</w:t>
      </w:r>
    </w:p>
    <w:p w14:paraId="5095D779" w14:textId="77777777" w:rsidR="00C53E82" w:rsidRDefault="00000000">
      <w:r>
        <w:t>Esta autocrítica no debilita las peticiones que AECANI formula a continuación; las refuerza. Solicitar a la CNMC un pronunciamiento técnico sobre el artículo 5.2 del RD 903/2025 y una recomendación al Gobierno para la elaboración de una norma específica de control de cultivos no es una pretensión liberalizadora: es una pretensión de regulación bien diseñada. El sector que representa AECANI es el primer interesado en que esa regulación exista, porque es la condición para que la rama legítima del cáñamo industrial pueda operar con seguridad jurídica y la rama ilegítima —la del desvío a HHC y a cannabinoides semi-sintéticos— desaparezca por sustitución.</w:t>
      </w:r>
    </w:p>
    <w:p w14:paraId="1F782004" w14:textId="77777777" w:rsidR="007F073C" w:rsidRDefault="00000000">
      <w:pPr>
        <w:pStyle w:val="Ttulo2"/>
      </w:pPr>
      <w:r>
        <w:t>4.6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4411055B"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5E70F1DF" w14:textId="77777777" w:rsidR="007F073C" w:rsidRDefault="00000000">
            <w:pPr>
              <w:spacing w:after="80"/>
            </w:pPr>
            <w:r>
              <w:rPr>
                <w:b/>
                <w:bCs/>
                <w:color w:val="1F3864"/>
              </w:rPr>
              <w:t>PETICIÓN ESPECÍFICA SOBRE EL FRENTE 1</w:t>
            </w:r>
          </w:p>
          <w:p w14:paraId="2DFBEF99" w14:textId="77777777" w:rsidR="007F073C" w:rsidRDefault="00000000">
            <w:pPr>
              <w:spacing w:before="60" w:after="40" w:line="300" w:lineRule="auto"/>
              <w:jc w:val="both"/>
            </w:pPr>
            <w:r>
              <w:rPr>
                <w:b/>
                <w:bCs/>
              </w:rPr>
              <w:t xml:space="preserve">(a) </w:t>
            </w:r>
            <w:r>
              <w:t>Pronunciamiento técnico de la CNMC sobre los efectos del artículo 5.2 del RD 903/2025 sobre la competencia en la cadena agricultor-laboratorio.</w:t>
            </w:r>
          </w:p>
          <w:p w14:paraId="35239687" w14:textId="77777777" w:rsidR="007F073C" w:rsidRDefault="00000000">
            <w:pPr>
              <w:spacing w:before="40" w:after="40" w:line="300" w:lineRule="auto"/>
              <w:jc w:val="both"/>
            </w:pPr>
            <w:r>
              <w:rPr>
                <w:b/>
                <w:bCs/>
              </w:rPr>
              <w:t xml:space="preserve">(b) </w:t>
            </w:r>
            <w:r>
              <w:t>Recomendación al Gobierno para la elaboración de una norma específica de control de cultivos de cáñamo industrial inspirada en los modelos análogos ya operativos en España (tabaco, vino, lúpulo, adormidera): registro por parcela, contratación con primer transformador, trazabilidad y certificación, con materia prima vendible sin licencia de estupefacientes a procesadores y a la industria farmacéutica autorizada.</w:t>
            </w:r>
          </w:p>
          <w:p w14:paraId="315279A2" w14:textId="77777777" w:rsidR="007F073C" w:rsidRDefault="00000000">
            <w:pPr>
              <w:spacing w:before="40" w:after="60" w:line="300" w:lineRule="auto"/>
              <w:jc w:val="both"/>
            </w:pPr>
            <w:r>
              <w:rPr>
                <w:b/>
                <w:bCs/>
              </w:rPr>
              <w:t xml:space="preserve">(c) </w:t>
            </w:r>
            <w:r>
              <w:t>Apertura de procedimiento bajo el artículo 28 LGUM por la barrera administrativa al primer eslabón de la cadena de valor agrícola.</w:t>
            </w:r>
          </w:p>
        </w:tc>
      </w:tr>
    </w:tbl>
    <w:p w14:paraId="5C07552A" w14:textId="77777777" w:rsidR="007F073C" w:rsidRDefault="00000000">
      <w:r>
        <w:br w:type="page"/>
      </w:r>
    </w:p>
    <w:p w14:paraId="205B15AF" w14:textId="77777777" w:rsidR="007F073C" w:rsidRDefault="00000000">
      <w:pPr>
        <w:pStyle w:val="Ttulo1"/>
      </w:pPr>
      <w:r>
        <w:lastRenderedPageBreak/>
        <w:t>5. Segundo frente · El bloqueo del comerciante final</w:t>
      </w:r>
    </w:p>
    <w:p w14:paraId="615BA3DA" w14:textId="77777777" w:rsidR="007F073C" w:rsidRDefault="00000000">
      <w:pPr>
        <w:pStyle w:val="Ttulo2"/>
      </w:pPr>
      <w:r>
        <w:t>Productos no medicinales y, en particular, hierbas para fumar</w:t>
      </w:r>
    </w:p>
    <w:p w14:paraId="13A9D4C4" w14:textId="77777777" w:rsidR="007F073C" w:rsidRDefault="00000000">
      <w:pPr>
        <w:spacing w:before="80" w:after="80" w:line="320" w:lineRule="auto"/>
        <w:jc w:val="both"/>
      </w:pPr>
      <w:r>
        <w:t>El segundo frente, simétrico y complementario del primero, afecta al último eslabón de la cadena de valor: el comercio especializado al consumidor adulto. Aquí el bloqueo no se produce a través de un Real Decreto que opera arriba de la cadena (como el art. 5.2 del RD 903/2025), sino mediante una combinación de tres elementos: una interpretación administrativa restrictiva del régimen de productos a base de hierbas para fumar; un proyecto regulatorio que pretende monopolizar la distribución a través del estanco; y un régimen fiscal incoherente con la propia naturaleza del producto.</w:t>
      </w:r>
    </w:p>
    <w:p w14:paraId="75540C43" w14:textId="77777777" w:rsidR="007F073C" w:rsidRDefault="00000000">
      <w:pPr>
        <w:pStyle w:val="Ttulo2"/>
      </w:pPr>
      <w:r>
        <w:t>5.1 El bloqueo registral · La administración sanitaria niega el registro</w:t>
      </w:r>
    </w:p>
    <w:p w14:paraId="346754DC" w14:textId="77777777" w:rsidR="007F073C" w:rsidRDefault="00000000">
      <w:r>
        <w:t xml:space="preserve">Esta posición administrativa ha sido sostenida públicamente por la propia </w:t>
      </w:r>
      <w:proofErr w:type="gramStart"/>
      <w:r>
        <w:t>Jefa</w:t>
      </w:r>
      <w:proofErr w:type="gramEnd"/>
      <w:r>
        <w:t xml:space="preserve"> de Área de Prevención y Control del Tabaquismo del Ministerio de Sanidad. En la presentación oficial «Impacto del tabaco y las nuevas formas de consumo en la infancia y la adolescencia», expuesta en la I Jornada de Escuelas Promotoras de Salud (15 de octubre de 2024, Auditorio Ernest Lluch, Madrid), publicada en sanidad.gob.es, se afirma literalmente:</w:t>
      </w:r>
    </w:p>
    <w:p w14:paraId="7B2F52C3" w14:textId="77777777" w:rsidR="007F073C" w:rsidRDefault="00000000">
      <w:pPr>
        <w:ind w:left="576"/>
      </w:pPr>
      <w:r>
        <w:rPr>
          <w:i/>
        </w:rPr>
        <w:t xml:space="preserve">«Productos a base de hierbas para fumar […] No se autoriza dentro de este grupo de productos: cáñamo, cannabis, </w:t>
      </w:r>
      <w:proofErr w:type="spellStart"/>
      <w:r>
        <w:rPr>
          <w:i/>
        </w:rPr>
        <w:t>cbd</w:t>
      </w:r>
      <w:proofErr w:type="spellEnd"/>
      <w:r>
        <w:rPr>
          <w:i/>
        </w:rPr>
        <w:t>, o cualquier otra planta con efectos psicoactivos.» (diapositiva 15) [Anexo 9.1]</w:t>
      </w:r>
    </w:p>
    <w:p w14:paraId="6186F0AF" w14:textId="77777777" w:rsidR="007F073C" w:rsidRDefault="00000000">
      <w:r>
        <w:t>Y en la diapositiva 21:</w:t>
      </w:r>
    </w:p>
    <w:p w14:paraId="10CC4E81" w14:textId="77777777" w:rsidR="007F073C" w:rsidRDefault="00000000">
      <w:pPr>
        <w:ind w:left="576"/>
      </w:pPr>
      <w:r>
        <w:rPr>
          <w:i/>
        </w:rPr>
        <w:t>«Productos con cannabis y derivados con CBD y bajo contenido en THC (&lt;0,3%): No están autorizados por el Ministerio de Sanidad ni por la Agencia del Medicamento. Publicidad falsa.» [Anexo 9.1]</w:t>
      </w:r>
    </w:p>
    <w:p w14:paraId="08EC780B" w14:textId="77777777" w:rsidR="007F073C" w:rsidRDefault="00000000">
      <w:r>
        <w:t>Esta exclusión administrativa contrasta frontalmente con el Documento de Consenso sobre la aplicación de la Ley 28/2005 (Grupo de responsables de tabaquismo MSCBS-CCAA, revisado por la Comisión de Salud Pública el 13 de noviembre de 2019), que en su sección 13 establece que «la venta de productos a base de hierbas para fumar es libre salvo para el caso de la prohibición de venta a menores» [Anexo 9.2]. La lista positiva oficial de productos a base de hierbas para fumar publicada por el propio Ministerio (Lista_positivos_Hierbas.pdf) no incluye, a fecha de cierre del presente dossier, ningún producto derivado del cáñamo industrial [Anexo 9.3].</w:t>
      </w:r>
    </w:p>
    <w:p w14:paraId="72C5F4EA" w14:textId="77777777" w:rsidR="007F073C" w:rsidRDefault="00000000">
      <w:r>
        <w:t xml:space="preserve">El conjunto evidencia una exclusión discrecional sin base normativa expresa, articulada al margen del régimen general de venta libre, y contradictoria con el artículo 2.4 de la Directiva 2014/40/UE TPD (cuya definición de hierbas para fumar se basa en la ausencia de tabaco, no en la ausencia de cáñamo) y con la jurisprudencia </w:t>
      </w:r>
      <w:proofErr w:type="spellStart"/>
      <w:r>
        <w:t>Kanavape</w:t>
      </w:r>
      <w:proofErr w:type="spellEnd"/>
      <w:r>
        <w:t xml:space="preserve"> (TJUE C-663/18).</w:t>
      </w:r>
    </w:p>
    <w:p w14:paraId="2F51BAAE" w14:textId="77777777" w:rsidR="007F073C" w:rsidRDefault="00000000">
      <w:pPr>
        <w:spacing w:before="80" w:after="80" w:line="320" w:lineRule="auto"/>
        <w:jc w:val="both"/>
      </w:pPr>
      <w:r>
        <w:t>La Directiva 2014/40/UE (TPD), en su artículo 2.4, define los «productos a base de hierbas para fumar» como «productos basados en plantas, hierbas o frutas que no contengan tabaco y puedan consumirse mediante un proceso de combustión». La Directiva establece para esta categoría obligaciones de notificación, de etiquetado (advertencias sanitarias) y de comunicación de ingredientes.</w:t>
      </w:r>
    </w:p>
    <w:p w14:paraId="6D7380D9" w14:textId="77777777" w:rsidR="007F073C" w:rsidRDefault="00000000">
      <w:pPr>
        <w:spacing w:before="80" w:after="80" w:line="320" w:lineRule="auto"/>
        <w:jc w:val="both"/>
      </w:pPr>
      <w:r>
        <w:t>El Real Decreto 579/2017, que transpone la TPD al ordenamiento español, recoge esta categoría. Sin embargo, en la práctica administrativa, la Dirección General de Salud Pública del Ministerio de Sanidad ha venido rechazando las solicitudes de notificación de productos a base de hierbas de cáñamo industrial alegando, en sustancia, que las flores de cáñamo serían en sí mismas sustancias estupefacientes —lo cual contradice todo lo expuesto en el apartado 4 anterior del presente dossier.</w:t>
      </w:r>
    </w:p>
    <w:p w14:paraId="0322E44B" w14:textId="77777777" w:rsidR="007F073C" w:rsidRDefault="00000000">
      <w:pPr>
        <w:spacing w:before="80" w:after="80" w:line="320" w:lineRule="auto"/>
        <w:jc w:val="both"/>
      </w:pPr>
      <w:r>
        <w:lastRenderedPageBreak/>
        <w:t>Mientras tanto, los mismos productos se notifican y comercializan legalmente en al menos seis Estados miembros de la Unión Europea:</w:t>
      </w:r>
    </w:p>
    <w:p w14:paraId="6C9CD49B" w14:textId="77777777" w:rsidR="007F073C" w:rsidRDefault="00000000">
      <w:r>
        <w:t xml:space="preserve">El precedente constitucional italiano —país con la red más densa de monopolio del tabaco en Europa— resulta directamente trasladable. La Corte </w:t>
      </w:r>
      <w:proofErr w:type="spellStart"/>
      <w:r>
        <w:t>Costituzionale</w:t>
      </w:r>
      <w:proofErr w:type="spellEnd"/>
      <w:r>
        <w:t xml:space="preserve">, en su </w:t>
      </w:r>
      <w:proofErr w:type="spellStart"/>
      <w:r>
        <w:t>Sentenza</w:t>
      </w:r>
      <w:proofErr w:type="spellEnd"/>
      <w:r>
        <w:t xml:space="preserve"> n. 83 de 14 de abril de 2015 (depositada el 15 de mayo de 2015, ECLI:</w:t>
      </w:r>
      <w:proofErr w:type="gramStart"/>
      <w:r>
        <w:t>IT:COST</w:t>
      </w:r>
      <w:proofErr w:type="gramEnd"/>
      <w:r>
        <w:t>:2015:83), declaró la ilegitimidad constitucional de la extensión del régimen del tabaco a los líquidos para cigarrillo electrónico sin nicotina, con el siguiente razonamiento (</w:t>
      </w:r>
      <w:proofErr w:type="spellStart"/>
      <w:r>
        <w:t>Considerato</w:t>
      </w:r>
      <w:proofErr w:type="spellEnd"/>
      <w:r>
        <w:t xml:space="preserve"> in </w:t>
      </w:r>
      <w:proofErr w:type="spellStart"/>
      <w:r>
        <w:t>diritto</w:t>
      </w:r>
      <w:proofErr w:type="spellEnd"/>
      <w:r>
        <w:t>, punto 5.1):</w:t>
      </w:r>
    </w:p>
    <w:p w14:paraId="57952377" w14:textId="77777777" w:rsidR="007F073C" w:rsidRDefault="00000000">
      <w:pPr>
        <w:ind w:left="576"/>
      </w:pPr>
      <w:r>
        <w:rPr>
          <w:i/>
        </w:rPr>
        <w:t>«</w:t>
      </w:r>
      <w:proofErr w:type="spellStart"/>
      <w:r>
        <w:rPr>
          <w:i/>
        </w:rPr>
        <w:t>Appare</w:t>
      </w:r>
      <w:proofErr w:type="spellEnd"/>
      <w:r>
        <w:rPr>
          <w:i/>
        </w:rPr>
        <w:t xml:space="preserve"> </w:t>
      </w:r>
      <w:proofErr w:type="spellStart"/>
      <w:r>
        <w:rPr>
          <w:i/>
        </w:rPr>
        <w:t>quindi</w:t>
      </w:r>
      <w:proofErr w:type="spellEnd"/>
      <w:r>
        <w:rPr>
          <w:i/>
        </w:rPr>
        <w:t xml:space="preserve"> del </w:t>
      </w:r>
      <w:proofErr w:type="spellStart"/>
      <w:r>
        <w:rPr>
          <w:i/>
        </w:rPr>
        <w:t>tutto</w:t>
      </w:r>
      <w:proofErr w:type="spellEnd"/>
      <w:r>
        <w:rPr>
          <w:i/>
        </w:rPr>
        <w:t xml:space="preserve"> </w:t>
      </w:r>
      <w:proofErr w:type="spellStart"/>
      <w:r>
        <w:rPr>
          <w:i/>
        </w:rPr>
        <w:t>irragionevole</w:t>
      </w:r>
      <w:proofErr w:type="spellEnd"/>
      <w:r>
        <w:rPr>
          <w:i/>
        </w:rPr>
        <w:t xml:space="preserve"> </w:t>
      </w:r>
      <w:proofErr w:type="spellStart"/>
      <w:r>
        <w:rPr>
          <w:i/>
        </w:rPr>
        <w:t>l'estensione</w:t>
      </w:r>
      <w:proofErr w:type="spellEnd"/>
      <w:r>
        <w:rPr>
          <w:i/>
        </w:rPr>
        <w:t xml:space="preserve">, </w:t>
      </w:r>
      <w:proofErr w:type="spellStart"/>
      <w:r>
        <w:rPr>
          <w:i/>
        </w:rPr>
        <w:t>operata</w:t>
      </w:r>
      <w:proofErr w:type="spellEnd"/>
      <w:r>
        <w:rPr>
          <w:i/>
        </w:rPr>
        <w:t xml:space="preserve"> dalla </w:t>
      </w:r>
      <w:proofErr w:type="spellStart"/>
      <w:r>
        <w:rPr>
          <w:i/>
        </w:rPr>
        <w:t>disposizione</w:t>
      </w:r>
      <w:proofErr w:type="spellEnd"/>
      <w:r>
        <w:rPr>
          <w:i/>
        </w:rPr>
        <w:t xml:space="preserve"> </w:t>
      </w:r>
      <w:proofErr w:type="spellStart"/>
      <w:r>
        <w:rPr>
          <w:i/>
        </w:rPr>
        <w:t>censurata</w:t>
      </w:r>
      <w:proofErr w:type="spellEnd"/>
      <w:r>
        <w:rPr>
          <w:i/>
        </w:rPr>
        <w:t xml:space="preserve">, del </w:t>
      </w:r>
      <w:proofErr w:type="spellStart"/>
      <w:r>
        <w:rPr>
          <w:i/>
        </w:rPr>
        <w:t>regime</w:t>
      </w:r>
      <w:proofErr w:type="spellEnd"/>
      <w:r>
        <w:rPr>
          <w:i/>
        </w:rPr>
        <w:t xml:space="preserve"> </w:t>
      </w:r>
      <w:proofErr w:type="spellStart"/>
      <w:r>
        <w:rPr>
          <w:i/>
        </w:rPr>
        <w:t>amministrativo</w:t>
      </w:r>
      <w:proofErr w:type="spellEnd"/>
      <w:r>
        <w:rPr>
          <w:i/>
        </w:rPr>
        <w:t xml:space="preserve"> e tributario proprio </w:t>
      </w:r>
      <w:proofErr w:type="spellStart"/>
      <w:r>
        <w:rPr>
          <w:i/>
        </w:rPr>
        <w:t>dei</w:t>
      </w:r>
      <w:proofErr w:type="spellEnd"/>
      <w:r>
        <w:rPr>
          <w:i/>
        </w:rPr>
        <w:t xml:space="preserve"> </w:t>
      </w:r>
      <w:proofErr w:type="spellStart"/>
      <w:r>
        <w:rPr>
          <w:i/>
        </w:rPr>
        <w:t>tabacchi</w:t>
      </w:r>
      <w:proofErr w:type="spellEnd"/>
      <w:r>
        <w:rPr>
          <w:i/>
        </w:rPr>
        <w:t xml:space="preserve"> anche al </w:t>
      </w:r>
      <w:proofErr w:type="spellStart"/>
      <w:r>
        <w:rPr>
          <w:i/>
        </w:rPr>
        <w:t>commercio</w:t>
      </w:r>
      <w:proofErr w:type="spellEnd"/>
      <w:r>
        <w:rPr>
          <w:i/>
        </w:rPr>
        <w:t xml:space="preserve"> di </w:t>
      </w:r>
      <w:proofErr w:type="spellStart"/>
      <w:r>
        <w:rPr>
          <w:i/>
        </w:rPr>
        <w:t>liquidi</w:t>
      </w:r>
      <w:proofErr w:type="spellEnd"/>
      <w:r>
        <w:rPr>
          <w:i/>
        </w:rPr>
        <w:t xml:space="preserve"> </w:t>
      </w:r>
      <w:proofErr w:type="spellStart"/>
      <w:r>
        <w:rPr>
          <w:i/>
        </w:rPr>
        <w:t>aromatizzati</w:t>
      </w:r>
      <w:proofErr w:type="spellEnd"/>
      <w:r>
        <w:rPr>
          <w:i/>
        </w:rPr>
        <w:t xml:space="preserve"> e di </w:t>
      </w:r>
      <w:proofErr w:type="spellStart"/>
      <w:r>
        <w:rPr>
          <w:i/>
        </w:rPr>
        <w:t>dispositivi</w:t>
      </w:r>
      <w:proofErr w:type="spellEnd"/>
      <w:r>
        <w:rPr>
          <w:i/>
        </w:rPr>
        <w:t xml:space="preserve"> per </w:t>
      </w:r>
      <w:proofErr w:type="spellStart"/>
      <w:r>
        <w:rPr>
          <w:i/>
        </w:rPr>
        <w:t>il</w:t>
      </w:r>
      <w:proofErr w:type="spellEnd"/>
      <w:r>
        <w:rPr>
          <w:i/>
        </w:rPr>
        <w:t xml:space="preserve"> relativo consumo, i </w:t>
      </w:r>
      <w:proofErr w:type="spellStart"/>
      <w:r>
        <w:rPr>
          <w:i/>
        </w:rPr>
        <w:t>quali</w:t>
      </w:r>
      <w:proofErr w:type="spellEnd"/>
      <w:r>
        <w:rPr>
          <w:i/>
        </w:rPr>
        <w:t xml:space="preserve"> non </w:t>
      </w:r>
      <w:proofErr w:type="spellStart"/>
      <w:r>
        <w:rPr>
          <w:i/>
        </w:rPr>
        <w:t>possono</w:t>
      </w:r>
      <w:proofErr w:type="spellEnd"/>
      <w:r>
        <w:rPr>
          <w:i/>
        </w:rPr>
        <w:t xml:space="preserve"> </w:t>
      </w:r>
      <w:proofErr w:type="spellStart"/>
      <w:r>
        <w:rPr>
          <w:i/>
        </w:rPr>
        <w:t>essere</w:t>
      </w:r>
      <w:proofErr w:type="spellEnd"/>
      <w:r>
        <w:rPr>
          <w:i/>
        </w:rPr>
        <w:t xml:space="preserve"> </w:t>
      </w:r>
      <w:proofErr w:type="spellStart"/>
      <w:r>
        <w:rPr>
          <w:i/>
        </w:rPr>
        <w:t>considerati</w:t>
      </w:r>
      <w:proofErr w:type="spellEnd"/>
      <w:r>
        <w:rPr>
          <w:i/>
        </w:rPr>
        <w:t xml:space="preserve"> </w:t>
      </w:r>
      <w:proofErr w:type="spellStart"/>
      <w:r>
        <w:rPr>
          <w:i/>
        </w:rPr>
        <w:t>succedanei</w:t>
      </w:r>
      <w:proofErr w:type="spellEnd"/>
      <w:r>
        <w:rPr>
          <w:i/>
        </w:rPr>
        <w:t xml:space="preserve"> del </w:t>
      </w:r>
      <w:proofErr w:type="spellStart"/>
      <w:r>
        <w:rPr>
          <w:i/>
        </w:rPr>
        <w:t>tabacco</w:t>
      </w:r>
      <w:proofErr w:type="spellEnd"/>
      <w:r>
        <w:rPr>
          <w:i/>
        </w:rPr>
        <w:t>.» [Anexo 9.8]</w:t>
      </w:r>
    </w:p>
    <w:p w14:paraId="0F7E5F08" w14:textId="77777777" w:rsidR="007F073C" w:rsidRDefault="00000000">
      <w:r>
        <w:t>Y al cualificar la justificación específica del régimen del tabaco que falta en otros productos:</w:t>
      </w:r>
    </w:p>
    <w:p w14:paraId="7E105E5D" w14:textId="77777777" w:rsidR="007F073C" w:rsidRDefault="00000000">
      <w:pPr>
        <w:ind w:left="576"/>
      </w:pPr>
      <w:r>
        <w:rPr>
          <w:i/>
        </w:rPr>
        <w:t>«</w:t>
      </w:r>
      <w:proofErr w:type="spellStart"/>
      <w:r>
        <w:rPr>
          <w:i/>
        </w:rPr>
        <w:t>il</w:t>
      </w:r>
      <w:proofErr w:type="spellEnd"/>
      <w:r>
        <w:rPr>
          <w:i/>
        </w:rPr>
        <w:t xml:space="preserve"> </w:t>
      </w:r>
      <w:proofErr w:type="spellStart"/>
      <w:r>
        <w:rPr>
          <w:i/>
        </w:rPr>
        <w:t>regime</w:t>
      </w:r>
      <w:proofErr w:type="spellEnd"/>
      <w:r>
        <w:rPr>
          <w:i/>
        </w:rPr>
        <w:t xml:space="preserve"> fiscale </w:t>
      </w:r>
      <w:proofErr w:type="spellStart"/>
      <w:r>
        <w:rPr>
          <w:i/>
        </w:rPr>
        <w:t>dell'accisa</w:t>
      </w:r>
      <w:proofErr w:type="spellEnd"/>
      <w:r>
        <w:rPr>
          <w:i/>
        </w:rPr>
        <w:t xml:space="preserve"> con </w:t>
      </w:r>
      <w:proofErr w:type="spellStart"/>
      <w:r>
        <w:rPr>
          <w:i/>
        </w:rPr>
        <w:t>riferimento</w:t>
      </w:r>
      <w:proofErr w:type="spellEnd"/>
      <w:r>
        <w:rPr>
          <w:i/>
        </w:rPr>
        <w:t xml:space="preserve"> al </w:t>
      </w:r>
      <w:proofErr w:type="spellStart"/>
      <w:r>
        <w:rPr>
          <w:i/>
        </w:rPr>
        <w:t>mercato</w:t>
      </w:r>
      <w:proofErr w:type="spellEnd"/>
      <w:r>
        <w:rPr>
          <w:i/>
        </w:rPr>
        <w:t xml:space="preserve"> </w:t>
      </w:r>
      <w:proofErr w:type="spellStart"/>
      <w:r>
        <w:rPr>
          <w:i/>
        </w:rPr>
        <w:t>dei</w:t>
      </w:r>
      <w:proofErr w:type="spellEnd"/>
      <w:r>
        <w:rPr>
          <w:i/>
        </w:rPr>
        <w:t xml:space="preserve"> </w:t>
      </w:r>
      <w:proofErr w:type="spellStart"/>
      <w:r>
        <w:rPr>
          <w:i/>
        </w:rPr>
        <w:t>tabacchi</w:t>
      </w:r>
      <w:proofErr w:type="spellEnd"/>
      <w:r>
        <w:rPr>
          <w:i/>
        </w:rPr>
        <w:t xml:space="preserve">, trova la </w:t>
      </w:r>
      <w:proofErr w:type="spellStart"/>
      <w:r>
        <w:rPr>
          <w:i/>
        </w:rPr>
        <w:t>sua</w:t>
      </w:r>
      <w:proofErr w:type="spellEnd"/>
      <w:r>
        <w:rPr>
          <w:i/>
        </w:rPr>
        <w:t xml:space="preserve"> </w:t>
      </w:r>
      <w:proofErr w:type="spellStart"/>
      <w:r>
        <w:rPr>
          <w:i/>
        </w:rPr>
        <w:t>giustificazione</w:t>
      </w:r>
      <w:proofErr w:type="spellEnd"/>
      <w:r>
        <w:rPr>
          <w:i/>
        </w:rPr>
        <w:t xml:space="preserve"> nel </w:t>
      </w:r>
      <w:proofErr w:type="spellStart"/>
      <w:r>
        <w:rPr>
          <w:i/>
        </w:rPr>
        <w:t>disfavore</w:t>
      </w:r>
      <w:proofErr w:type="spellEnd"/>
      <w:r>
        <w:rPr>
          <w:i/>
        </w:rPr>
        <w:t xml:space="preserve"> </w:t>
      </w:r>
      <w:proofErr w:type="spellStart"/>
      <w:r>
        <w:rPr>
          <w:i/>
        </w:rPr>
        <w:t>nei</w:t>
      </w:r>
      <w:proofErr w:type="spellEnd"/>
      <w:r>
        <w:rPr>
          <w:i/>
        </w:rPr>
        <w:t xml:space="preserve"> </w:t>
      </w:r>
      <w:proofErr w:type="spellStart"/>
      <w:r>
        <w:rPr>
          <w:i/>
        </w:rPr>
        <w:t>confronti</w:t>
      </w:r>
      <w:proofErr w:type="spellEnd"/>
      <w:r>
        <w:rPr>
          <w:i/>
        </w:rPr>
        <w:t xml:space="preserve"> di un bene </w:t>
      </w:r>
      <w:proofErr w:type="spellStart"/>
      <w:r>
        <w:rPr>
          <w:i/>
        </w:rPr>
        <w:t>riconosciuto</w:t>
      </w:r>
      <w:proofErr w:type="spellEnd"/>
      <w:r>
        <w:rPr>
          <w:i/>
        </w:rPr>
        <w:t xml:space="preserve"> come gravemente nocivo per </w:t>
      </w:r>
      <w:proofErr w:type="gramStart"/>
      <w:r>
        <w:rPr>
          <w:i/>
        </w:rPr>
        <w:t>la salute</w:t>
      </w:r>
      <w:proofErr w:type="gramEnd"/>
      <w:r>
        <w:rPr>
          <w:i/>
        </w:rPr>
        <w:t xml:space="preserve"> (...), </w:t>
      </w:r>
      <w:proofErr w:type="gramStart"/>
      <w:r>
        <w:rPr>
          <w:i/>
        </w:rPr>
        <w:t>tale</w:t>
      </w:r>
      <w:proofErr w:type="gramEnd"/>
      <w:r>
        <w:rPr>
          <w:i/>
        </w:rPr>
        <w:t xml:space="preserve"> </w:t>
      </w:r>
      <w:proofErr w:type="spellStart"/>
      <w:r>
        <w:rPr>
          <w:i/>
        </w:rPr>
        <w:t>presupposto</w:t>
      </w:r>
      <w:proofErr w:type="spellEnd"/>
      <w:r>
        <w:rPr>
          <w:i/>
        </w:rPr>
        <w:t xml:space="preserve"> non è </w:t>
      </w:r>
      <w:proofErr w:type="spellStart"/>
      <w:r>
        <w:rPr>
          <w:i/>
        </w:rPr>
        <w:t>ravvisabile</w:t>
      </w:r>
      <w:proofErr w:type="spellEnd"/>
      <w:r>
        <w:rPr>
          <w:i/>
        </w:rPr>
        <w:t xml:space="preserve"> in </w:t>
      </w:r>
      <w:proofErr w:type="spellStart"/>
      <w:r>
        <w:rPr>
          <w:i/>
        </w:rPr>
        <w:t>relazione</w:t>
      </w:r>
      <w:proofErr w:type="spellEnd"/>
      <w:r>
        <w:rPr>
          <w:i/>
        </w:rPr>
        <w:t xml:space="preserve"> al </w:t>
      </w:r>
      <w:proofErr w:type="spellStart"/>
      <w:r>
        <w:rPr>
          <w:i/>
        </w:rPr>
        <w:t>commercio</w:t>
      </w:r>
      <w:proofErr w:type="spellEnd"/>
      <w:r>
        <w:rPr>
          <w:i/>
        </w:rPr>
        <w:t xml:space="preserve"> di </w:t>
      </w:r>
      <w:proofErr w:type="spellStart"/>
      <w:r>
        <w:rPr>
          <w:i/>
        </w:rPr>
        <w:t>prodotti</w:t>
      </w:r>
      <w:proofErr w:type="spellEnd"/>
      <w:r>
        <w:rPr>
          <w:i/>
        </w:rPr>
        <w:t xml:space="preserve"> </w:t>
      </w:r>
      <w:proofErr w:type="spellStart"/>
      <w:r>
        <w:rPr>
          <w:i/>
        </w:rPr>
        <w:t>contenenti</w:t>
      </w:r>
      <w:proofErr w:type="spellEnd"/>
      <w:r>
        <w:rPr>
          <w:i/>
        </w:rPr>
        <w:t xml:space="preserve"> ‘</w:t>
      </w:r>
      <w:proofErr w:type="spellStart"/>
      <w:r>
        <w:rPr>
          <w:i/>
        </w:rPr>
        <w:t>altre</w:t>
      </w:r>
      <w:proofErr w:type="spellEnd"/>
      <w:r>
        <w:rPr>
          <w:i/>
        </w:rPr>
        <w:t xml:space="preserve"> </w:t>
      </w:r>
      <w:proofErr w:type="spellStart"/>
      <w:r>
        <w:rPr>
          <w:i/>
        </w:rPr>
        <w:t>sostanze</w:t>
      </w:r>
      <w:proofErr w:type="spellEnd"/>
      <w:r>
        <w:rPr>
          <w:i/>
        </w:rPr>
        <w:t>’, diverse dalla nicotina.» [Anexo 9.8]</w:t>
      </w:r>
    </w:p>
    <w:p w14:paraId="55011949" w14:textId="77777777" w:rsidR="007F073C" w:rsidRDefault="00000000">
      <w:r>
        <w:t xml:space="preserve">La </w:t>
      </w:r>
      <w:proofErr w:type="spellStart"/>
      <w:r>
        <w:t>Sentenza</w:t>
      </w:r>
      <w:proofErr w:type="spellEnd"/>
      <w:r>
        <w:t xml:space="preserve"> n. 240 de 15 de noviembre de 2017 (ECLI:</w:t>
      </w:r>
      <w:proofErr w:type="gramStart"/>
      <w:r>
        <w:t>IT:COST</w:t>
      </w:r>
      <w:proofErr w:type="gramEnd"/>
      <w:r>
        <w:t>:2017:240) confirmó la doctrina a contrario, validando un régimen diferenciado y proporcional [Anexo 9.9]. Por argumento a fortiori: si la equiparación al tabaco es inconstitucional para un líquido de vapeo sin nicotina, lo es con mayor razón para una flor agrícola no manufacturada, sin tabaco y sin nicotina.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534B845A" w14:textId="77777777">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33D6F8" w14:textId="77777777" w:rsidR="007F073C" w:rsidRDefault="00000000">
            <w:r>
              <w:rPr>
                <w:b/>
                <w:bCs/>
                <w:color w:val="FFFFFF"/>
                <w:sz w:val="20"/>
                <w:szCs w:val="20"/>
              </w:rPr>
              <w:t>Estado miembro</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CAAC94" w14:textId="77777777" w:rsidR="007F073C" w:rsidRDefault="00000000">
            <w:r>
              <w:rPr>
                <w:b/>
                <w:bCs/>
                <w:color w:val="FFFFFF"/>
                <w:sz w:val="20"/>
                <w:szCs w:val="20"/>
              </w:rPr>
              <w:t>Régimen aplicable</w:t>
            </w:r>
          </w:p>
        </w:tc>
      </w:tr>
      <w:tr w:rsidR="007F073C" w14:paraId="533407A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161B1" w14:textId="77777777" w:rsidR="007F073C" w:rsidRDefault="00000000">
            <w:r>
              <w:rPr>
                <w:b/>
                <w:bCs/>
                <w:sz w:val="20"/>
                <w:szCs w:val="20"/>
              </w:rPr>
              <w:t>Alemania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D737C" w14:textId="77777777" w:rsidR="007F073C" w:rsidRDefault="00000000">
            <w:r>
              <w:rPr>
                <w:sz w:val="20"/>
                <w:szCs w:val="20"/>
              </w:rPr>
              <w:t>Comercialización legal como producto a base de hierbas para fumar bajo TPD; CBD permitido en cosméticos y suplementos; canal especializado consolidado.</w:t>
            </w:r>
          </w:p>
        </w:tc>
      </w:tr>
      <w:tr w:rsidR="007F073C" w14:paraId="5EE9CC3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1686F0" w14:textId="77777777" w:rsidR="007F073C" w:rsidRDefault="00000000">
            <w:r>
              <w:rPr>
                <w:b/>
                <w:bCs/>
                <w:sz w:val="20"/>
                <w:szCs w:val="20"/>
              </w:rPr>
              <w:t>Austria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435392" w14:textId="77777777" w:rsidR="007F073C" w:rsidRDefault="00000000">
            <w:r>
              <w:rPr>
                <w:sz w:val="20"/>
                <w:szCs w:val="20"/>
              </w:rPr>
              <w:t>Mercado consolidado de hierbas para fumar de cáñamo desde la liberalización de 2018; tiendas especializadas con verificación de edad.</w:t>
            </w:r>
          </w:p>
        </w:tc>
      </w:tr>
      <w:tr w:rsidR="007F073C" w14:paraId="6882E26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C8BC9" w14:textId="77777777" w:rsidR="007F073C" w:rsidRDefault="00000000">
            <w:r>
              <w:rPr>
                <w:b/>
                <w:bCs/>
                <w:sz w:val="20"/>
                <w:szCs w:val="20"/>
              </w:rPr>
              <w:t>Bélgica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9B7921" w14:textId="77777777" w:rsidR="007F073C" w:rsidRDefault="00000000">
            <w:r>
              <w:rPr>
                <w:sz w:val="20"/>
                <w:szCs w:val="20"/>
              </w:rPr>
              <w:t>Reconocimiento de productos CBD inhalatorios bajo régimen TPD; canal de venta especializado.</w:t>
            </w:r>
          </w:p>
        </w:tc>
      </w:tr>
      <w:tr w:rsidR="007F073C" w14:paraId="19EF647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341CD4" w14:textId="77777777" w:rsidR="007F073C" w:rsidRDefault="00000000">
            <w:r>
              <w:rPr>
                <w:b/>
                <w:bCs/>
                <w:sz w:val="20"/>
                <w:szCs w:val="20"/>
              </w:rPr>
              <w:t>Francia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42A636" w14:textId="77777777" w:rsidR="007F073C" w:rsidRDefault="00000000">
            <w:r>
              <w:rPr>
                <w:sz w:val="20"/>
                <w:szCs w:val="20"/>
              </w:rPr>
              <w:t xml:space="preserve">Decreto 2022-194 y </w:t>
            </w:r>
            <w:proofErr w:type="spellStart"/>
            <w:r>
              <w:rPr>
                <w:sz w:val="20"/>
                <w:szCs w:val="20"/>
              </w:rPr>
              <w:t>Arrêté</w:t>
            </w:r>
            <w:proofErr w:type="spellEnd"/>
            <w:r>
              <w:rPr>
                <w:sz w:val="20"/>
                <w:szCs w:val="20"/>
              </w:rPr>
              <w:t xml:space="preserve"> de 30 de diciembre de 2021 (modificados tras la jurisprudencia </w:t>
            </w:r>
            <w:proofErr w:type="spellStart"/>
            <w:r>
              <w:rPr>
                <w:sz w:val="20"/>
                <w:szCs w:val="20"/>
              </w:rPr>
              <w:t>Kanavape</w:t>
            </w:r>
            <w:proofErr w:type="spellEnd"/>
            <w:r>
              <w:rPr>
                <w:sz w:val="20"/>
                <w:szCs w:val="20"/>
              </w:rPr>
              <w:t>); flores de cáñamo &lt;0,3% THC comercializables.</w:t>
            </w:r>
          </w:p>
        </w:tc>
      </w:tr>
      <w:tr w:rsidR="007F073C" w14:paraId="1CEE1010"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EE4BAE" w14:textId="77777777" w:rsidR="007F073C" w:rsidRDefault="00000000">
            <w:r>
              <w:rPr>
                <w:b/>
                <w:bCs/>
                <w:sz w:val="20"/>
                <w:szCs w:val="20"/>
              </w:rPr>
              <w:t>Luxemburgo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9FDE5" w14:textId="77777777" w:rsidR="007F073C" w:rsidRDefault="00000000">
            <w:r>
              <w:rPr>
                <w:sz w:val="20"/>
                <w:szCs w:val="20"/>
              </w:rPr>
              <w:t>Marco específico para CBD y, desde 2023, cannabis adulto regulado; coexistencia de canal CBD y canal adulto.</w:t>
            </w:r>
          </w:p>
        </w:tc>
      </w:tr>
      <w:tr w:rsidR="007F073C" w14:paraId="1A45450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EAEF6E" w14:textId="77777777" w:rsidR="007F073C" w:rsidRDefault="00000000">
            <w:r>
              <w:rPr>
                <w:b/>
                <w:bCs/>
                <w:sz w:val="20"/>
                <w:szCs w:val="20"/>
              </w:rPr>
              <w:t>Polonia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F042F4" w14:textId="77777777" w:rsidR="007F073C" w:rsidRDefault="00000000">
            <w:r>
              <w:rPr>
                <w:sz w:val="20"/>
                <w:szCs w:val="20"/>
              </w:rPr>
              <w:t>Mercado de CBD y hierbas para fumar de cáñamo de los más dinámicos de la UE oriental; tiendas especializadas con presencia en grandes ciudades.</w:t>
            </w:r>
          </w:p>
        </w:tc>
      </w:tr>
      <w:tr w:rsidR="007F073C" w14:paraId="3C35B4E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754AAB" w14:textId="77777777" w:rsidR="007F073C" w:rsidRDefault="00000000">
            <w:r>
              <w:rPr>
                <w:b/>
                <w:bCs/>
                <w:color w:val="606060"/>
                <w:sz w:val="20"/>
                <w:szCs w:val="20"/>
              </w:rPr>
              <w:t>Suiza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BE865F" w14:textId="77777777" w:rsidR="007F073C" w:rsidRDefault="00000000">
            <w:r>
              <w:rPr>
                <w:color w:val="606060"/>
                <w:sz w:val="20"/>
                <w:szCs w:val="20"/>
              </w:rPr>
              <w:t>(Fuera de la UE) Mercado de cannabis light (≤1% THC) maduro desde 2017; numerosos estudios FOPH disponibles sobre el perfil sanitario.</w:t>
            </w:r>
          </w:p>
        </w:tc>
      </w:tr>
    </w:tbl>
    <w:p w14:paraId="736A5D01" w14:textId="77777777" w:rsidR="007F073C" w:rsidRDefault="007F073C">
      <w:pPr>
        <w:spacing w:before="80" w:after="80"/>
      </w:pPr>
    </w:p>
    <w:p w14:paraId="527EF40F" w14:textId="77777777" w:rsidR="007F073C" w:rsidRDefault="00000000">
      <w:pPr>
        <w:spacing w:before="80" w:after="80" w:line="320" w:lineRule="auto"/>
        <w:jc w:val="both"/>
      </w:pPr>
      <w:r>
        <w:t xml:space="preserve">La consecuencia desde la perspectiva de competencia es directa: un operador alemán, austríaco o francés puede legalmente comercializar un producto que un operador español, con la </w:t>
      </w:r>
      <w:proofErr w:type="gramStart"/>
      <w:r>
        <w:t>misma tecnología y la misma materia</w:t>
      </w:r>
      <w:proofErr w:type="gramEnd"/>
      <w:r>
        <w:t xml:space="preserve"> prima, no puede registrar. Es competencia desleal por construcción regulatoria asimétrica dentro del mercado interior. En palabras de la propia CNMC en el IPN/CNMC/040/24:</w:t>
      </w:r>
    </w:p>
    <w:p w14:paraId="6B65D7A9"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3D0F6408" w14:textId="77777777" w:rsidR="007F073C" w:rsidRDefault="00000000">
      <w:pPr>
        <w:pStyle w:val="Ttulo2"/>
      </w:pPr>
      <w:r>
        <w:lastRenderedPageBreak/>
        <w:t>5.2 El intento de monopolización · TRIS 2025/0044/ES</w:t>
      </w:r>
    </w:p>
    <w:p w14:paraId="127D67A4" w14:textId="77777777" w:rsidR="007F073C" w:rsidRDefault="00000000">
      <w:pPr>
        <w:spacing w:before="80" w:after="80" w:line="320" w:lineRule="auto"/>
        <w:jc w:val="both"/>
      </w:pPr>
      <w:r>
        <w:t>Paralelamente al bloqueo registral, la Administración española ha iniciado un proceso normativo —notificación TRIS 2025/0044/ES sobre Anteproyecto de modificación del RD 579/2017— cuyo efecto, en su redacción actual, sería la equiparación de los productos a base de hierbas para fumar de cáñamo con los productos del tabaco a efectos de canal de distribución, situando su venta en el monopolio de las expendedurías (estancos).</w:t>
      </w:r>
    </w:p>
    <w:p w14:paraId="6FFDC528" w14:textId="77777777" w:rsidR="007F073C" w:rsidRDefault="00000000">
      <w:pPr>
        <w:spacing w:before="80" w:after="80" w:line="320" w:lineRule="auto"/>
        <w:jc w:val="both"/>
      </w:pPr>
      <w:r>
        <w:t>Esta opción regulatoria es problemática desde la perspectiva de competencia por seis razones:</w:t>
      </w:r>
    </w:p>
    <w:p w14:paraId="758193C7" w14:textId="77777777" w:rsidR="007F073C" w:rsidRDefault="00000000">
      <w:pPr>
        <w:pStyle w:val="Ttulo3"/>
      </w:pPr>
      <w:r>
        <w:t>(a) Equiparación injustificada con el tabaco</w:t>
      </w:r>
    </w:p>
    <w:p w14:paraId="070F2A10" w14:textId="77777777" w:rsidR="007F073C" w:rsidRDefault="00000000">
      <w:pPr>
        <w:spacing w:before="80" w:after="80" w:line="320" w:lineRule="auto"/>
        <w:jc w:val="both"/>
      </w:pPr>
      <w:r>
        <w:t>Las hierbas para fumar de cáñamo industrial NO contienen tabaco y NO contienen nicotina. Tampoco contienen, en el caso del cáñamo industrial con THC &lt;0,3%, ningún cannabinoide en concentración psicoactiva. Su perfil farmacológico no se corresponde con el del tabaco: ni en composición, ni en efectos adictivos, ni en perfil de riesgo sanitario. La equiparación regulatoria sería un caso de libro de violación del principio de proporcionalidad recogido en el artículo 5 LGUM.</w:t>
      </w:r>
    </w:p>
    <w:p w14:paraId="6BCD6986" w14:textId="77777777" w:rsidR="007F073C" w:rsidRDefault="00000000">
      <w:pPr>
        <w:pStyle w:val="Ttulo3"/>
      </w:pPr>
      <w:r>
        <w:t>(b) Inversión del razonamiento del IPN/CNMC/040/24</w:t>
      </w:r>
    </w:p>
    <w:p w14:paraId="42561EFC" w14:textId="77777777" w:rsidR="007F073C" w:rsidRDefault="00000000">
      <w:pPr>
        <w:spacing w:before="80" w:after="80" w:line="320" w:lineRule="auto"/>
        <w:jc w:val="both"/>
      </w:pPr>
      <w:r>
        <w:t>La propia CNMC ha sostenido reiteradamente que el régimen del tabaco tradicional no debe extenderse automáticamente a productos con perfiles distintos, y que cada producto debe analizarse individualmente conforme a los principios de buena regulación. Aplicar esa misma doctrina al cáñamo industrial conduce, sin esfuerzo argumental adicional, a la conclusión opuesta a la del Anteproyecto: el cáñamo no es tabaco y no debe regulárselo como tal.</w:t>
      </w:r>
    </w:p>
    <w:p w14:paraId="7CEF7333" w14:textId="77777777" w:rsidR="007F073C" w:rsidRDefault="00000000">
      <w:pPr>
        <w:pStyle w:val="Ttulo3"/>
      </w:pPr>
      <w:r>
        <w:t>(c) Efecto arrastre hacia la nicotina</w:t>
      </w:r>
    </w:p>
    <w:p w14:paraId="09235A93" w14:textId="77777777" w:rsidR="007F073C" w:rsidRDefault="00000000">
      <w:pPr>
        <w:spacing w:before="80" w:after="80" w:line="320" w:lineRule="auto"/>
        <w:jc w:val="both"/>
      </w:pPr>
      <w:r>
        <w:t>Datos del Observatorio Español de las Drogas y las Adicciones (EDADES, OEDA, edición 2024) documentan que el 89% de los consumidores de cannabis en España mezcla el producto con tabaco. Forzar al consumidor adulto que busca explícitamente una alternativa SIN nicotina a adquirirla en el mismo establecimiento que vende productos CON nicotina refuerza precisamente el hábito de coadministración que las autoridades sanitarias dicen querer combatir. Es una decisión regulatoria que perjudica al objetivo sanitario que invoca para justificarse.</w:t>
      </w:r>
    </w:p>
    <w:p w14:paraId="2C56745F" w14:textId="77777777" w:rsidR="007F073C" w:rsidRDefault="00000000">
      <w:pPr>
        <w:pStyle w:val="Ttulo3"/>
      </w:pPr>
      <w:r>
        <w:t>(d) Incoherencia interna del propio ordenamiento sanitario</w:t>
      </w:r>
    </w:p>
    <w:p w14:paraId="0BBB387B" w14:textId="77777777" w:rsidR="007F073C" w:rsidRDefault="00000000">
      <w:pPr>
        <w:spacing w:before="80" w:after="80" w:line="320" w:lineRule="auto"/>
        <w:jc w:val="both"/>
      </w:pPr>
      <w:r>
        <w:t>El propio Real Decreto 579/2017 prohíbe en su articulado la utilización de CBD como aditivo en productos del tabaco y cigarrillos electrónicos, argumentando que dicha combinación podría facilitar la absorción de nicotina. Es decir: la administración sanitaria considera incompatible la coexistencia de CBD y nicotina en la composición del producto, y simultáneamente está proponiendo que coexistan en el mismo punto de venta. Esta posición es internamente contradictoria.</w:t>
      </w:r>
    </w:p>
    <w:p w14:paraId="2872839A" w14:textId="77777777" w:rsidR="007F073C" w:rsidRDefault="00000000">
      <w:r>
        <w:t>A esta incoherencia interna se suma la posición pública del propio Comisionado para el Mercado de Tabacos, expresada en la Circular 3/2020, de 27 de noviembre [Anexo 9.4], que estableció:</w:t>
      </w:r>
    </w:p>
    <w:p w14:paraId="4C2F7845" w14:textId="77777777" w:rsidR="007F073C" w:rsidRDefault="00000000">
      <w:pPr>
        <w:ind w:left="576"/>
      </w:pPr>
      <w:r>
        <w:rPr>
          <w:i/>
        </w:rPr>
        <w:lastRenderedPageBreak/>
        <w:t>«Por todo lo anterior, el Comisionado para el Mercado de Tabacos desea advertir a todos los operadores de que la comercialización de productos de cannabis, independientemente de su contenido en tetrahidrocannabinol (THC), se encuentra prohibida por la Ley.»</w:t>
      </w:r>
    </w:p>
    <w:p w14:paraId="5425DA4A" w14:textId="77777777" w:rsidR="007F073C" w:rsidRDefault="00000000">
      <w:r>
        <w:t>La paradoja regulatoria es completa: el órgano gestor del monopolio de las expendedurías declara expresamente prohibida la comercialización de productos de cannabis en su red, mientras simultáneamente se propone, vía TRIS 2025/0044/ES, canalizar precisamente esos mismos productos a través de esa misma red. La posición de la Administración española sobre este punto es, en su literalidad, internamente contradictoria entre dos órganos del mismo Ministerio (Hacienda).</w:t>
      </w:r>
    </w:p>
    <w:p w14:paraId="4B341FF3" w14:textId="77777777" w:rsidR="007F073C" w:rsidRDefault="00000000">
      <w:pPr>
        <w:pStyle w:val="Ttulo3"/>
      </w:pPr>
      <w:r>
        <w:t>(e) Destrucción de infraestructura empresarial existente</w:t>
      </w:r>
    </w:p>
    <w:p w14:paraId="29BA89AA" w14:textId="77777777" w:rsidR="007F073C" w:rsidRDefault="00000000">
      <w:pPr>
        <w:spacing w:before="80" w:after="80" w:line="320" w:lineRule="auto"/>
        <w:jc w:val="both"/>
      </w:pPr>
      <w:r>
        <w:t>Como se ha documentado en el apartado 3.4, España cuenta hoy con aproximadamente 1.700 establecimientos especializados en estos productos. Forzar el canal único del estanco implicaría la destrucción de buena parte de esta infraestructura empresarial, con la consiguiente pérdida de empleo, inversión y conocimiento sectorial acumulado. La medida más restrictiva imaginable —monopolizar el canal— sería la opción adoptada precisamente cuando existen alternativas menos restrictivas plenamente operativas (verificación de edad, registro especializado, controles de calidad).</w:t>
      </w:r>
    </w:p>
    <w:p w14:paraId="7440172C" w14:textId="77777777" w:rsidR="007F073C" w:rsidRDefault="00000000">
      <w:pPr>
        <w:pStyle w:val="Ttulo3"/>
      </w:pPr>
      <w:r>
        <w:t>(f) Asimetría con los productos sin tabaco que SÍ se permiten en canales no estanco</w:t>
      </w:r>
    </w:p>
    <w:p w14:paraId="59C5D9B6" w14:textId="77777777" w:rsidR="007F073C" w:rsidRDefault="00000000">
      <w:pPr>
        <w:spacing w:before="80" w:after="80" w:line="320" w:lineRule="auto"/>
        <w:jc w:val="both"/>
      </w:pPr>
      <w:r>
        <w:t>Los cigarrillos electrónicos sin nicotina, los productos a base de hierbas calentadas, las bolsas de nicotina y otros productos análogos se comercializan en España en canales no exclusivamente estanco. La extensión del monopolio específicamente a las hierbas de cáñamo —y no a estos otros productos— sería discriminatoria sin fundamento técnico.</w:t>
      </w:r>
    </w:p>
    <w:p w14:paraId="163DF628" w14:textId="77777777" w:rsidR="007F073C" w:rsidRDefault="00000000">
      <w:pPr>
        <w:pStyle w:val="Ttulo3"/>
      </w:pPr>
      <w:r>
        <w:t>(g) Fragmentación jurisprudencial dentro del propio Tribunal Supremo y los tribunales inferiores</w:t>
      </w:r>
    </w:p>
    <w:p w14:paraId="62192A9B" w14:textId="77777777" w:rsidR="007F073C" w:rsidRDefault="00000000">
      <w:r>
        <w:t xml:space="preserve">La conducta consistente en la comercialización de flor de cáñamo industrial con contenido THC inferior al 0,3% recibe tratamientos jurisdiccionales radicalmente divergentes en función del juzgado que conoce del asunto. La línea condenatoria del Tribunal Supremo (entre otras: STS 288/2023, STS 177/2024, STS 583/2024, STS 678/2024) coexiste con una línea absolutoria nutrida en juzgados penales y audiencias provinciales (Juzgado de lo Penal </w:t>
      </w:r>
      <w:proofErr w:type="spellStart"/>
      <w:r>
        <w:t>nº</w:t>
      </w:r>
      <w:proofErr w:type="spellEnd"/>
      <w:r>
        <w:t xml:space="preserve"> 8 de Valencia, 2021 —primera resolución española que invoca expresamente </w:t>
      </w:r>
      <w:proofErr w:type="spellStart"/>
      <w:r>
        <w:t>Kanavape</w:t>
      </w:r>
      <w:proofErr w:type="spellEnd"/>
      <w:r>
        <w:t>—; AP Teruel 53/2024 de 5 de julio; TSJ Madrid, marzo 2024; archivos en País Vasco y Las Palmas). La misma conducta —comercializar flor de cáñamo con THC &lt;0,3%— puede traducirse, según el órgano que conozca, en archivo o en condena de hasta cuatro años de prisión. Esta fragmentación judicial es por sí misma indicio de defecto regulatorio aplicable al artículo 28 LGUM.</w:t>
      </w:r>
    </w:p>
    <w:p w14:paraId="7A84607C" w14:textId="77777777" w:rsidR="007F073C" w:rsidRDefault="00000000">
      <w:pPr>
        <w:pStyle w:val="Ttulo2"/>
      </w:pPr>
      <w:r>
        <w:t>5.3 La pregunta-respuesta · ¿Qué es esto jurídicamente?</w:t>
      </w:r>
    </w:p>
    <w:p w14:paraId="43766FA1" w14:textId="77777777" w:rsidR="007F073C" w:rsidRDefault="00000000">
      <w:pPr>
        <w:spacing w:before="80" w:after="80" w:line="320" w:lineRule="auto"/>
        <w:jc w:val="both"/>
      </w:pPr>
      <w:r>
        <w:t>Para facilitar la lectura, AECANI propone presentar la posición del sector en un formato pregunta-respuesta directo, fundamentado punto por punto en los apartados anteriores y en el apartado 7 de argumentación legal transversal: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073C" w14:paraId="5F7C06A4" w14:textId="77777777">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A5539F" w14:textId="77777777" w:rsidR="007F073C" w:rsidRDefault="00000000">
            <w:pPr>
              <w:jc w:val="center"/>
            </w:pPr>
            <w:r>
              <w:rPr>
                <w:b/>
                <w:bCs/>
                <w:color w:val="FFFFFF"/>
              </w:rPr>
              <w:t>Pregunta</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85D653" w14:textId="77777777" w:rsidR="007F073C" w:rsidRDefault="00000000">
            <w:pPr>
              <w:jc w:val="center"/>
            </w:pPr>
            <w:r>
              <w:rPr>
                <w:b/>
                <w:bCs/>
                <w:color w:val="FFFFFF"/>
              </w:rPr>
              <w:t>Respuesta razonada</w:t>
            </w:r>
          </w:p>
        </w:tc>
      </w:tr>
      <w:tr w:rsidR="007F073C" w14:paraId="5CD42FE9"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17AF46" w14:textId="77777777" w:rsidR="007F073C" w:rsidRDefault="00000000">
            <w:r>
              <w:rPr>
                <w:b/>
                <w:bCs/>
              </w:rPr>
              <w:t>¿Es un estupefaciente?</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ABE746" w14:textId="77777777" w:rsidR="007F073C" w:rsidRDefault="00000000">
            <w:r>
              <w:rPr>
                <w:b/>
                <w:bCs/>
                <w:color w:val="C00000"/>
              </w:rPr>
              <w:t xml:space="preserve">NO. </w:t>
            </w:r>
            <w:r>
              <w:t xml:space="preserve">CN61 art. 28.2 + Carta JIFE C.L.20/2024 + </w:t>
            </w:r>
            <w:proofErr w:type="spellStart"/>
            <w:r>
              <w:t>Kanavape</w:t>
            </w:r>
            <w:proofErr w:type="spellEnd"/>
            <w:r>
              <w:t xml:space="preserve"> C-663/18 + interpretación teleológica.</w:t>
            </w:r>
          </w:p>
        </w:tc>
      </w:tr>
      <w:tr w:rsidR="007F073C" w14:paraId="2CEEAD46"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3EE26C" w14:textId="77777777" w:rsidR="007F073C" w:rsidRDefault="00000000">
            <w:r>
              <w:rPr>
                <w:b/>
                <w:bCs/>
              </w:rPr>
              <w:lastRenderedPageBreak/>
              <w:t>¿Es un fármaco / medicamento?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812ED7" w14:textId="77777777" w:rsidR="007F073C" w:rsidRDefault="00000000">
            <w:r>
              <w:rPr>
                <w:b/>
                <w:bCs/>
                <w:color w:val="C00000"/>
              </w:rPr>
              <w:t xml:space="preserve">NO. </w:t>
            </w:r>
            <w:r>
              <w:t>Carece de indicación terapéutica autorizada y de efecto farmacológico significativo en los términos del art. 8.a Directiva 2001/83/CE.</w:t>
            </w:r>
          </w:p>
        </w:tc>
      </w:tr>
      <w:tr w:rsidR="007F073C" w14:paraId="5162AB24"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7A0EA0" w14:textId="77777777" w:rsidR="007F073C" w:rsidRDefault="00000000">
            <w:r>
              <w:rPr>
                <w:b/>
                <w:bCs/>
              </w:rPr>
              <w:t>¿Es un producto a base de hierbas para fumar?</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FF2CD" w14:textId="77777777" w:rsidR="007F073C" w:rsidRDefault="00000000">
            <w:r>
              <w:rPr>
                <w:b/>
                <w:bCs/>
                <w:color w:val="608A30"/>
              </w:rPr>
              <w:t xml:space="preserve">SÍ. </w:t>
            </w:r>
            <w:r>
              <w:t>Encaja perfectamente en la definición del art. 2.4 de la Directiva 2014/40/UE (TPD) y en el régimen español del RD 579/2017.</w:t>
            </w:r>
          </w:p>
        </w:tc>
      </w:tr>
      <w:tr w:rsidR="007F073C" w14:paraId="2177F7E5"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4C69E8" w14:textId="77777777" w:rsidR="007F073C" w:rsidRDefault="00000000">
            <w:r>
              <w:rPr>
                <w:b/>
                <w:bCs/>
              </w:rPr>
              <w:t>¿Es lo mismo que un cigarrillo electrónico (</w:t>
            </w:r>
            <w:proofErr w:type="spellStart"/>
            <w:r>
              <w:rPr>
                <w:b/>
                <w:bCs/>
              </w:rPr>
              <w:t>vaper</w:t>
            </w:r>
            <w:proofErr w:type="spellEnd"/>
            <w:r>
              <w:rPr>
                <w:b/>
                <w:bCs/>
              </w:rPr>
              <w:t>)?</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87BD59" w14:textId="77777777" w:rsidR="007F073C" w:rsidRDefault="00000000">
            <w:r>
              <w:rPr>
                <w:b/>
                <w:bCs/>
                <w:color w:val="C00000"/>
              </w:rPr>
              <w:t xml:space="preserve">NO. </w:t>
            </w:r>
            <w:r>
              <w:t xml:space="preserve">Asimetría regulatoria evidente: los </w:t>
            </w:r>
            <w:proofErr w:type="spellStart"/>
            <w:r>
              <w:t>vapers</w:t>
            </w:r>
            <w:proofErr w:type="spellEnd"/>
            <w:r>
              <w:t xml:space="preserve"> pueden venderse con sabor neutro; las hierbas para fumar se proponen prohibir incluso siendo el sabor el del propio producto vegetal.</w:t>
            </w:r>
          </w:p>
        </w:tc>
      </w:tr>
      <w:tr w:rsidR="007F073C" w14:paraId="64F1B67C"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DC9B6" w14:textId="77777777" w:rsidR="007F073C" w:rsidRDefault="00000000">
            <w:r>
              <w:rPr>
                <w:b/>
                <w:bCs/>
              </w:rPr>
              <w:t>¿Debe venderse en estanco?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00377" w14:textId="77777777" w:rsidR="007F073C" w:rsidRDefault="00000000">
            <w:r>
              <w:rPr>
                <w:b/>
                <w:bCs/>
                <w:color w:val="C00000"/>
              </w:rPr>
              <w:t xml:space="preserve">NO. </w:t>
            </w:r>
            <w:r>
              <w:t>Producto sin tabaco, sin nicotina, sin sustancia adictiva. La equiparación es desproporcionada (art. 5 LGUM) y contradice el IPN/CNMC/029/22.</w:t>
            </w:r>
          </w:p>
        </w:tc>
      </w:tr>
      <w:tr w:rsidR="007F073C" w14:paraId="1C78FFC7"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F28D1D" w14:textId="77777777" w:rsidR="007F073C" w:rsidRDefault="00000000">
            <w:r>
              <w:rPr>
                <w:b/>
                <w:bCs/>
              </w:rPr>
              <w:t>¿Cuál es el canal correcto?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1C51C0" w14:textId="77777777" w:rsidR="007F073C" w:rsidRDefault="00000000">
            <w:r>
              <w:rPr>
                <w:b/>
                <w:bCs/>
                <w:color w:val="608A30"/>
              </w:rPr>
              <w:t xml:space="preserve">TIENDA ESPECIALIZADA. </w:t>
            </w:r>
            <w:r>
              <w:t>Modelo consolidado en DE/AT/BE/FR/LU/PL/CH; con verificación de edad; preserva la infraestructura existente.</w:t>
            </w:r>
          </w:p>
        </w:tc>
      </w:tr>
      <w:tr w:rsidR="007F073C" w14:paraId="36DBDFE1"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F944A4" w14:textId="77777777" w:rsidR="007F073C" w:rsidRDefault="00000000">
            <w:r>
              <w:rPr>
                <w:b/>
                <w:bCs/>
              </w:rPr>
              <w:t>¿Debe tributar como tabaco?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CB2F21" w14:textId="77777777" w:rsidR="007F073C" w:rsidRDefault="00000000">
            <w:r>
              <w:rPr>
                <w:b/>
                <w:bCs/>
                <w:color w:val="C00000"/>
              </w:rPr>
              <w:t xml:space="preserve">NO. </w:t>
            </w:r>
            <w:r>
              <w:t>Sin nicotina = sin externalidad adictiva = sin justificación de impuesto especial. Se desarrolla en el apartado 6 siguiente.</w:t>
            </w:r>
          </w:p>
        </w:tc>
      </w:tr>
    </w:tbl>
    <w:p w14:paraId="2C287AE1" w14:textId="77777777" w:rsidR="007F073C" w:rsidRDefault="00000000">
      <w:pPr>
        <w:pStyle w:val="Ttulo2"/>
      </w:pPr>
      <w:r>
        <w:t>5.4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1BA16CFC"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7FECFCC" w14:textId="77777777" w:rsidR="007F073C" w:rsidRDefault="00000000">
            <w:pPr>
              <w:spacing w:after="80"/>
            </w:pPr>
            <w:r>
              <w:rPr>
                <w:b/>
                <w:bCs/>
                <w:color w:val="1F3864"/>
              </w:rPr>
              <w:t>PETICIÓN ESPECÍFICA SOBRE EL FRENTE 2</w:t>
            </w:r>
          </w:p>
          <w:p w14:paraId="75769894" w14:textId="77777777" w:rsidR="007F073C" w:rsidRDefault="00000000">
            <w:pPr>
              <w:spacing w:before="60" w:after="40" w:line="300" w:lineRule="auto"/>
              <w:jc w:val="both"/>
            </w:pPr>
            <w:r>
              <w:rPr>
                <w:b/>
                <w:bCs/>
              </w:rPr>
              <w:t xml:space="preserve">(a) </w:t>
            </w:r>
            <w:r>
              <w:t>Pronunciamiento técnico de la CNMC sobre la equiparación regulatoria del cáñamo no medicinal con el tabaco propuesta en el TRIS 2025/0044/ES, en continuidad con la doctrina ya consolidada en los IPN/CNMC/029/22, IPN/CNMC/040/24 e IPN/CNMC/028/25.</w:t>
            </w:r>
          </w:p>
          <w:p w14:paraId="61C84CF1" w14:textId="77777777" w:rsidR="007F073C" w:rsidRDefault="00000000">
            <w:pPr>
              <w:spacing w:before="40" w:after="40" w:line="300" w:lineRule="auto"/>
              <w:jc w:val="both"/>
            </w:pPr>
            <w:r>
              <w:rPr>
                <w:b/>
                <w:bCs/>
              </w:rPr>
              <w:t xml:space="preserve">(b) </w:t>
            </w:r>
            <w:r>
              <w:t>Reconocimiento expreso del canal de tienda especializada (con verificación de edad) como canal proporcionado al perfil del producto, conforme al modelo ya consolidado en seis Estados miembros de la Unión Europea.</w:t>
            </w:r>
          </w:p>
          <w:p w14:paraId="5C3C9809" w14:textId="77777777" w:rsidR="007F073C" w:rsidRDefault="00000000">
            <w:pPr>
              <w:spacing w:before="40" w:after="60" w:line="300" w:lineRule="auto"/>
              <w:jc w:val="both"/>
            </w:pPr>
            <w:r>
              <w:rPr>
                <w:b/>
                <w:bCs/>
              </w:rPr>
              <w:t xml:space="preserve">(c) </w:t>
            </w:r>
            <w:r>
              <w:t>Recomendación al Ministerio de Sanidad para que la Dirección General de Salud Pública admita las notificaciones de productos a base de hierbas para fumar de cáñamo industrial bajo el RD 579/2017, en aplicación correcta de la TPD.</w:t>
            </w:r>
          </w:p>
        </w:tc>
      </w:tr>
    </w:tbl>
    <w:p w14:paraId="1ADEBF9D" w14:textId="77777777" w:rsidR="007F073C" w:rsidRDefault="00000000">
      <w:r>
        <w:br w:type="page"/>
      </w:r>
    </w:p>
    <w:p w14:paraId="6E69A91F" w14:textId="77777777" w:rsidR="007F073C" w:rsidRDefault="00000000">
      <w:pPr>
        <w:pStyle w:val="Ttulo1"/>
      </w:pPr>
      <w:r>
        <w:lastRenderedPageBreak/>
        <w:t>6. Régimen fiscal · La hipocresía ornamental y la propuesta proporcional</w:t>
      </w:r>
    </w:p>
    <w:p w14:paraId="668A0837" w14:textId="77777777" w:rsidR="007F073C" w:rsidRDefault="00000000">
      <w:pPr>
        <w:pStyle w:val="Ttulo2"/>
      </w:pPr>
      <w:r>
        <w:t>6.1 La situación actual</w:t>
      </w:r>
    </w:p>
    <w:p w14:paraId="586A0CDB" w14:textId="77777777" w:rsidR="007F073C" w:rsidRDefault="00000000">
      <w:pPr>
        <w:spacing w:before="80" w:after="80" w:line="320" w:lineRule="auto"/>
        <w:jc w:val="both"/>
      </w:pPr>
      <w:r>
        <w:t>La Dirección General de Tributos ha venido tratando las flores de cáñamo industrial comercializadas al consumidor final como «producto ornamental», lo que tiene como consecuencia su tributación al tipo reducido del 10% del IVA, asimilándolas a flores cortadas o plantas decorativas (referencia DGT V2242-22, de 26 de octubre de 2022, Subdirección General de Impuestos sobre el Consumo, que aplica a las flores de cáñamo industrial el tipo reducido del 10% del IVA al amparo del artículo 91.Uno.1.8º de la Ley 37/1992).</w:t>
      </w:r>
    </w:p>
    <w:p w14:paraId="777C1675" w14:textId="77777777" w:rsidR="007F073C" w:rsidRDefault="00000000">
      <w:pPr>
        <w:spacing w:before="80" w:after="80" w:line="320" w:lineRule="auto"/>
        <w:jc w:val="both"/>
      </w:pPr>
      <w:r>
        <w:t>Esta clasificación tributaria es manifiestamente ficticia. Las flores de cáñamo industrial NO se comercializan para uso ornamental: se comercializan para fumar (registro TPD en otros Estados miembros), para infusión, para vaporización, o como aroma. Operadores, consumidores y administraciones lo saben. La etiqueta «ornamental» es un eufemismo administrativo que permite al operador cumplir con sus obligaciones fiscales en ausencia de un código fiscal propio, pero al precio de una hipocresía regulatoria sostenida.</w:t>
      </w:r>
    </w:p>
    <w:p w14:paraId="6E766BBB" w14:textId="77777777" w:rsidR="007F073C" w:rsidRDefault="00000000">
      <w:pPr>
        <w:pStyle w:val="Ttulo2"/>
      </w:pPr>
      <w:r>
        <w:t>6.2 La propuesta proporcional</w:t>
      </w:r>
    </w:p>
    <w:p w14:paraId="500FCE0F" w14:textId="77777777" w:rsidR="007F073C" w:rsidRDefault="00000000">
      <w:pPr>
        <w:spacing w:before="80" w:after="80" w:line="320" w:lineRule="auto"/>
        <w:jc w:val="both"/>
      </w:pPr>
      <w:r>
        <w:t>AECANI propone superar esta ficción regulatoria mediante una clasificación fiscal coherente con la naturaleza real del producto, que combina dos elementos:</w:t>
      </w:r>
    </w:p>
    <w:p w14:paraId="0960E94C" w14:textId="77777777" w:rsidR="007F073C" w:rsidRDefault="00000000">
      <w:pPr>
        <w:pStyle w:val="Ttulo3"/>
      </w:pPr>
      <w:r>
        <w:t>(a) IVA estándar al tipo general (21%)</w:t>
      </w:r>
    </w:p>
    <w:p w14:paraId="65E2C5E6" w14:textId="77777777" w:rsidR="007F073C" w:rsidRDefault="00000000">
      <w:pPr>
        <w:spacing w:before="80" w:after="80" w:line="320" w:lineRule="auto"/>
        <w:jc w:val="both"/>
      </w:pPr>
      <w:r>
        <w:t>El producto es un producto de consumo adulto, no un alimento básico ni un producto sanitario. Su tributación al tipo general es la opción coherente. Esta sola medida supondría una recaudación adicional estimada en aproximadamente 50 millones de euros anuales (450 M€ × 11 puntos porcentuales adicionales), suponiendo una traslación parcial al precio final.</w:t>
      </w:r>
    </w:p>
    <w:p w14:paraId="47CEF8B9" w14:textId="77777777" w:rsidR="007F073C" w:rsidRDefault="00000000">
      <w:pPr>
        <w:pStyle w:val="Ttulo3"/>
      </w:pPr>
      <w:r>
        <w:t>(b) Sin impuesto especial sobre el producto</w:t>
      </w:r>
    </w:p>
    <w:p w14:paraId="6A28A7D2" w14:textId="77777777" w:rsidR="007F073C" w:rsidRDefault="00000000">
      <w:pPr>
        <w:spacing w:before="80" w:after="80" w:line="320" w:lineRule="auto"/>
        <w:jc w:val="both"/>
      </w:pPr>
      <w:r>
        <w:t>La proporcionalidad exige que los impuestos especiales graven externalidades reales y específicas. El impuesto especial sobre las labores del tabaco (Ley 38/1992) se justifica por las externalidades sanitarias asociadas a la nicotina, principal sustancia adictiva del tabaco. El cáñamo industrial NO contiene nicotina, NO genera adicción, y la evidencia científica disponible (referida en el apartado 7 siguiente) no documenta externalidades sanitarias comparables a las del tabaco.</w:t>
      </w:r>
    </w:p>
    <w:p w14:paraId="34BB2298" w14:textId="77777777" w:rsidR="007F073C" w:rsidRDefault="00000000">
      <w:pPr>
        <w:spacing w:before="80" w:after="80" w:line="320" w:lineRule="auto"/>
        <w:jc w:val="both"/>
      </w:pPr>
      <w:r>
        <w:t xml:space="preserve">Específicamente, la literatura sanitaria avalada por instituciones públicas internacionales —programa de investigación del Dr. Donald Tashkin (UCLA, NIDA Grant R01-DA03018, 1988-2018) sobre cannabis fumado y función pulmonar; estudio FOPH Suiza 2019 sobre 697 consumidores de flores CBD documentando que el 56,3% redujo o abandonó el consumo de tabaco/alcohol; ensayo Weed Care Basel publicado en </w:t>
      </w:r>
      <w:proofErr w:type="spellStart"/>
      <w:r>
        <w:t>Addiction</w:t>
      </w:r>
      <w:proofErr w:type="spellEnd"/>
      <w:r>
        <w:t xml:space="preserve"> (2025) sobre el efecto del acceso regulado al cannabis sobre el consumo problemático— apunta a un perfil de externalidad sanitaria CUALITATIVAMENTE DISTINTO del tabaco, </w:t>
      </w:r>
      <w:r>
        <w:lastRenderedPageBreak/>
        <w:t>con efectos que en algunos parámetros (sustitución de tabaco por CBD en consumidores adultos) son incluso netamente positivos para la salud pública.</w:t>
      </w:r>
    </w:p>
    <w:p w14:paraId="0A2AEC00" w14:textId="77777777" w:rsidR="007F073C" w:rsidRDefault="00000000">
      <w:pPr>
        <w:spacing w:before="80" w:after="80" w:line="320" w:lineRule="auto"/>
        <w:jc w:val="both"/>
      </w:pPr>
      <w:r>
        <w:t>El precedente comparado es relevante: Suiza, que cuenta con el mercado de CBD-cannabis light más maduro de Europa, no aplica impuesto especial específico sobre estos productos, manteniendo solamente la tributación general por IVA.</w:t>
      </w:r>
    </w:p>
    <w:p w14:paraId="2BAC7A1E" w14:textId="77777777" w:rsidR="007F073C" w:rsidRDefault="00000000">
      <w:r>
        <w:t>Este criterio fue judicialmente confirmado por el Tribunal Federal Suizo (</w:t>
      </w:r>
      <w:proofErr w:type="spellStart"/>
      <w:r>
        <w:t>Bundesgericht</w:t>
      </w:r>
      <w:proofErr w:type="spellEnd"/>
      <w:r>
        <w:t xml:space="preserve">) en su sentencia 2C_348/2019, de 29 de enero de 2020 [Anexo 9.10] (con las gemelas 2C_350/2019 y 2C_402/2019), que revocó la decisión administrativa de la </w:t>
      </w:r>
      <w:proofErr w:type="spellStart"/>
      <w:r>
        <w:t>Oberzolldirektion</w:t>
      </w:r>
      <w:proofErr w:type="spellEnd"/>
      <w:r>
        <w:t xml:space="preserve"> (</w:t>
      </w:r>
      <w:proofErr w:type="spellStart"/>
      <w:r>
        <w:t>Merkblatt</w:t>
      </w:r>
      <w:proofErr w:type="spellEnd"/>
      <w:r>
        <w:t xml:space="preserve"> OZD de 22 de febrero de 2017) que había sometido las flores de cáñamo CBD al impuesto sobre el tabaco. El holding (E. 4.8) es taxativo:</w:t>
      </w:r>
    </w:p>
    <w:p w14:paraId="12D59AA2" w14:textId="77777777" w:rsidR="007F073C" w:rsidRDefault="00000000">
      <w:pPr>
        <w:ind w:left="576"/>
      </w:pPr>
      <w:r>
        <w:rPr>
          <w:i/>
        </w:rPr>
        <w:t>«</w:t>
      </w:r>
      <w:proofErr w:type="spellStart"/>
      <w:r>
        <w:rPr>
          <w:i/>
        </w:rPr>
        <w:t>Demzufolge</w:t>
      </w:r>
      <w:proofErr w:type="spellEnd"/>
      <w:r>
        <w:rPr>
          <w:i/>
        </w:rPr>
        <w:t xml:space="preserve"> </w:t>
      </w:r>
      <w:proofErr w:type="spellStart"/>
      <w:r>
        <w:rPr>
          <w:i/>
        </w:rPr>
        <w:t>fehlt</w:t>
      </w:r>
      <w:proofErr w:type="spellEnd"/>
      <w:r>
        <w:rPr>
          <w:i/>
        </w:rPr>
        <w:t xml:space="preserve"> es </w:t>
      </w:r>
      <w:proofErr w:type="spellStart"/>
      <w:r>
        <w:rPr>
          <w:i/>
        </w:rPr>
        <w:t>im</w:t>
      </w:r>
      <w:proofErr w:type="spellEnd"/>
      <w:r>
        <w:rPr>
          <w:i/>
        </w:rPr>
        <w:t xml:space="preserve"> </w:t>
      </w:r>
      <w:proofErr w:type="spellStart"/>
      <w:r>
        <w:rPr>
          <w:i/>
        </w:rPr>
        <w:t>TStG</w:t>
      </w:r>
      <w:proofErr w:type="spellEnd"/>
      <w:r>
        <w:rPr>
          <w:i/>
        </w:rPr>
        <w:t xml:space="preserve"> </w:t>
      </w:r>
      <w:proofErr w:type="spellStart"/>
      <w:r>
        <w:rPr>
          <w:i/>
        </w:rPr>
        <w:t>und</w:t>
      </w:r>
      <w:proofErr w:type="spellEnd"/>
      <w:r>
        <w:rPr>
          <w:i/>
        </w:rPr>
        <w:t xml:space="preserve"> </w:t>
      </w:r>
      <w:proofErr w:type="spellStart"/>
      <w:r>
        <w:rPr>
          <w:i/>
        </w:rPr>
        <w:t>der</w:t>
      </w:r>
      <w:proofErr w:type="spellEnd"/>
      <w:r>
        <w:rPr>
          <w:i/>
        </w:rPr>
        <w:t xml:space="preserve"> </w:t>
      </w:r>
      <w:proofErr w:type="spellStart"/>
      <w:r>
        <w:rPr>
          <w:i/>
        </w:rPr>
        <w:t>TStV</w:t>
      </w:r>
      <w:proofErr w:type="spellEnd"/>
      <w:r>
        <w:rPr>
          <w:i/>
        </w:rPr>
        <w:t xml:space="preserve"> </w:t>
      </w:r>
      <w:proofErr w:type="spellStart"/>
      <w:r>
        <w:rPr>
          <w:i/>
        </w:rPr>
        <w:t>an</w:t>
      </w:r>
      <w:proofErr w:type="spellEnd"/>
      <w:r>
        <w:rPr>
          <w:i/>
        </w:rPr>
        <w:t xml:space="preserve"> </w:t>
      </w:r>
      <w:proofErr w:type="spellStart"/>
      <w:r>
        <w:rPr>
          <w:i/>
        </w:rPr>
        <w:t>einer</w:t>
      </w:r>
      <w:proofErr w:type="spellEnd"/>
      <w:r>
        <w:rPr>
          <w:i/>
        </w:rPr>
        <w:t xml:space="preserve"> </w:t>
      </w:r>
      <w:proofErr w:type="spellStart"/>
      <w:r>
        <w:rPr>
          <w:i/>
        </w:rPr>
        <w:t>gesetzlichen</w:t>
      </w:r>
      <w:proofErr w:type="spellEnd"/>
      <w:r>
        <w:rPr>
          <w:i/>
        </w:rPr>
        <w:t xml:space="preserve"> </w:t>
      </w:r>
      <w:proofErr w:type="spellStart"/>
      <w:r>
        <w:rPr>
          <w:i/>
        </w:rPr>
        <w:t>Grundlage</w:t>
      </w:r>
      <w:proofErr w:type="spellEnd"/>
      <w:r>
        <w:rPr>
          <w:i/>
        </w:rPr>
        <w:t xml:space="preserve">, </w:t>
      </w:r>
      <w:proofErr w:type="spellStart"/>
      <w:r>
        <w:rPr>
          <w:i/>
        </w:rPr>
        <w:t>um</w:t>
      </w:r>
      <w:proofErr w:type="spellEnd"/>
      <w:r>
        <w:rPr>
          <w:i/>
        </w:rPr>
        <w:t xml:space="preserve"> </w:t>
      </w:r>
      <w:proofErr w:type="spellStart"/>
      <w:r>
        <w:rPr>
          <w:i/>
        </w:rPr>
        <w:t>Cannabisblüten</w:t>
      </w:r>
      <w:proofErr w:type="spellEnd"/>
      <w:r>
        <w:rPr>
          <w:i/>
        </w:rPr>
        <w:t xml:space="preserve"> </w:t>
      </w:r>
      <w:proofErr w:type="spellStart"/>
      <w:r>
        <w:rPr>
          <w:i/>
        </w:rPr>
        <w:t>der</w:t>
      </w:r>
      <w:proofErr w:type="spellEnd"/>
      <w:r>
        <w:rPr>
          <w:i/>
        </w:rPr>
        <w:t xml:space="preserve"> </w:t>
      </w:r>
      <w:proofErr w:type="spellStart"/>
      <w:r>
        <w:rPr>
          <w:i/>
        </w:rPr>
        <w:t>Tabaksteuer</w:t>
      </w:r>
      <w:proofErr w:type="spellEnd"/>
      <w:r>
        <w:rPr>
          <w:i/>
        </w:rPr>
        <w:t xml:space="preserve"> </w:t>
      </w:r>
      <w:proofErr w:type="spellStart"/>
      <w:r>
        <w:rPr>
          <w:i/>
        </w:rPr>
        <w:t>zu</w:t>
      </w:r>
      <w:proofErr w:type="spellEnd"/>
      <w:r>
        <w:rPr>
          <w:i/>
        </w:rPr>
        <w:t xml:space="preserve"> </w:t>
      </w:r>
      <w:proofErr w:type="spellStart"/>
      <w:r>
        <w:rPr>
          <w:i/>
        </w:rPr>
        <w:t>unterwerfen</w:t>
      </w:r>
      <w:proofErr w:type="spellEnd"/>
      <w:r>
        <w:rPr>
          <w:i/>
        </w:rPr>
        <w:t>.» (En consecuencia, falta en la Ley del impuesto sobre el tabaco y en su reglamento de desarrollo una base legal para someter las flores de cannabis al impuesto sobre el tabaco.)</w:t>
      </w:r>
    </w:p>
    <w:p w14:paraId="2799E224" w14:textId="77777777" w:rsidR="007F073C" w:rsidRDefault="00000000">
      <w:r>
        <w:t>Y en la ratio (E. 4.7):</w:t>
      </w:r>
    </w:p>
    <w:p w14:paraId="558535C6" w14:textId="77777777" w:rsidR="007F073C" w:rsidRDefault="00000000">
      <w:pPr>
        <w:ind w:left="576"/>
      </w:pPr>
      <w:r>
        <w:rPr>
          <w:i/>
        </w:rPr>
        <w:t xml:space="preserve">«Aus Sicht des </w:t>
      </w:r>
      <w:proofErr w:type="spellStart"/>
      <w:r>
        <w:rPr>
          <w:i/>
        </w:rPr>
        <w:t>Konsumenten</w:t>
      </w:r>
      <w:proofErr w:type="spellEnd"/>
      <w:r>
        <w:rPr>
          <w:i/>
        </w:rPr>
        <w:t xml:space="preserve"> </w:t>
      </w:r>
      <w:proofErr w:type="spellStart"/>
      <w:r>
        <w:rPr>
          <w:i/>
        </w:rPr>
        <w:t>sind</w:t>
      </w:r>
      <w:proofErr w:type="spellEnd"/>
      <w:r>
        <w:rPr>
          <w:i/>
        </w:rPr>
        <w:t xml:space="preserve"> </w:t>
      </w:r>
      <w:proofErr w:type="spellStart"/>
      <w:r>
        <w:rPr>
          <w:i/>
        </w:rPr>
        <w:t>Cannabisblüten</w:t>
      </w:r>
      <w:proofErr w:type="spellEnd"/>
      <w:r>
        <w:rPr>
          <w:i/>
        </w:rPr>
        <w:t xml:space="preserve"> </w:t>
      </w:r>
      <w:proofErr w:type="spellStart"/>
      <w:r>
        <w:rPr>
          <w:i/>
        </w:rPr>
        <w:t>gerade</w:t>
      </w:r>
      <w:proofErr w:type="spellEnd"/>
      <w:r>
        <w:rPr>
          <w:i/>
        </w:rPr>
        <w:t xml:space="preserve"> </w:t>
      </w:r>
      <w:proofErr w:type="spellStart"/>
      <w:r>
        <w:rPr>
          <w:i/>
        </w:rPr>
        <w:t>kein</w:t>
      </w:r>
      <w:proofErr w:type="spellEnd"/>
      <w:r>
        <w:rPr>
          <w:i/>
        </w:rPr>
        <w:t xml:space="preserve"> Ersatz </w:t>
      </w:r>
      <w:proofErr w:type="spellStart"/>
      <w:r>
        <w:rPr>
          <w:i/>
        </w:rPr>
        <w:t>für</w:t>
      </w:r>
      <w:proofErr w:type="spellEnd"/>
      <w:r>
        <w:rPr>
          <w:i/>
        </w:rPr>
        <w:t xml:space="preserve"> </w:t>
      </w:r>
      <w:proofErr w:type="spellStart"/>
      <w:r>
        <w:rPr>
          <w:i/>
        </w:rPr>
        <w:t>herkömmliche</w:t>
      </w:r>
      <w:proofErr w:type="spellEnd"/>
      <w:r>
        <w:rPr>
          <w:i/>
        </w:rPr>
        <w:t xml:space="preserve"> </w:t>
      </w:r>
      <w:proofErr w:type="spellStart"/>
      <w:r>
        <w:rPr>
          <w:i/>
        </w:rPr>
        <w:t>Tabakfabrikate</w:t>
      </w:r>
      <w:proofErr w:type="spellEnd"/>
      <w:r>
        <w:rPr>
          <w:i/>
        </w:rPr>
        <w:t xml:space="preserve">, </w:t>
      </w:r>
      <w:proofErr w:type="spellStart"/>
      <w:r>
        <w:rPr>
          <w:i/>
        </w:rPr>
        <w:t>sondern</w:t>
      </w:r>
      <w:proofErr w:type="spellEnd"/>
      <w:r>
        <w:rPr>
          <w:i/>
        </w:rPr>
        <w:t xml:space="preserve"> </w:t>
      </w:r>
      <w:proofErr w:type="spellStart"/>
      <w:r>
        <w:rPr>
          <w:i/>
        </w:rPr>
        <w:t>befriedigen</w:t>
      </w:r>
      <w:proofErr w:type="spellEnd"/>
      <w:r>
        <w:rPr>
          <w:i/>
        </w:rPr>
        <w:t xml:space="preserve"> </w:t>
      </w:r>
      <w:proofErr w:type="spellStart"/>
      <w:r>
        <w:rPr>
          <w:i/>
        </w:rPr>
        <w:t>andere</w:t>
      </w:r>
      <w:proofErr w:type="spellEnd"/>
      <w:r>
        <w:rPr>
          <w:i/>
        </w:rPr>
        <w:t xml:space="preserve"> </w:t>
      </w:r>
      <w:proofErr w:type="spellStart"/>
      <w:r>
        <w:rPr>
          <w:i/>
        </w:rPr>
        <w:t>Bedürfnisse</w:t>
      </w:r>
      <w:proofErr w:type="spellEnd"/>
      <w:r>
        <w:rPr>
          <w:i/>
        </w:rPr>
        <w:t xml:space="preserve">. […] Bei </w:t>
      </w:r>
      <w:proofErr w:type="spellStart"/>
      <w:r>
        <w:rPr>
          <w:i/>
        </w:rPr>
        <w:t>Cannabisblüten</w:t>
      </w:r>
      <w:proofErr w:type="spellEnd"/>
      <w:r>
        <w:rPr>
          <w:i/>
        </w:rPr>
        <w:t xml:space="preserve"> </w:t>
      </w:r>
      <w:proofErr w:type="spellStart"/>
      <w:r>
        <w:rPr>
          <w:i/>
        </w:rPr>
        <w:t>handelt</w:t>
      </w:r>
      <w:proofErr w:type="spellEnd"/>
      <w:r>
        <w:rPr>
          <w:i/>
        </w:rPr>
        <w:t xml:space="preserve"> es </w:t>
      </w:r>
      <w:proofErr w:type="spellStart"/>
      <w:r>
        <w:rPr>
          <w:i/>
        </w:rPr>
        <w:t>sich</w:t>
      </w:r>
      <w:proofErr w:type="spellEnd"/>
      <w:r>
        <w:rPr>
          <w:i/>
        </w:rPr>
        <w:t xml:space="preserve">, </w:t>
      </w:r>
      <w:proofErr w:type="spellStart"/>
      <w:r>
        <w:rPr>
          <w:i/>
        </w:rPr>
        <w:t>auch</w:t>
      </w:r>
      <w:proofErr w:type="spellEnd"/>
      <w:r>
        <w:rPr>
          <w:i/>
        </w:rPr>
        <w:t xml:space="preserve"> </w:t>
      </w:r>
      <w:proofErr w:type="spellStart"/>
      <w:r>
        <w:rPr>
          <w:i/>
        </w:rPr>
        <w:t>wenn</w:t>
      </w:r>
      <w:proofErr w:type="spellEnd"/>
      <w:r>
        <w:rPr>
          <w:i/>
        </w:rPr>
        <w:t xml:space="preserve"> </w:t>
      </w:r>
      <w:proofErr w:type="spellStart"/>
      <w:r>
        <w:rPr>
          <w:i/>
        </w:rPr>
        <w:t>sie</w:t>
      </w:r>
      <w:proofErr w:type="spellEnd"/>
      <w:r>
        <w:rPr>
          <w:i/>
        </w:rPr>
        <w:t xml:space="preserve"> </w:t>
      </w:r>
      <w:proofErr w:type="spellStart"/>
      <w:r>
        <w:rPr>
          <w:i/>
        </w:rPr>
        <w:t>unter</w:t>
      </w:r>
      <w:proofErr w:type="spellEnd"/>
      <w:r>
        <w:rPr>
          <w:i/>
        </w:rPr>
        <w:t xml:space="preserve"> </w:t>
      </w:r>
      <w:proofErr w:type="spellStart"/>
      <w:r>
        <w:rPr>
          <w:i/>
        </w:rPr>
        <w:t>anderem</w:t>
      </w:r>
      <w:proofErr w:type="spellEnd"/>
      <w:r>
        <w:rPr>
          <w:i/>
        </w:rPr>
        <w:t xml:space="preserve"> </w:t>
      </w:r>
      <w:proofErr w:type="spellStart"/>
      <w:r>
        <w:rPr>
          <w:i/>
        </w:rPr>
        <w:t>geraucht</w:t>
      </w:r>
      <w:proofErr w:type="spellEnd"/>
      <w:r>
        <w:rPr>
          <w:i/>
        </w:rPr>
        <w:t xml:space="preserve"> </w:t>
      </w:r>
      <w:proofErr w:type="spellStart"/>
      <w:r>
        <w:rPr>
          <w:i/>
        </w:rPr>
        <w:t>werden</w:t>
      </w:r>
      <w:proofErr w:type="spellEnd"/>
      <w:r>
        <w:rPr>
          <w:i/>
        </w:rPr>
        <w:t xml:space="preserve">, </w:t>
      </w:r>
      <w:proofErr w:type="spellStart"/>
      <w:r>
        <w:rPr>
          <w:i/>
        </w:rPr>
        <w:t>um</w:t>
      </w:r>
      <w:proofErr w:type="spellEnd"/>
      <w:r>
        <w:rPr>
          <w:i/>
        </w:rPr>
        <w:t xml:space="preserve"> </w:t>
      </w:r>
      <w:proofErr w:type="spellStart"/>
      <w:r>
        <w:rPr>
          <w:i/>
        </w:rPr>
        <w:t>ein</w:t>
      </w:r>
      <w:proofErr w:type="spellEnd"/>
      <w:r>
        <w:rPr>
          <w:i/>
        </w:rPr>
        <w:t xml:space="preserve"> </w:t>
      </w:r>
      <w:proofErr w:type="spellStart"/>
      <w:r>
        <w:rPr>
          <w:i/>
        </w:rPr>
        <w:t>Produkt</w:t>
      </w:r>
      <w:proofErr w:type="spellEnd"/>
      <w:r>
        <w:rPr>
          <w:i/>
        </w:rPr>
        <w:t xml:space="preserve"> </w:t>
      </w:r>
      <w:proofErr w:type="spellStart"/>
      <w:r>
        <w:rPr>
          <w:i/>
        </w:rPr>
        <w:t>mit</w:t>
      </w:r>
      <w:proofErr w:type="spellEnd"/>
      <w:r>
        <w:rPr>
          <w:i/>
        </w:rPr>
        <w:t xml:space="preserve"> </w:t>
      </w:r>
      <w:proofErr w:type="spellStart"/>
      <w:r>
        <w:rPr>
          <w:i/>
        </w:rPr>
        <w:t>speziellen</w:t>
      </w:r>
      <w:proofErr w:type="spellEnd"/>
      <w:r>
        <w:rPr>
          <w:i/>
        </w:rPr>
        <w:t xml:space="preserve"> </w:t>
      </w:r>
      <w:proofErr w:type="spellStart"/>
      <w:r>
        <w:rPr>
          <w:i/>
        </w:rPr>
        <w:t>Eigenschaften</w:t>
      </w:r>
      <w:proofErr w:type="spellEnd"/>
      <w:r>
        <w:rPr>
          <w:i/>
        </w:rPr>
        <w:t xml:space="preserve">, </w:t>
      </w:r>
      <w:proofErr w:type="spellStart"/>
      <w:r>
        <w:rPr>
          <w:i/>
        </w:rPr>
        <w:t>welches</w:t>
      </w:r>
      <w:proofErr w:type="spellEnd"/>
      <w:r>
        <w:rPr>
          <w:i/>
        </w:rPr>
        <w:t xml:space="preserve"> </w:t>
      </w:r>
      <w:proofErr w:type="spellStart"/>
      <w:r>
        <w:rPr>
          <w:i/>
        </w:rPr>
        <w:t>zu</w:t>
      </w:r>
      <w:proofErr w:type="spellEnd"/>
      <w:r>
        <w:rPr>
          <w:i/>
        </w:rPr>
        <w:t xml:space="preserve"> </w:t>
      </w:r>
      <w:proofErr w:type="spellStart"/>
      <w:r>
        <w:rPr>
          <w:i/>
        </w:rPr>
        <w:t>Tabakprodukten</w:t>
      </w:r>
      <w:proofErr w:type="spellEnd"/>
      <w:r>
        <w:rPr>
          <w:i/>
        </w:rPr>
        <w:t xml:space="preserve"> </w:t>
      </w:r>
      <w:proofErr w:type="spellStart"/>
      <w:r>
        <w:rPr>
          <w:i/>
        </w:rPr>
        <w:t>nicht</w:t>
      </w:r>
      <w:proofErr w:type="spellEnd"/>
      <w:r>
        <w:rPr>
          <w:i/>
        </w:rPr>
        <w:t xml:space="preserve"> in </w:t>
      </w:r>
      <w:proofErr w:type="spellStart"/>
      <w:r>
        <w:rPr>
          <w:i/>
        </w:rPr>
        <w:t>einem</w:t>
      </w:r>
      <w:proofErr w:type="spellEnd"/>
      <w:r>
        <w:rPr>
          <w:i/>
        </w:rPr>
        <w:t xml:space="preserve"> </w:t>
      </w:r>
      <w:proofErr w:type="spellStart"/>
      <w:r>
        <w:rPr>
          <w:i/>
        </w:rPr>
        <w:t>Substitutionsverhältnis</w:t>
      </w:r>
      <w:proofErr w:type="spellEnd"/>
      <w:r>
        <w:rPr>
          <w:i/>
        </w:rPr>
        <w:t xml:space="preserve"> </w:t>
      </w:r>
      <w:proofErr w:type="spellStart"/>
      <w:r>
        <w:rPr>
          <w:i/>
        </w:rPr>
        <w:t>steht</w:t>
      </w:r>
      <w:proofErr w:type="spellEnd"/>
      <w:r>
        <w:rPr>
          <w:i/>
        </w:rPr>
        <w:t>.» (Desde el punto de vista del consumidor, las flores de cannabis no son sustituto de los productos clásicos del tabaco, sino que satisfacen otras necesidades. […] Las flores de cannabis, aun cuando entre otras cosas se fumen, son un producto con propiedades especiales que no se halla en relación de sustitución con los productos del tabaco.)</w:t>
      </w:r>
    </w:p>
    <w:p w14:paraId="726CDDB2" w14:textId="77777777" w:rsidR="007F073C" w:rsidRDefault="00000000">
      <w:r>
        <w:t>Como consecuencia directa de la sentencia, la Oficina Federal de Aduanas y Seguridad de las Fronteras (BAZG) procedió a la devolución de aproximadamente 33 millones de francos suizos a los productores afectados.</w:t>
      </w:r>
    </w:p>
    <w:p w14:paraId="5581DDAA" w14:textId="77777777" w:rsidR="007F073C" w:rsidRDefault="00000000">
      <w:pPr>
        <w:pStyle w:val="Ttulo2"/>
      </w:pPr>
      <w:r>
        <w:t>6.3 Resumen de la posición fiscal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073C" w14:paraId="57305E7F" w14:textId="77777777">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21A117" w14:textId="77777777" w:rsidR="007F073C" w:rsidRDefault="00000000">
            <w:pPr>
              <w:jc w:val="center"/>
            </w:pPr>
            <w:r>
              <w:rPr>
                <w:b/>
                <w:bCs/>
                <w:color w:val="FFFFFF"/>
                <w:sz w:val="20"/>
                <w:szCs w:val="20"/>
              </w:rPr>
              <w:t>Componente fiscal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F2DE37F" w14:textId="77777777" w:rsidR="007F073C" w:rsidRDefault="00000000">
            <w:pPr>
              <w:jc w:val="center"/>
            </w:pPr>
            <w:r>
              <w:rPr>
                <w:b/>
                <w:bCs/>
                <w:color w:val="FFFFFF"/>
                <w:sz w:val="20"/>
                <w:szCs w:val="20"/>
              </w:rPr>
              <w:t>Situación actual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E7D4797" w14:textId="77777777" w:rsidR="007F073C" w:rsidRDefault="00000000">
            <w:pPr>
              <w:jc w:val="center"/>
            </w:pPr>
            <w:r>
              <w:rPr>
                <w:b/>
                <w:bCs/>
                <w:color w:val="FFFFFF"/>
                <w:sz w:val="20"/>
                <w:szCs w:val="20"/>
              </w:rPr>
              <w:t>Propuesta AECANI</w:t>
            </w:r>
          </w:p>
        </w:tc>
      </w:tr>
      <w:tr w:rsidR="007F073C" w14:paraId="129CAA61"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A604AD" w14:textId="77777777" w:rsidR="007F073C" w:rsidRDefault="00000000">
            <w:r>
              <w:rPr>
                <w:b/>
                <w:bCs/>
                <w:sz w:val="20"/>
                <w:szCs w:val="20"/>
              </w:rPr>
              <w:t>IVA aplicable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0E592E" w14:textId="77777777" w:rsidR="007F073C" w:rsidRDefault="00000000">
            <w:r>
              <w:rPr>
                <w:sz w:val="20"/>
                <w:szCs w:val="20"/>
              </w:rPr>
              <w:t>10% (clasificación ornamental ficticia)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802F20" w14:textId="77777777" w:rsidR="007F073C" w:rsidRDefault="00000000">
            <w:r>
              <w:rPr>
                <w:b/>
                <w:bCs/>
                <w:color w:val="608A30"/>
                <w:sz w:val="20"/>
                <w:szCs w:val="20"/>
              </w:rPr>
              <w:t>21% (tipo general · clasificación real)</w:t>
            </w:r>
          </w:p>
        </w:tc>
      </w:tr>
      <w:tr w:rsidR="007F073C" w14:paraId="74C09F7A"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411738" w14:textId="77777777" w:rsidR="007F073C" w:rsidRDefault="00000000">
            <w:r>
              <w:rPr>
                <w:b/>
                <w:bCs/>
                <w:sz w:val="20"/>
                <w:szCs w:val="20"/>
              </w:rPr>
              <w:t>Impuesto especial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2479DD" w14:textId="77777777" w:rsidR="007F073C" w:rsidRDefault="00000000">
            <w:r>
              <w:rPr>
                <w:sz w:val="20"/>
                <w:szCs w:val="20"/>
              </w:rPr>
              <w:t>(no aplicable bajo la actual ficción ornamental)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63E7CE" w14:textId="77777777" w:rsidR="007F073C" w:rsidRDefault="00000000">
            <w:r>
              <w:rPr>
                <w:b/>
                <w:bCs/>
                <w:color w:val="608A30"/>
                <w:sz w:val="20"/>
                <w:szCs w:val="20"/>
              </w:rPr>
              <w:t>Sin impuesto especial · proporcionalidad sanitaria</w:t>
            </w:r>
          </w:p>
        </w:tc>
      </w:tr>
      <w:tr w:rsidR="007F073C" w14:paraId="60F2410D"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B2FCC4" w14:textId="77777777" w:rsidR="007F073C" w:rsidRDefault="00000000">
            <w:r>
              <w:rPr>
                <w:b/>
                <w:bCs/>
                <w:sz w:val="20"/>
                <w:szCs w:val="20"/>
              </w:rPr>
              <w:t>Recaudación adicional estimada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79EFB" w14:textId="77777777" w:rsidR="007F073C" w:rsidRDefault="00000000">
            <w:r>
              <w:rPr>
                <w:sz w:val="20"/>
                <w:szCs w:val="20"/>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BACA5D" w14:textId="77777777" w:rsidR="007F073C" w:rsidRDefault="00000000">
            <w:r>
              <w:rPr>
                <w:b/>
                <w:bCs/>
                <w:color w:val="608A30"/>
                <w:sz w:val="20"/>
                <w:szCs w:val="20"/>
              </w:rPr>
              <w:t>≈ 50 M€/año (sólo IVA)</w:t>
            </w:r>
          </w:p>
        </w:tc>
      </w:tr>
    </w:tbl>
    <w:p w14:paraId="48B685CF" w14:textId="77777777" w:rsidR="007F073C" w:rsidRDefault="007F073C">
      <w:pPr>
        <w:spacing w:before="80" w:after="80"/>
      </w:pPr>
    </w:p>
    <w:p w14:paraId="1D383A3B" w14:textId="77777777" w:rsidR="007F073C" w:rsidRDefault="00000000">
      <w:pPr>
        <w:spacing w:before="80" w:after="80" w:line="320" w:lineRule="auto"/>
        <w:jc w:val="both"/>
      </w:pPr>
      <w:r>
        <w:t>Esta propuesta tiene dos virtudes desde la perspectiva de competencia:</w:t>
      </w:r>
    </w:p>
    <w:p w14:paraId="111EAFB8" w14:textId="77777777" w:rsidR="007F073C" w:rsidRDefault="00000000">
      <w:pPr>
        <w:pStyle w:val="Prrafodelista"/>
        <w:numPr>
          <w:ilvl w:val="0"/>
          <w:numId w:val="2"/>
        </w:numPr>
        <w:spacing w:before="60" w:after="60" w:line="300" w:lineRule="auto"/>
        <w:jc w:val="both"/>
      </w:pPr>
      <w:r>
        <w:t>Elimina la ficción regulatoria que distorsiona la clasificación del producto y, por tanto, las decisiones de los operadores.</w:t>
      </w:r>
    </w:p>
    <w:p w14:paraId="6147E7DB" w14:textId="77777777" w:rsidR="007F073C" w:rsidRDefault="00000000">
      <w:pPr>
        <w:pStyle w:val="Prrafodelista"/>
        <w:numPr>
          <w:ilvl w:val="0"/>
          <w:numId w:val="2"/>
        </w:numPr>
        <w:spacing w:before="60" w:after="60" w:line="300" w:lineRule="auto"/>
        <w:jc w:val="both"/>
      </w:pPr>
      <w:r>
        <w:t xml:space="preserve">Evita la </w:t>
      </w:r>
      <w:proofErr w:type="spellStart"/>
      <w:r>
        <w:t>sobre-tributación</w:t>
      </w:r>
      <w:proofErr w:type="spellEnd"/>
      <w:r>
        <w:t xml:space="preserve"> punitiva que un impuesto especial al estilo del tabaco supondría, y que sería desproporcionada conforme al art. 5 LGUM.</w:t>
      </w:r>
    </w:p>
    <w:p w14:paraId="1E969760" w14:textId="77777777" w:rsidR="007F073C" w:rsidRDefault="00000000">
      <w:pPr>
        <w:pStyle w:val="Ttulo2"/>
      </w:pPr>
      <w:r>
        <w:t>6.4 Qué pedimos sobre fiscalidad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7D8FEE3A"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1239F70C" w14:textId="77777777" w:rsidR="007F073C" w:rsidRDefault="00000000">
            <w:pPr>
              <w:spacing w:after="80"/>
            </w:pPr>
            <w:r>
              <w:rPr>
                <w:b/>
                <w:bCs/>
                <w:color w:val="1F3864"/>
              </w:rPr>
              <w:lastRenderedPageBreak/>
              <w:t>PETICIÓN ESPECÍFICA SOBRE FISCALIDAD</w:t>
            </w:r>
          </w:p>
          <w:p w14:paraId="54C7518A" w14:textId="77777777" w:rsidR="007F073C" w:rsidRDefault="00000000">
            <w:r>
              <w:t>Pronunciamiento técnico de la CNMC sobre la coherencia de la actual clasificación tributaria de los productos derivados del cáñamo industrial, con recomendación al Gobierno y a la Dirección General de Tributos para una clasificación que refleje la realidad económica del producto y, en consecuencia, la aplicación del tipo general del IVA, sin impuesto especial específico al amparo de los principios de proporcionalidad y necesidad.</w:t>
            </w:r>
          </w:p>
        </w:tc>
      </w:tr>
    </w:tbl>
    <w:p w14:paraId="15B311C5" w14:textId="77777777" w:rsidR="007F073C" w:rsidRDefault="00000000">
      <w:r>
        <w:br w:type="page"/>
      </w:r>
    </w:p>
    <w:p w14:paraId="11BD7F39" w14:textId="77777777" w:rsidR="007F073C" w:rsidRDefault="00000000">
      <w:pPr>
        <w:pStyle w:val="Ttulo1"/>
      </w:pPr>
      <w:r>
        <w:lastRenderedPageBreak/>
        <w:t>7. El argumento transversal · Por qué el cáñamo industrial no es un estupefaciente</w:t>
      </w:r>
    </w:p>
    <w:p w14:paraId="2DC65A37" w14:textId="77777777" w:rsidR="007F073C" w:rsidRDefault="00000000">
      <w:pPr>
        <w:spacing w:before="80" w:after="80" w:line="320" w:lineRule="auto"/>
        <w:jc w:val="both"/>
      </w:pPr>
      <w:r>
        <w:t>Tanto el bloqueo del agricultor (frente 1) como el bloqueo del comerciante (frente 2) y la incoherencia fiscal (apartado 6) descansan, en última instancia, sobre una misma premisa equivocada: la idea de que toda materia vegetal procedente de la planta del cannabis es, por sí misma, una sustancia estupefaciente sujeta a fiscalización internacional. Esta premisa es jurídica, científica e institucionalmente insostenible. Lo demuestran cinco bloques convergentes de fundamentación.</w:t>
      </w:r>
    </w:p>
    <w:p w14:paraId="2D7FC5C6" w14:textId="77777777" w:rsidR="007F073C" w:rsidRDefault="00000000">
      <w:pPr>
        <w:pStyle w:val="Ttulo2"/>
      </w:pPr>
      <w:r>
        <w:t>7.1 Interpretación teleológica de la CN61</w:t>
      </w:r>
    </w:p>
    <w:p w14:paraId="19D315F2" w14:textId="77777777" w:rsidR="007F073C" w:rsidRDefault="00000000">
      <w:pPr>
        <w:spacing w:before="80" w:after="80" w:line="320" w:lineRule="auto"/>
        <w:jc w:val="both"/>
      </w:pPr>
      <w:r>
        <w:t>La Convención Única sobre Estupefacientes de 1961, en su Preámbulo, establece su finalidad expresa:</w:t>
      </w:r>
    </w:p>
    <w:p w14:paraId="51FDB6A9" w14:textId="77777777" w:rsidR="007F073C" w:rsidRDefault="00000000">
      <w:pPr>
        <w:pBdr>
          <w:left w:val="single" w:sz="18" w:space="12" w:color="1F3864"/>
        </w:pBdr>
        <w:spacing w:before="120" w:after="120" w:line="300" w:lineRule="auto"/>
        <w:ind w:left="720" w:right="360"/>
        <w:jc w:val="both"/>
      </w:pPr>
      <w:r>
        <w:rPr>
          <w:i/>
          <w:iCs/>
          <w:color w:val="404040"/>
        </w:rPr>
        <w:t>«Reconociendo que la toxicomanía constituye un mal grave para el individuo y entraña un peligro social y económico para la humanidad [...] decididas a prevenir y combatir este mal [...].»</w:t>
      </w:r>
    </w:p>
    <w:p w14:paraId="0D5551C1" w14:textId="77777777" w:rsidR="007F073C" w:rsidRDefault="00000000">
      <w:pPr>
        <w:spacing w:before="80" w:after="80" w:line="320" w:lineRule="auto"/>
        <w:jc w:val="both"/>
      </w:pPr>
      <w:r>
        <w:t>La finalidad de la Convención es, por tanto, prevenir y combatir el abuso de sustancias con potencial estupefaciente que generan adicción y daño social. Es esta finalidad —y no la mera literalidad de los listados anexos— la que debe guiar la interpretación del ámbito de aplicación material del régimen de fiscalización, conforme a los principios generales de interpretación de los tratados internacionales recogidos en la Convención de Viena sobre el Derecho de los Tratados de 1969 (artículo 31).</w:t>
      </w:r>
    </w:p>
    <w:p w14:paraId="1D2E2338" w14:textId="77777777" w:rsidR="007F073C" w:rsidRDefault="00000000">
      <w:pPr>
        <w:spacing w:before="80" w:after="80" w:line="320" w:lineRule="auto"/>
        <w:jc w:val="both"/>
      </w:pPr>
      <w:r>
        <w:t>Aplicado al cáñamo industrial: un producto que no produce intoxicación, que no genera dependencia y que no presenta capacidad de abuso documentada queda fuera del ámbito teleológico de la CN61, con independencia de su origen botánico común con la planta de cannabis psicoactivo. Este es el razonamiento que ha guiado a las autoridades sanitarias y de fiscalización que han adoptado posiciones claras en los últimos años, incluyendo la propia JIFE.</w:t>
      </w:r>
    </w:p>
    <w:p>
      <w:r>
        <w:t>Esta interpretación teleológica no es novedosa en la doctrina jurídica española. Diecisiete años antes de la sentencia Kanavape, el Fiscal del Tribunal Supremo Fernando Sequeros Sazatornil articuló la misma lógica en su artículo «La venta de semillas de cannabis, de equipos y materiales para su cultivo, así como su propaganda, como actos con trascendencia penal» (Diario La Ley, año XXIV, núm. 5713, 6 de febrero de 2003) [Anexo 5.12], donde defendió que las semillas de cannabis, al carecer de principio activo, quedan excluidas del régimen fiscalizador de la Convención Única de 1961 y, en consecuencia, su comercialización al público no encaja en el tipo penal del artículo 368 del Código Penal:</w:t>
      </w:r>
    </w:p>
    <w:p>
      <w:pPr>
        <w:ind w:left="576"/>
      </w:pPr>
      <w:r>
        <w:rPr>
          <w:i/>
        </w:rPr>
        <w:t>«La propaganda de la venta de semillas de cannabis en cantidades para su cultivo doméstico que en principio no excedan de las racionales para su consumo y autoabastecimiento con el mismo fin (incluidas las semillas reproducidas a partir de aquéllas) no podrá considerarse, en modo alguno, constitutiva de delito, al carecer de entidad penal la finalidad perseguida por aquélla.»</w:t>
      </w:r>
    </w:p>
    <w:p>
      <w:r>
        <w:t>La doctrina articulada en este artículo —ampliamente invocada por el sector cannábico español durante más de dos décadas y asumida por la Sala Segunda del Tribunal Supremo en una línea jurisprudencial estable (entre otras, STS 1336/2001 de 4 de julio)— constituye antecedente nacional directo del razonamiento que el Tribunal de Justicia de la Unión Europea consagrará en Kanavape: lo que carece de principio activo psicoactivo significativo no es, a los efectos del régimen internacional de fiscalización, estupefaciente. La evolución posterior del Ministerio Fiscal en sentido contrario, particularmente en la Instrucción del Fiscal de Sala Antidroga de junio de 2021 [Anexo 5.13], que endurece el criterio sobre las inflorescencias de cáñamo industrial, se aparta tanto de la propia doctrina interna española como de la jurisprudencia obligatoria Kanavape (2020), generando precisamente la fragmentación documentada en el §5.2(g) del presente dossier.</w:t>
      </w:r>
    </w:p>
    <w:p w14:paraId="0E09E779" w14:textId="77777777" w:rsidR="007F073C" w:rsidRDefault="00000000">
      <w:pPr>
        <w:pStyle w:val="Ttulo2"/>
      </w:pPr>
      <w:r>
        <w:t>7.2 La posición oficial de la JIFE / INCB</w:t>
      </w:r>
    </w:p>
    <w:p w14:paraId="2D01D56A" w14:textId="77777777" w:rsidR="007F073C" w:rsidRDefault="00000000">
      <w:pPr>
        <w:spacing w:before="80" w:after="80" w:line="320" w:lineRule="auto"/>
        <w:jc w:val="both"/>
      </w:pPr>
      <w:r>
        <w:t>La autoridad de Naciones Unidas competente para interpretar y vigilar la aplicación de la CN61 ha consolidado en los últimos años una posición progresiva sobre el cáñamo industrial. La carta circular E/INCB/NAR/C.L.20/2024, de 16 de diciembre de 2024, dirigida a todos los Gobiernos de los Estados Parte, contiene posiciones actualizadas de la JIFE sobre cuestiones colindantes al cannabis. En particular, sobre el alcance del artículo 28.2 de la CN61 —que excluye del régimen de fiscalización el cultivo destinado «exclusivamente a fines industriales (fibra y semillas) o para propósitos hortícolas»— la JIFE ha venido manteniendo que esta enumeración es ilustrativa y no exhaustiva, y que cabe extender la lógica de exención a otros usos industriales legítimos del cáñamo no estupefaciente, en particular al cultivo destinado a la extracción de cannabinoides no psicoactivos como el CBD.</w:t>
      </w:r>
    </w:p>
    <w:p w14:paraId="3A650FC9" w14:textId="77777777" w:rsidR="007F073C" w:rsidRDefault="00000000">
      <w:pPr>
        <w:spacing w:before="80" w:after="80" w:line="320" w:lineRule="auto"/>
        <w:jc w:val="both"/>
      </w:pPr>
      <w:r>
        <w:t>Esta interpretación es coherente con la Decisión (UE) 2021/3 del Consejo, de 23 de noviembre de 2020, que eliminó el cannabis y la resina de cannabis de la Lista IV de la CN61 en aplicación de las recomendaciones de la OMS, reconociendo así sus usos legítimos no estupefacientes.</w:t>
      </w:r>
    </w:p>
    <w:p w14:paraId="521B6869" w14:textId="77777777" w:rsidR="007F073C" w:rsidRDefault="00000000">
      <w:r>
        <w:lastRenderedPageBreak/>
        <w:t>La posición de la JIFE se inserta en una línea de evolución del régimen internacional de control que parte del «</w:t>
      </w:r>
      <w:proofErr w:type="spellStart"/>
      <w:r>
        <w:t>Cannabidiol</w:t>
      </w:r>
      <w:proofErr w:type="spellEnd"/>
      <w:r>
        <w:t xml:space="preserve"> (CBD) — </w:t>
      </w:r>
      <w:proofErr w:type="spellStart"/>
      <w:r>
        <w:t>Critical</w:t>
      </w:r>
      <w:proofErr w:type="spellEnd"/>
      <w:r>
        <w:t xml:space="preserve"> </w:t>
      </w:r>
      <w:proofErr w:type="spellStart"/>
      <w:r>
        <w:t>Review</w:t>
      </w:r>
      <w:proofErr w:type="spellEnd"/>
      <w:r>
        <w:t xml:space="preserve"> </w:t>
      </w:r>
      <w:proofErr w:type="spellStart"/>
      <w:r>
        <w:t>Report</w:t>
      </w:r>
      <w:proofErr w:type="spellEnd"/>
      <w:r>
        <w:t xml:space="preserve">» del Comité de Expertos en Farmacodependencia de la Organización Mundial de la Salud (ECDD), 40ª reunión, Ginebra, junio de 2018 [Anexo 9.7]. Este informe estableció con base en la evidencia científica disponible que el </w:t>
      </w:r>
      <w:proofErr w:type="spellStart"/>
      <w:r>
        <w:t>cannabidiol</w:t>
      </w:r>
      <w:proofErr w:type="spellEnd"/>
      <w:r>
        <w:t xml:space="preserve"> «no muestra potencial de abuso ni de dependencia» y que «no se asocia a ninguna problemática de salud pública», fundamentando así la subsiguiente Decisión (UE) 2021/3 del Consejo y la posición progresiva de la JIFE.</w:t>
      </w:r>
    </w:p>
    <w:p w14:paraId="00816E8C" w14:textId="77777777" w:rsidR="007F073C" w:rsidRDefault="00000000">
      <w:pPr>
        <w:pStyle w:val="Ttulo2"/>
      </w:pPr>
      <w:r>
        <w:t>7.3 La jurisprudencia obligatoria del TJUE</w:t>
      </w:r>
    </w:p>
    <w:p w14:paraId="007AA1A4" w14:textId="77777777" w:rsidR="007F073C" w:rsidRDefault="00000000">
      <w:pPr>
        <w:spacing w:before="80" w:after="80" w:line="320" w:lineRule="auto"/>
        <w:jc w:val="both"/>
      </w:pPr>
      <w:r>
        <w:t>El Tribunal de Justicia de la Unión Europea ha establecido en dos sentencias clave la doctrina aplicable a los Estados miembros:</w:t>
      </w:r>
    </w:p>
    <w:p w14:paraId="7B97CD91" w14:textId="77777777" w:rsidR="007F073C" w:rsidRDefault="00000000">
      <w:pPr>
        <w:pStyle w:val="Prrafodelista"/>
        <w:numPr>
          <w:ilvl w:val="0"/>
          <w:numId w:val="2"/>
        </w:numPr>
        <w:spacing w:before="60" w:after="60" w:line="300" w:lineRule="auto"/>
        <w:jc w:val="both"/>
      </w:pPr>
      <w:r>
        <w:rPr>
          <w:b/>
          <w:bCs/>
        </w:rPr>
        <w:t xml:space="preserve">STJUE C-462/01 Hammarsten (2003): </w:t>
      </w:r>
      <w:r>
        <w:t>la prohibición nacional del cultivo de cáñamo industrial subvencionable PAC vulnera la OCM y el principio de libre circulación de mercancías agrícolas. España es Estado miembro vinculado por esta doctrina.</w:t>
      </w:r>
    </w:p>
    <w:p w14:paraId="09B639D6" w14:textId="77777777" w:rsidR="007F073C" w:rsidRDefault="00000000">
      <w:pPr>
        <w:pStyle w:val="Prrafodelista"/>
        <w:numPr>
          <w:ilvl w:val="0"/>
          <w:numId w:val="2"/>
        </w:numPr>
        <w:spacing w:before="60" w:after="60" w:line="300" w:lineRule="auto"/>
        <w:jc w:val="both"/>
      </w:pPr>
      <w:r>
        <w:rPr>
          <w:b/>
          <w:bCs/>
        </w:rPr>
        <w:t xml:space="preserve">STJUE C-663/18 </w:t>
      </w:r>
      <w:proofErr w:type="spellStart"/>
      <w:r>
        <w:rPr>
          <w:b/>
          <w:bCs/>
        </w:rPr>
        <w:t>Kanavape</w:t>
      </w:r>
      <w:proofErr w:type="spellEnd"/>
      <w:r>
        <w:rPr>
          <w:b/>
          <w:bCs/>
        </w:rPr>
        <w:t xml:space="preserve"> (2020): </w:t>
      </w:r>
      <w:r>
        <w:t>la prohibición nacional de comercialización del CBD obtenido legalmente en otro Estado miembro vulnera los artículos 34 y 36 del TFUE; el cáñamo no psicoactivo no puede ser tratado como estupefaciente por los Estados miembros. Doctrina obligatoria.</w:t>
      </w:r>
    </w:p>
    <w:p w14:paraId="2ED57F2A" w14:textId="77777777" w:rsidR="00C53E82" w:rsidRDefault="00000000">
      <w:pPr>
        <w:pStyle w:val="Prrafodelista"/>
      </w:pPr>
      <w:r>
        <w:t>STJUE C-324/93 Evans Medical y Macfarlan Smith, de 28 de marzo de 1995: doctrina fundante sobre los límites del artículo 34 TFUE en presencia de Convenios internacionales sobre estupefacientes. El Tribunal estableció que un Estado miembro debe abstenerse de adoptar medidas de fiscalización más estrictas de las exigidas por las Convenciones de 1961 y 1971 cuando dichas medidas vulneren la libre circulación intracomunitaria. «Cuando un Convenio internacional permite que un Estado miembro adopte una medida que es contraria al Derecho comunitario, pero sin obligarle, el Estado miembro debe abstenerse de adoptar dicha medida» (apartado 32). Doctrina aplicable directamente a las licencias del artículo 5 del RD 903/2025 (cf. §4.2.5).</w:t>
      </w:r>
    </w:p>
    <w:p w14:paraId="4F7C3F7B" w14:textId="77777777" w:rsidR="007F073C" w:rsidRDefault="00000000">
      <w:pPr>
        <w:spacing w:before="80" w:after="80" w:line="320" w:lineRule="auto"/>
        <w:jc w:val="both"/>
      </w:pPr>
      <w:r>
        <w:t>Ninguna de las tres sentencias ha sido modulada o revocada. Ambas son derecho vigente y vinculan a todas las administraciones españolas, incluida la sanitaria, la agrícola, la fiscal y la de inspección.</w:t>
      </w:r>
    </w:p>
    <w:p w14:paraId="6C9C27A0" w14:textId="77777777" w:rsidR="007F073C" w:rsidRDefault="00000000">
      <w:r>
        <w:t xml:space="preserve">Las Conclusiones del Abogado General Sr. </w:t>
      </w:r>
      <w:proofErr w:type="spellStart"/>
      <w:r>
        <w:t>Evgeni</w:t>
      </w:r>
      <w:proofErr w:type="spellEnd"/>
      <w:r>
        <w:t xml:space="preserve"> Tanchev, presentadas el 14 de mayo de 2020 en el asunto C-663/18 [Anexo 9.6], son particularmente explícitas en cuanto al estándar probatorio que debe cumplir un Estado miembro para justificar restricciones nacionales sobre el CBD bajo el artículo 36 TFUE:</w:t>
      </w:r>
    </w:p>
    <w:p w14:paraId="3DA90C14" w14:textId="77777777" w:rsidR="007F073C" w:rsidRDefault="00000000">
      <w:pPr>
        <w:ind w:left="576"/>
      </w:pPr>
      <w:r>
        <w:rPr>
          <w:i/>
        </w:rPr>
        <w:t xml:space="preserve">«Habida cuenta de la información facilitada al Tribunal de Justicia, difícilmente cabe considerar que el Gobierno francés haya identificado de forma clara los efectos nocivos, concretamente psicotrópicos, que entraña el uso de aceite de CBD en cigarrillos electrónicos, y aún menos que haya efectuado un análisis exhaustivo del riesgo para la salud basado en los datos científicos más fiables de que se disponga y en los resultados más recientes de la investigación internacional.» (Conclusiones AG </w:t>
      </w:r>
      <w:proofErr w:type="spellStart"/>
      <w:r>
        <w:rPr>
          <w:i/>
        </w:rPr>
        <w:t>Tanchev</w:t>
      </w:r>
      <w:proofErr w:type="spellEnd"/>
      <w:r>
        <w:rPr>
          <w:i/>
        </w:rPr>
        <w:t>, §83)</w:t>
      </w:r>
    </w:p>
    <w:p w14:paraId="194124EC" w14:textId="77777777" w:rsidR="007F073C" w:rsidRDefault="00000000">
      <w:r>
        <w:t>El análisis del Abogado General es íntegramente proyectable al caso español: la Administración española no ha aportado, en sede de motivación de las decisiones administrativas que bloquean al sector, un análisis del riesgo basado en datos científicos comparable al estándar exigido por el Tribunal de Justicia.</w:t>
      </w:r>
    </w:p>
    <w:p w14:paraId="73323A69" w14:textId="77777777" w:rsidR="007F073C" w:rsidRDefault="00000000">
      <w:pPr>
        <w:pStyle w:val="Ttulo2"/>
      </w:pPr>
      <w:r>
        <w:t>7.4 La armonización europea en curso</w:t>
      </w:r>
    </w:p>
    <w:p w14:paraId="68F7D5B0" w14:textId="77777777" w:rsidR="007F073C" w:rsidRDefault="00000000">
      <w:pPr>
        <w:spacing w:before="80" w:after="80" w:line="320" w:lineRule="auto"/>
        <w:jc w:val="both"/>
      </w:pPr>
      <w:r>
        <w:t xml:space="preserve">La Propuesta </w:t>
      </w:r>
      <w:proofErr w:type="gramStart"/>
      <w:r>
        <w:t>COM(</w:t>
      </w:r>
      <w:proofErr w:type="gramEnd"/>
      <w:r>
        <w:t>2025) 553 final de la Comisión Europea, de modificación del Reglamento (UE) 1308/2013 (OCM), reconoce expresamente:</w:t>
      </w:r>
    </w:p>
    <w:p w14:paraId="06CDB169" w14:textId="77777777" w:rsidR="007F073C" w:rsidRDefault="00000000">
      <w:pPr>
        <w:pStyle w:val="Prrafodelista"/>
        <w:numPr>
          <w:ilvl w:val="0"/>
          <w:numId w:val="2"/>
        </w:numPr>
        <w:spacing w:before="60" w:after="60" w:line="300" w:lineRule="auto"/>
        <w:jc w:val="both"/>
      </w:pPr>
      <w:r>
        <w:rPr>
          <w:b/>
          <w:bCs/>
        </w:rPr>
        <w:lastRenderedPageBreak/>
        <w:t xml:space="preserve">Considerando 19: </w:t>
      </w:r>
      <w:r>
        <w:t>que «todas las partes de la planta de cáñamo, incluidas las sumidades floridas, deben considerarse productos agrícolas» a efectos del Anexo I del TFUE.</w:t>
      </w:r>
    </w:p>
    <w:p w14:paraId="1C1BAEE9" w14:textId="77777777" w:rsidR="007F073C" w:rsidRDefault="00000000">
      <w:pPr>
        <w:pStyle w:val="Prrafodelista"/>
        <w:numPr>
          <w:ilvl w:val="0"/>
          <w:numId w:val="2"/>
        </w:numPr>
        <w:spacing w:before="60" w:after="60" w:line="300" w:lineRule="auto"/>
        <w:jc w:val="both"/>
      </w:pPr>
      <w:r>
        <w:rPr>
          <w:b/>
          <w:bCs/>
        </w:rPr>
        <w:t xml:space="preserve">Considerando 20: </w:t>
      </w:r>
      <w:r>
        <w:t>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6D11E919" w14:textId="77777777" w:rsidR="007F073C" w:rsidRDefault="00000000">
      <w:pPr>
        <w:pStyle w:val="Prrafodelista"/>
        <w:numPr>
          <w:ilvl w:val="0"/>
          <w:numId w:val="2"/>
        </w:numPr>
        <w:spacing w:before="60" w:after="60" w:line="300" w:lineRule="auto"/>
        <w:jc w:val="both"/>
      </w:pPr>
      <w:r>
        <w:rPr>
          <w:b/>
          <w:bCs/>
        </w:rPr>
        <w:t xml:space="preserve">Considerando 22: </w:t>
      </w:r>
      <w:r>
        <w:t>que las pruebas científicas apuntan a que los productos de cáñamo con contenido máximo de THC del 0,3% «es poco probable que supongan un riesgo para la salud humana», justificando normas armonizadas a escala de la Unión.</w:t>
      </w:r>
    </w:p>
    <w:p w14:paraId="632856B8" w14:textId="77777777" w:rsidR="007F073C" w:rsidRDefault="00000000">
      <w:pPr>
        <w:spacing w:before="80" w:after="80" w:line="320" w:lineRule="auto"/>
        <w:jc w:val="both"/>
      </w:pPr>
      <w:r>
        <w:t>Esta armonización europea en curso despeja toda ambigüedad: el cáñamo industrial es un producto agrícola, sujeto a la OCM, y la divergencia nacional española es precisamente el fenómeno que la propuesta pretende corregir.</w:t>
      </w:r>
    </w:p>
    <w:p w14:paraId="1D93CDC0" w14:textId="77777777" w:rsidR="007F073C" w:rsidRDefault="00000000">
      <w:pPr>
        <w:pStyle w:val="Ttulo2"/>
      </w:pPr>
      <w:r>
        <w:t>7.5 La paradoja regulatoria final</w:t>
      </w:r>
    </w:p>
    <w:p w14:paraId="4A4910B9" w14:textId="77777777" w:rsidR="007F073C" w:rsidRDefault="00000000">
      <w:pPr>
        <w:spacing w:before="80" w:after="80" w:line="320" w:lineRule="auto"/>
        <w:jc w:val="both"/>
      </w:pPr>
      <w:r>
        <w:t>La administración española invoca con frecuencia el «riesgo de desvío al mercado ilícito» como justificación implícita para la inacción regulatoria, especialmente sobre el cultivo de flor. Este argumento, en realidad, opera en sentido inverso al que se le atribuye: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62F8C942"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013581B" w14:textId="77777777" w:rsidR="007F073C" w:rsidRDefault="00000000">
            <w:pPr>
              <w:spacing w:after="80"/>
            </w:pPr>
            <w:r>
              <w:rPr>
                <w:b/>
                <w:bCs/>
                <w:color w:val="1F3864"/>
              </w:rPr>
              <w:t>LA PARADOJA</w:t>
            </w:r>
          </w:p>
          <w:p w14:paraId="3127E7EA" w14:textId="77777777" w:rsidR="007F073C" w:rsidRDefault="00000000">
            <w:r>
              <w:t>El riesgo de desvío al mercado ilícito NO es una característica intrínseca del cáñamo industrial. Es una consecuencia DIRECTA y PREVISIBLE de la falta de un marco regulatorio específico que ordene su cultivo, su trazabilidad y su distribución legal. No regular es la opción MÁS restrictiva de las disponibles, porque genera precisamente el riesgo que dice prevenir. España dispone de modelos análogos (tabaco, vino, lúpulo, adormidera) que demuestran que es perfectamente posible controlar cultivos sensibles sin invocar el régimen de estupefacientes. El no hacerlo es una decisión regulatoria, no una necesidad jurídica.</w:t>
            </w:r>
          </w:p>
        </w:tc>
      </w:tr>
    </w:tbl>
    <w:p w14:paraId="7D4DCD3A" w14:textId="77777777" w:rsidR="007F073C" w:rsidRDefault="00000000">
      <w:pPr>
        <w:spacing w:before="80" w:after="80" w:line="320" w:lineRule="auto"/>
        <w:jc w:val="both"/>
      </w:pPr>
      <w:r>
        <w:t>Desde la perspectiva de competencia, esto se traduce con precisión: la inacción regulatoria es la decisión MÁS distorsionadora del mercado de las que la administración tiene a su disposición, porque impide la competencia legal, perpetúa el mercado ilícito como única alternativa accesible, y protege —de facto— a los operadores extranjeros de aquellas jurisdicciones donde el marco sí existe.</w:t>
      </w:r>
    </w:p>
    <w:p w14:paraId="2CC72B9F" w14:textId="77777777" w:rsidR="007F073C" w:rsidRDefault="00000000">
      <w:r>
        <w:br w:type="page"/>
      </w:r>
    </w:p>
    <w:p w14:paraId="6FE14ED9" w14:textId="77777777" w:rsidR="007F073C" w:rsidRDefault="00000000">
      <w:pPr>
        <w:pStyle w:val="Ttulo1"/>
      </w:pPr>
      <w:r>
        <w:lastRenderedPageBreak/>
        <w:t>8. Peticiones a la CNMC</w:t>
      </w:r>
    </w:p>
    <w:p w14:paraId="319ABDBD" w14:textId="77777777" w:rsidR="007F073C" w:rsidRDefault="00000000">
      <w:pPr>
        <w:spacing w:before="80" w:after="80" w:line="320" w:lineRule="auto"/>
        <w:jc w:val="both"/>
      </w:pPr>
      <w:r>
        <w:t>Recapitulando lo expuesto a lo largo del presente dossier, AECANI traslada a la Comisión Nacional de los Mercados y la Competencia las siguientes peticiones, ordenadas por instrumento jurídico de la propia CNMC:</w:t>
      </w:r>
    </w:p>
    <w:p w14:paraId="186DCC83" w14:textId="77777777" w:rsidR="007F073C" w:rsidRDefault="00000000">
      <w:pPr>
        <w:pStyle w:val="Ttulo2"/>
      </w:pPr>
      <w:r>
        <w:t>Petición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BD8CEC6" w14:textId="77777777">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474B70B1" w14:textId="77777777" w:rsidR="007F073C" w:rsidRDefault="00000000">
            <w:pPr>
              <w:spacing w:after="80"/>
            </w:pPr>
            <w:r>
              <w:rPr>
                <w:b/>
                <w:bCs/>
                <w:color w:val="1F3864"/>
              </w:rPr>
              <w:t>ESTUDIO SECTORIAL · ART. 5.1.h LEY 3/2013</w:t>
            </w:r>
          </w:p>
          <w:p w14:paraId="342F0B7F" w14:textId="77777777" w:rsidR="007F073C" w:rsidRDefault="00000000">
            <w:r>
              <w:t>Apertura por la CNMC de un estudio sectorial específico sobre el mercado del cáñamo industrial y sus productos derivados no estupefacientes en España, abarcando los cuatro eslabones de la cadena de valor (producción agrícola, primera transformación, productos finales medicinales y no medicinales, distribución comercial), con el objetivo de cuantificar el sector, documentar las distorsiones de competencia identificadas y formular recomendaciones al Gobierno para su ordenación racional.</w:t>
            </w:r>
          </w:p>
        </w:tc>
      </w:tr>
    </w:tbl>
    <w:p w14:paraId="178127EC" w14:textId="77777777" w:rsidR="007F073C" w:rsidRDefault="00000000">
      <w:pPr>
        <w:pStyle w:val="Ttulo2"/>
      </w:pPr>
      <w:r>
        <w:t>Peticiones complementarias</w:t>
      </w:r>
    </w:p>
    <w:p w14:paraId="50E53FBB" w14:textId="77777777" w:rsidR="007F073C" w:rsidRDefault="00000000">
      <w:pPr>
        <w:spacing w:before="80" w:after="80" w:line="320" w:lineRule="auto"/>
        <w:jc w:val="both"/>
      </w:pPr>
      <w:r>
        <w:rPr>
          <w:b/>
          <w:bCs/>
          <w:color w:val="1F3864"/>
        </w:rPr>
        <w:t xml:space="preserve">(1) </w:t>
      </w:r>
      <w:r>
        <w:rPr>
          <w:b/>
          <w:bCs/>
        </w:rPr>
        <w:t>Pronunciamiento técnico sobre el artículo 5.2 del RD 903/2025</w:t>
      </w:r>
      <w:r>
        <w:t xml:space="preserve"> y sus efectos sobre la cadena agricultor-laboratorio en el mercado del cannabis medicinal habilitado por la propia norma, con análisis de proporcionalidad y compatibilidad con la libre circulación de mercancías agrícolas (frente 1).</w:t>
      </w:r>
    </w:p>
    <w:p w14:paraId="05CACF37" w14:textId="77777777" w:rsidR="007F073C" w:rsidRDefault="00000000">
      <w:pPr>
        <w:spacing w:before="80" w:after="80" w:line="320" w:lineRule="auto"/>
        <w:jc w:val="both"/>
      </w:pPr>
      <w:r>
        <w:rPr>
          <w:b/>
          <w:bCs/>
          <w:color w:val="1F3864"/>
        </w:rPr>
        <w:t xml:space="preserve">(2) </w:t>
      </w:r>
      <w:r>
        <w:rPr>
          <w:b/>
          <w:bCs/>
        </w:rPr>
        <w:t>Pronunciamiento técnico sobre la equiparación regulatoria del cáñamo no medicinal con los productos del tabaco</w:t>
      </w:r>
      <w:r>
        <w:t xml:space="preserve"> propuesta en el TRIS 2025/0044/ES, en continuidad con la doctrina ya consolidada en los IPN/CNMC/029/22, IPN/CNMC/040/24 e IPN/CNMC/028/25 (frente 2).</w:t>
      </w:r>
    </w:p>
    <w:p w14:paraId="507C2222" w14:textId="77777777" w:rsidR="007F073C" w:rsidRDefault="00000000">
      <w:pPr>
        <w:spacing w:before="80" w:after="80" w:line="320" w:lineRule="auto"/>
        <w:jc w:val="both"/>
      </w:pPr>
      <w:r>
        <w:rPr>
          <w:b/>
          <w:bCs/>
          <w:color w:val="1F3864"/>
        </w:rPr>
        <w:t xml:space="preserve">(3) </w:t>
      </w:r>
      <w:r>
        <w:rPr>
          <w:b/>
          <w:bCs/>
        </w:rPr>
        <w:t>Pronunciamiento técnico sobre el régimen fiscal aplicable</w:t>
      </w:r>
      <w:r>
        <w:t xml:space="preserve"> a los productos derivados del cáñamo industrial, en términos de IVA y de eventual impuesto especial, conforme a los principios de necesidad y proporcionalidad (apartado 6).</w:t>
      </w:r>
    </w:p>
    <w:p w14:paraId="4536522F" w14:textId="77777777" w:rsidR="007F073C" w:rsidRDefault="00000000">
      <w:pPr>
        <w:spacing w:before="80" w:after="80" w:line="320" w:lineRule="auto"/>
        <w:jc w:val="both"/>
      </w:pPr>
      <w:r>
        <w:rPr>
          <w:b/>
          <w:bCs/>
          <w:color w:val="1F3864"/>
        </w:rPr>
        <w:t xml:space="preserve">(4) </w:t>
      </w:r>
      <w:r>
        <w:rPr>
          <w:b/>
          <w:bCs/>
        </w:rPr>
        <w:t>Pronunciamiento técnico sobre la creación de códigos CNAE/IAE específicos</w:t>
      </w:r>
      <w:r>
        <w:t xml:space="preserve"> para el sector, al efecto de permitir su censo, supervisión y tratamiento estadístico diferenciado por las administraciones competentes (apartado 3.4).</w:t>
      </w:r>
    </w:p>
    <w:p w14:paraId="4FFBBB20" w14:textId="77777777" w:rsidR="007F073C" w:rsidRDefault="00000000">
      <w:pPr>
        <w:spacing w:before="80" w:after="80" w:line="320" w:lineRule="auto"/>
        <w:jc w:val="both"/>
      </w:pPr>
      <w:r>
        <w:rPr>
          <w:b/>
          <w:bCs/>
          <w:color w:val="1F3864"/>
        </w:rPr>
        <w:t xml:space="preserve">(5) </w:t>
      </w:r>
      <w:r>
        <w:rPr>
          <w:b/>
          <w:bCs/>
        </w:rPr>
        <w:t>Apertura de procedimiento bajo el artículo 28 LGUM</w:t>
      </w:r>
      <w:r>
        <w:t xml:space="preserve"> por las barreras administrativas detectadas a lo largo del presente dossier que afectan a la libertad de establecimiento y de circulación de los operadores españoles del sector.</w:t>
      </w:r>
    </w:p>
    <w:p w14:paraId="0746A39A" w14:textId="77777777" w:rsidR="007F073C" w:rsidRDefault="00000000">
      <w:pPr>
        <w:spacing w:before="80" w:after="80" w:line="320" w:lineRule="auto"/>
        <w:jc w:val="both"/>
      </w:pPr>
      <w:r>
        <w:rPr>
          <w:b/>
          <w:bCs/>
          <w:color w:val="1F3864"/>
        </w:rPr>
        <w:t xml:space="preserve">(6) </w:t>
      </w:r>
      <w:r>
        <w:rPr>
          <w:b/>
          <w:bCs/>
        </w:rPr>
        <w:t>Establecimiento de un canal de interlocución estable entre AECANI y la CNMC</w:t>
      </w:r>
      <w:r>
        <w:t xml:space="preserve"> para el seguimiento de la evolución del marco regulatorio y la detección temprana de nuevas distorsiones de competencia, en el ámbito de la función consultiva del art. 5.2 de la Ley 3/2013.</w:t>
      </w:r>
    </w:p>
    <w:p w14:paraId="3BFF10C7" w14:textId="77777777" w:rsidR="007F073C" w:rsidRDefault="00000000">
      <w:pPr>
        <w:pStyle w:val="Ttulo2"/>
      </w:pPr>
      <w:r>
        <w:t>Una observación final sobre el momento</w:t>
      </w:r>
    </w:p>
    <w:p w14:paraId="43338739" w14:textId="77777777" w:rsidR="007F073C" w:rsidRDefault="00000000">
      <w:pPr>
        <w:spacing w:before="80" w:after="80" w:line="320" w:lineRule="auto"/>
        <w:jc w:val="both"/>
      </w:pPr>
      <w:r>
        <w:t xml:space="preserve">España se encuentra ante una coyuntura regulatoria sin precedentes en este sector. En el plano europeo, la Propuesta </w:t>
      </w:r>
      <w:proofErr w:type="gramStart"/>
      <w:r>
        <w:t>COM(</w:t>
      </w:r>
      <w:proofErr w:type="gramEnd"/>
      <w:r>
        <w:t xml:space="preserve">2025) 553 final está en tramitación. En el plano nacional, el RD 903/2025 acaba de </w:t>
      </w:r>
      <w:r>
        <w:lastRenderedPageBreak/>
        <w:t>entrar en vigor con una construcción que está siendo cuestionada en sede jurisdiccional, y el TRIS 2025/0044/ES propone una opción regulatoria sobre el cáñamo no medicinal que, en su redacción actual, va en sentido contrario a la doctrina ya consolidada de la propia CNMC sobre productos colindantes.</w:t>
      </w:r>
    </w:p>
    <w:p w14:paraId="2AD762E3" w14:textId="77777777" w:rsidR="007F073C" w:rsidRDefault="00000000">
      <w:pPr>
        <w:spacing w:before="80" w:after="80" w:line="320" w:lineRule="auto"/>
        <w:jc w:val="both"/>
      </w:pPr>
      <w:r>
        <w:t>Pronunciarse hoy permite a la CNMC contribuir, desde la perspectiva técnica de la competencia que es su mandato, a que el conjunto de decisiones regulatorias en marcha alcance un equilibrio coherente, proporcionado y respetuoso con el Derecho de la Unión. Pronunciarse mañana, una vez consolidadas las decisiones, sería más costoso para todos los operadores y para el propio interés público que el regulador de competencia tutela.</w:t>
      </w:r>
    </w:p>
    <w:p w14:paraId="23F95564" w14:textId="77777777" w:rsidR="007F073C" w:rsidRDefault="00000000">
      <w:pPr>
        <w:spacing w:before="80" w:after="80" w:line="320" w:lineRule="auto"/>
        <w:jc w:val="both"/>
      </w:pPr>
      <w:r>
        <w:rPr>
          <w:i/>
          <w:iCs/>
        </w:rPr>
        <w:t>AECANI agradece anticipadamente a la CNMC la atención prestada al presente dossier y queda a su disposición para ampliar, contrastar o profundizar en cualquiera de los puntos expuestos.</w:t>
      </w:r>
    </w:p>
    <w:p w14:paraId="2F4D9646" w14:textId="77777777" w:rsidR="007F073C" w:rsidRDefault="007F073C">
      <w:pPr>
        <w:spacing w:before="80" w:after="80"/>
      </w:pPr>
    </w:p>
    <w:p w14:paraId="4E8AD711" w14:textId="77777777" w:rsidR="007F073C" w:rsidRDefault="007F073C">
      <w:pPr>
        <w:spacing w:before="80" w:after="80"/>
      </w:pPr>
    </w:p>
    <w:p w14:paraId="3F6986A3" w14:textId="77777777" w:rsidR="007F073C" w:rsidRDefault="00000000">
      <w:pPr>
        <w:spacing w:before="80" w:after="80" w:line="320" w:lineRule="auto"/>
        <w:jc w:val="right"/>
      </w:pPr>
      <w:r>
        <w:rPr>
          <w:i/>
          <w:iCs/>
        </w:rPr>
        <w:t>En Barcelona, abril de 2026.</w:t>
      </w:r>
    </w:p>
    <w:p w14:paraId="4E5EDE6D" w14:textId="77777777" w:rsidR="007F073C" w:rsidRDefault="007F073C">
      <w:pPr>
        <w:spacing w:before="80" w:after="80"/>
      </w:pPr>
    </w:p>
    <w:p w14:paraId="2887D2D1" w14:textId="77777777" w:rsidR="007F073C" w:rsidRDefault="00000000">
      <w:pPr>
        <w:spacing w:before="80" w:after="80" w:line="320" w:lineRule="auto"/>
        <w:jc w:val="right"/>
      </w:pPr>
      <w:r>
        <w:rPr>
          <w:b/>
          <w:bCs/>
        </w:rPr>
        <w:t>Isidre Carballido</w:t>
      </w:r>
    </w:p>
    <w:p w14:paraId="7DAF5FE2" w14:textId="77777777" w:rsidR="007F073C" w:rsidRDefault="00000000">
      <w:pPr>
        <w:spacing w:before="80" w:after="80" w:line="320" w:lineRule="auto"/>
        <w:jc w:val="right"/>
      </w:pPr>
      <w:r>
        <w:rPr>
          <w:i/>
          <w:iCs/>
          <w:color w:val="606060"/>
        </w:rPr>
        <w:t>Presidente · AECANI</w:t>
      </w:r>
    </w:p>
    <w:p w14:paraId="4BFE57A3" w14:textId="77777777" w:rsidR="007F073C" w:rsidRDefault="00000000">
      <w:r>
        <w:br w:type="page"/>
      </w:r>
    </w:p>
    <w:p w14:paraId="7774EFD6" w14:textId="77777777" w:rsidR="007F073C" w:rsidRDefault="00000000">
      <w:pPr>
        <w:pStyle w:val="Ttulo1"/>
      </w:pPr>
      <w:r>
        <w:lastRenderedPageBreak/>
        <w:t>9. Documentación de referencia</w:t>
      </w:r>
    </w:p>
    <w:p w14:paraId="5C21ECF6" w14:textId="77777777" w:rsidR="007F073C" w:rsidRDefault="00000000">
      <w:pPr>
        <w:spacing w:before="80" w:after="80" w:line="320" w:lineRule="auto"/>
        <w:jc w:val="both"/>
      </w:pPr>
      <w:r>
        <w:t>El presente dossier se acompaña, como soporte documental, de las siguientes referencias normativas, jurisprudenciales, científicas e informativas, organizadas por bloques temáticos.</w:t>
      </w:r>
    </w:p>
    <w:p w14:paraId="1C8C7BE6" w14:textId="77777777" w:rsidR="007F073C" w:rsidRDefault="00000000">
      <w:pPr>
        <w:pStyle w:val="Ttulo2"/>
      </w:pPr>
      <w:r>
        <w:t>Marco competencial CNMC</w:t>
      </w:r>
    </w:p>
    <w:p w14:paraId="5479FAEC" w14:textId="77777777" w:rsidR="007F073C" w:rsidRDefault="00000000">
      <w:pPr>
        <w:pStyle w:val="Prrafodelista"/>
        <w:numPr>
          <w:ilvl w:val="0"/>
          <w:numId w:val="2"/>
        </w:numPr>
        <w:spacing w:before="60" w:after="60" w:line="300" w:lineRule="auto"/>
        <w:jc w:val="both"/>
      </w:pPr>
      <w:r>
        <w:t>Ley 3/2013, de 4 de junio, de creación de la Comisión Nacional de los Mercados y la Competencia (BOE-A-2013-5940), arts. 1, 5.1.a, 5.1.h y 5.4.</w:t>
      </w:r>
    </w:p>
    <w:p w14:paraId="669C1DCD" w14:textId="77777777" w:rsidR="007F073C" w:rsidRDefault="00000000">
      <w:pPr>
        <w:pStyle w:val="Prrafodelista"/>
        <w:numPr>
          <w:ilvl w:val="0"/>
          <w:numId w:val="2"/>
        </w:numPr>
        <w:spacing w:before="60" w:after="60" w:line="300" w:lineRule="auto"/>
        <w:jc w:val="both"/>
      </w:pPr>
      <w:r>
        <w:t>Ley 20/2013, de 9 de diciembre, de garantía de la unidad de mercado (BOE-A-2013-12888), arts. 5, 26, 27 y 28.</w:t>
      </w:r>
    </w:p>
    <w:p w14:paraId="0E303B29" w14:textId="77777777" w:rsidR="007F073C" w:rsidRDefault="00000000">
      <w:pPr>
        <w:pStyle w:val="Prrafodelista"/>
        <w:numPr>
          <w:ilvl w:val="0"/>
          <w:numId w:val="2"/>
        </w:numPr>
        <w:spacing w:before="60" w:after="60" w:line="300" w:lineRule="auto"/>
        <w:jc w:val="both"/>
      </w:pPr>
      <w:r>
        <w:t>Ley 15/2007, de 3 de julio, de Defensa de la Competencia.</w:t>
      </w:r>
    </w:p>
    <w:p w14:paraId="6B5A46C5" w14:textId="77777777" w:rsidR="007F073C" w:rsidRDefault="00000000">
      <w:pPr>
        <w:pStyle w:val="Ttulo2"/>
      </w:pPr>
      <w:r>
        <w:t>Precedentes CNMC propios</w:t>
      </w:r>
    </w:p>
    <w:p w14:paraId="0159DA39" w14:textId="77777777" w:rsidR="007F073C" w:rsidRDefault="00000000">
      <w:pPr>
        <w:pStyle w:val="Prrafodelista"/>
        <w:numPr>
          <w:ilvl w:val="0"/>
          <w:numId w:val="2"/>
        </w:numPr>
        <w:spacing w:before="60" w:after="60" w:line="300" w:lineRule="auto"/>
        <w:jc w:val="both"/>
      </w:pPr>
      <w:r>
        <w:t>IPN/CNMC/029/22 — Anteproyecto de Ley del Mercado de Tabacos y otros productos relacionados.</w:t>
      </w:r>
    </w:p>
    <w:p w14:paraId="6F156A7C" w14:textId="77777777" w:rsidR="007F073C" w:rsidRDefault="00000000">
      <w:pPr>
        <w:pStyle w:val="Prrafodelista"/>
        <w:numPr>
          <w:ilvl w:val="0"/>
          <w:numId w:val="2"/>
        </w:numPr>
        <w:spacing w:before="60" w:after="60" w:line="300" w:lineRule="auto"/>
        <w:jc w:val="both"/>
      </w:pPr>
      <w:r>
        <w:t>IPN/CNMC/040/24 — Proyecto de Real Decreto sobre fabricación, presentación y comercialización de los productos del tabaco y los productos relacionados (Informe del Consejo, 18 de febrero de 2025).</w:t>
      </w:r>
    </w:p>
    <w:p w14:paraId="23A31694" w14:textId="77777777" w:rsidR="007F073C" w:rsidRDefault="00000000">
      <w:pPr>
        <w:pStyle w:val="Prrafodelista"/>
        <w:numPr>
          <w:ilvl w:val="0"/>
          <w:numId w:val="2"/>
        </w:numPr>
        <w:spacing w:before="60" w:after="60" w:line="300" w:lineRule="auto"/>
        <w:jc w:val="both"/>
      </w:pPr>
      <w:r>
        <w:t>IPN/CNMC/028/25 — Anteproyecto de Ley de modificación de la Ley 28/2005 (Informe del Consejo, diciembre de 2025).</w:t>
      </w:r>
    </w:p>
    <w:p w14:paraId="42A5F0A0" w14:textId="77777777" w:rsidR="007F073C" w:rsidRDefault="00000000">
      <w:pPr>
        <w:pStyle w:val="Prrafodelista"/>
        <w:numPr>
          <w:ilvl w:val="0"/>
          <w:numId w:val="2"/>
        </w:numPr>
        <w:spacing w:before="60" w:after="60" w:line="300" w:lineRule="auto"/>
        <w:jc w:val="both"/>
      </w:pPr>
      <w:r>
        <w:t>IPN/CNMC/018/23 — PRD modificación RD aspectos fabricación, presentación y comercialización productos tabaco.</w:t>
      </w:r>
    </w:p>
    <w:p w14:paraId="730D0130" w14:textId="77777777" w:rsidR="007F073C" w:rsidRDefault="00000000">
      <w:pPr>
        <w:pStyle w:val="Ttulo2"/>
      </w:pPr>
      <w:r>
        <w:t>Marco regulatorio europeo</w:t>
      </w:r>
    </w:p>
    <w:p w14:paraId="54F39130" w14:textId="77777777" w:rsidR="007F073C" w:rsidRDefault="00000000">
      <w:pPr>
        <w:pStyle w:val="Prrafodelista"/>
        <w:numPr>
          <w:ilvl w:val="0"/>
          <w:numId w:val="2"/>
        </w:numPr>
        <w:spacing w:before="60" w:after="60" w:line="300" w:lineRule="auto"/>
        <w:jc w:val="both"/>
      </w:pPr>
      <w:r>
        <w:t xml:space="preserve">Propuesta </w:t>
      </w:r>
      <w:proofErr w:type="gramStart"/>
      <w:r>
        <w:t>COM(</w:t>
      </w:r>
      <w:proofErr w:type="gramEnd"/>
      <w:r>
        <w:t>2025) 553 final — modificación del Reglamento (UE) 1308/2013 (OCM).</w:t>
      </w:r>
    </w:p>
    <w:p w14:paraId="1F15B6EE" w14:textId="77777777" w:rsidR="007F073C" w:rsidRDefault="00000000">
      <w:pPr>
        <w:pStyle w:val="Prrafodelista"/>
        <w:numPr>
          <w:ilvl w:val="0"/>
          <w:numId w:val="2"/>
        </w:numPr>
        <w:spacing w:before="60" w:after="60" w:line="300" w:lineRule="auto"/>
        <w:jc w:val="both"/>
      </w:pPr>
      <w:r>
        <w:t>Reglamento (UE) 2021/2115 sobre la Política Agrícola Común (umbral 0,3% THC).</w:t>
      </w:r>
    </w:p>
    <w:p w14:paraId="1F178FCC" w14:textId="77777777" w:rsidR="007F073C" w:rsidRDefault="00000000">
      <w:pPr>
        <w:pStyle w:val="Prrafodelista"/>
        <w:numPr>
          <w:ilvl w:val="0"/>
          <w:numId w:val="2"/>
        </w:numPr>
        <w:spacing w:before="60" w:after="60" w:line="300" w:lineRule="auto"/>
        <w:jc w:val="both"/>
      </w:pPr>
      <w:r>
        <w:t>Reglamento (UE) 1308/2013 (OCM única).</w:t>
      </w:r>
    </w:p>
    <w:p w14:paraId="65F43596" w14:textId="77777777" w:rsidR="007F073C" w:rsidRDefault="00000000">
      <w:pPr>
        <w:pStyle w:val="Prrafodelista"/>
        <w:numPr>
          <w:ilvl w:val="0"/>
          <w:numId w:val="2"/>
        </w:numPr>
        <w:spacing w:before="60" w:after="60" w:line="300" w:lineRule="auto"/>
        <w:jc w:val="both"/>
      </w:pPr>
      <w:r>
        <w:t xml:space="preserve">Directiva 2014/40/UE (Tobacco </w:t>
      </w:r>
      <w:proofErr w:type="spellStart"/>
      <w:r>
        <w:t>Products</w:t>
      </w:r>
      <w:proofErr w:type="spellEnd"/>
      <w:r>
        <w:t xml:space="preserve"> Directive — TPD), art. 2.4 (productos a base de hierbas para fumar).</w:t>
      </w:r>
    </w:p>
    <w:p w14:paraId="64B8A956" w14:textId="77777777" w:rsidR="007F073C" w:rsidRDefault="00000000">
      <w:pPr>
        <w:pStyle w:val="Prrafodelista"/>
        <w:numPr>
          <w:ilvl w:val="0"/>
          <w:numId w:val="2"/>
        </w:numPr>
        <w:spacing w:before="60" w:after="60" w:line="300" w:lineRule="auto"/>
        <w:jc w:val="both"/>
      </w:pPr>
      <w:r>
        <w:t>Reglamento (CE) 1223/2009 sobre cosméticos.</w:t>
      </w:r>
    </w:p>
    <w:p w14:paraId="1B452D06" w14:textId="77777777" w:rsidR="007F073C" w:rsidRDefault="00000000">
      <w:pPr>
        <w:pStyle w:val="Prrafodelista"/>
        <w:numPr>
          <w:ilvl w:val="0"/>
          <w:numId w:val="2"/>
        </w:numPr>
        <w:spacing w:before="60" w:after="60" w:line="300" w:lineRule="auto"/>
        <w:jc w:val="both"/>
      </w:pPr>
      <w:r>
        <w:t xml:space="preserve">Reglamento (UE) 2015/2283 sobre Novel </w:t>
      </w:r>
      <w:proofErr w:type="spellStart"/>
      <w:r>
        <w:t>Foods</w:t>
      </w:r>
      <w:proofErr w:type="spellEnd"/>
      <w:r>
        <w:t>.</w:t>
      </w:r>
    </w:p>
    <w:p w14:paraId="47DCFE6B" w14:textId="77777777" w:rsidR="007F073C" w:rsidRDefault="00000000">
      <w:pPr>
        <w:pStyle w:val="Prrafodelista"/>
        <w:numPr>
          <w:ilvl w:val="0"/>
          <w:numId w:val="2"/>
        </w:numPr>
        <w:spacing w:before="60" w:after="60" w:line="300" w:lineRule="auto"/>
        <w:jc w:val="both"/>
      </w:pPr>
      <w:r>
        <w:t>Decisión (UE) 2021/3 del Consejo, de 23 de noviembre de 2020 (eliminación cannabis Lista IV CN61).</w:t>
      </w:r>
    </w:p>
    <w:p w14:paraId="04193467" w14:textId="77777777" w:rsidR="007F073C" w:rsidRDefault="00000000">
      <w:pPr>
        <w:pStyle w:val="Ttulo2"/>
      </w:pPr>
      <w:r>
        <w:t>Jurisprudencia y régimen internacional</w:t>
      </w:r>
    </w:p>
    <w:p w14:paraId="55FC0B9D" w14:textId="77777777" w:rsidR="007F073C" w:rsidRDefault="00000000">
      <w:pPr>
        <w:pStyle w:val="Prrafodelista"/>
        <w:numPr>
          <w:ilvl w:val="0"/>
          <w:numId w:val="2"/>
        </w:numPr>
        <w:spacing w:before="60" w:after="60" w:line="300" w:lineRule="auto"/>
        <w:jc w:val="both"/>
      </w:pPr>
      <w:r>
        <w:t>STJUE C-663/18 (</w:t>
      </w:r>
      <w:proofErr w:type="spellStart"/>
      <w:r>
        <w:t>Kanavape</w:t>
      </w:r>
      <w:proofErr w:type="spellEnd"/>
      <w:r>
        <w:t>), de 19 de noviembre de 2020.</w:t>
      </w:r>
    </w:p>
    <w:p w14:paraId="415668B7" w14:textId="77777777" w:rsidR="007F073C" w:rsidRDefault="00000000">
      <w:pPr>
        <w:pStyle w:val="Prrafodelista"/>
        <w:numPr>
          <w:ilvl w:val="0"/>
          <w:numId w:val="2"/>
        </w:numPr>
        <w:spacing w:before="60" w:after="60" w:line="300" w:lineRule="auto"/>
        <w:jc w:val="both"/>
      </w:pPr>
      <w:r>
        <w:t>STJUE C-462/01 (Hammarsten), de 16 de enero de 2003.</w:t>
      </w:r>
    </w:p>
    <w:p w14:paraId="2AFC16CA" w14:textId="77777777" w:rsidR="00C53E82" w:rsidRDefault="00000000">
      <w:pPr>
        <w:pStyle w:val="Prrafodelista"/>
      </w:pPr>
      <w:r>
        <w:t>STJUE C-324/93 Evans Medical y Macfarlan Smith, de 28 de marzo de 1995.</w:t>
      </w:r>
    </w:p>
    <w:p w14:paraId="240302D9" w14:textId="77777777" w:rsidR="007F073C" w:rsidRDefault="00000000">
      <w:pPr>
        <w:pStyle w:val="Prrafodelista"/>
        <w:numPr>
          <w:ilvl w:val="0"/>
          <w:numId w:val="2"/>
        </w:numPr>
        <w:spacing w:before="60" w:after="60" w:line="300" w:lineRule="auto"/>
        <w:jc w:val="both"/>
      </w:pPr>
      <w:r>
        <w:lastRenderedPageBreak/>
        <w:t>Convención Única sobre Estupefacientes de 1961 (CN61), Naciones Unidas, art. 28.2.</w:t>
      </w:r>
    </w:p>
    <w:p w14:paraId="229112E7" w14:textId="77777777" w:rsidR="007F073C" w:rsidRDefault="00000000">
      <w:pPr>
        <w:pStyle w:val="Prrafodelista"/>
        <w:numPr>
          <w:ilvl w:val="0"/>
          <w:numId w:val="2"/>
        </w:numPr>
        <w:spacing w:before="60" w:after="60" w:line="300" w:lineRule="auto"/>
        <w:jc w:val="both"/>
      </w:pPr>
      <w:r>
        <w:t>Carta circular JIFE / INCB Ref. E/INCB/NAR/C.L.20/2024, de 16 de diciembre de 2024.</w:t>
      </w:r>
    </w:p>
    <w:p w14:paraId="328EFA1E" w14:textId="77777777" w:rsidR="007F073C" w:rsidRDefault="00000000">
      <w:pPr>
        <w:pStyle w:val="Prrafodelista"/>
        <w:numPr>
          <w:ilvl w:val="0"/>
          <w:numId w:val="2"/>
        </w:numPr>
        <w:spacing w:before="60" w:after="60" w:line="300" w:lineRule="auto"/>
        <w:jc w:val="both"/>
      </w:pPr>
      <w:r>
        <w:t>Convención de Viena sobre el Derecho de los Tratados (1969), art. 31.</w:t>
      </w:r>
    </w:p>
    <w:p w14:paraId="321E0E57" w14:textId="77777777" w:rsidR="007F073C" w:rsidRDefault="00000000">
      <w:pPr>
        <w:pStyle w:val="Ttulo2"/>
      </w:pPr>
      <w:r>
        <w:t>Marco regulatorio español</w:t>
      </w:r>
    </w:p>
    <w:p w14:paraId="4618F759" w14:textId="77777777" w:rsidR="007F073C" w:rsidRDefault="00000000">
      <w:pPr>
        <w:pStyle w:val="Prrafodelista"/>
        <w:numPr>
          <w:ilvl w:val="0"/>
          <w:numId w:val="2"/>
        </w:numPr>
        <w:spacing w:before="60" w:after="60" w:line="300" w:lineRule="auto"/>
        <w:jc w:val="both"/>
      </w:pPr>
      <w:r>
        <w:t>Real Decreto 903/2025, de 7 de octubre, sobre cannabis medicinal — art. 5.2.</w:t>
      </w:r>
    </w:p>
    <w:p w14:paraId="46D5DFB5" w14:textId="77777777" w:rsidR="007F073C" w:rsidRDefault="00000000">
      <w:pPr>
        <w:pStyle w:val="Prrafodelista"/>
        <w:numPr>
          <w:ilvl w:val="0"/>
          <w:numId w:val="2"/>
        </w:numPr>
        <w:spacing w:before="60" w:after="60" w:line="300" w:lineRule="auto"/>
        <w:jc w:val="both"/>
      </w:pPr>
      <w:r>
        <w:t>Real Decreto 579/2017 sobre fabricación, presentación y comercialización de productos del tabaco y productos relacionados.</w:t>
      </w:r>
    </w:p>
    <w:p w14:paraId="15F3FC72" w14:textId="77777777" w:rsidR="007F073C" w:rsidRDefault="00000000">
      <w:pPr>
        <w:pStyle w:val="Prrafodelista"/>
        <w:numPr>
          <w:ilvl w:val="0"/>
          <w:numId w:val="2"/>
        </w:numPr>
        <w:spacing w:before="60" w:after="60" w:line="300" w:lineRule="auto"/>
        <w:jc w:val="both"/>
      </w:pPr>
      <w:r>
        <w:t>Notificación TRIS 2025/0044/ES — anteproyecto de modificación del RD 579/2017.</w:t>
      </w:r>
    </w:p>
    <w:p w14:paraId="4C286526" w14:textId="77777777" w:rsidR="007F073C" w:rsidRDefault="00000000">
      <w:pPr>
        <w:pStyle w:val="Prrafodelista"/>
        <w:numPr>
          <w:ilvl w:val="0"/>
          <w:numId w:val="2"/>
        </w:numPr>
        <w:spacing w:before="60" w:after="60" w:line="300" w:lineRule="auto"/>
        <w:jc w:val="both"/>
      </w:pPr>
      <w:r>
        <w:t>Ley 38/1992 de Impuestos Especiales (régimen impuestos especiales sobre labores del tabaco).</w:t>
      </w:r>
    </w:p>
    <w:p w14:paraId="44BD4470" w14:textId="77777777" w:rsidR="007F073C" w:rsidRDefault="00000000">
      <w:pPr>
        <w:pStyle w:val="Prrafodelista"/>
        <w:numPr>
          <w:ilvl w:val="0"/>
          <w:numId w:val="2"/>
        </w:numPr>
        <w:spacing w:before="60" w:after="60" w:line="300" w:lineRule="auto"/>
        <w:jc w:val="both"/>
      </w:pPr>
      <w:r>
        <w:t xml:space="preserve">Recurso contencioso-administrativo </w:t>
      </w:r>
      <w:proofErr w:type="spellStart"/>
      <w:r>
        <w:t>nº</w:t>
      </w:r>
      <w:proofErr w:type="spellEnd"/>
      <w:r>
        <w:t xml:space="preserve"> 395/2025, Sala Tercera-Sección Cuarta del Tribunal Supremo, Cannabis </w:t>
      </w:r>
      <w:proofErr w:type="gramStart"/>
      <w:r>
        <w:t>Hub</w:t>
      </w:r>
      <w:proofErr w:type="gramEnd"/>
      <w:r>
        <w:t xml:space="preserve"> vs. Administración del Estado; demanda formalizada el 10 de marzo de 2026 (dirección letrada Baño León).</w:t>
      </w:r>
    </w:p>
    <w:p w14:paraId="2BF74A2A" w14:textId="77777777" w:rsidR="007F073C" w:rsidRDefault="00000000">
      <w:pPr>
        <w:pStyle w:val="Ttulo2"/>
      </w:pPr>
      <w:r>
        <w:t>Datos de mercado</w:t>
      </w:r>
    </w:p>
    <w:p w14:paraId="48E5000E" w14:textId="77777777" w:rsidR="007F073C" w:rsidRDefault="00000000">
      <w:pPr>
        <w:pStyle w:val="Prrafodelista"/>
        <w:numPr>
          <w:ilvl w:val="0"/>
          <w:numId w:val="2"/>
        </w:numPr>
        <w:spacing w:before="60" w:after="60" w:line="300" w:lineRule="auto"/>
        <w:jc w:val="both"/>
      </w:pPr>
      <w:r>
        <w:t xml:space="preserve">Informe </w:t>
      </w:r>
      <w:proofErr w:type="spellStart"/>
      <w:r>
        <w:t>Cannamonitor</w:t>
      </w:r>
      <w:proofErr w:type="spellEnd"/>
      <w:r>
        <w:t xml:space="preserve"> — Mercado del Cannabis en España (edición octubre 2025).</w:t>
      </w:r>
    </w:p>
    <w:p w14:paraId="143FE7EA" w14:textId="77777777" w:rsidR="007F073C" w:rsidRDefault="00000000">
      <w:pPr>
        <w:pStyle w:val="Prrafodelista"/>
        <w:numPr>
          <w:ilvl w:val="0"/>
          <w:numId w:val="2"/>
        </w:numPr>
        <w:spacing w:before="60" w:after="60" w:line="300" w:lineRule="auto"/>
        <w:jc w:val="both"/>
      </w:pPr>
      <w:r>
        <w:t>EDADES 2024 (Observatorio Español de las Drogas y las Adicciones, OEDA).</w:t>
      </w:r>
    </w:p>
    <w:p w14:paraId="72B0B2C7" w14:textId="77777777" w:rsidR="007F073C" w:rsidRDefault="00000000">
      <w:pPr>
        <w:pStyle w:val="Prrafodelista"/>
        <w:numPr>
          <w:ilvl w:val="0"/>
          <w:numId w:val="2"/>
        </w:numPr>
        <w:spacing w:before="60" w:after="60" w:line="300" w:lineRule="auto"/>
        <w:jc w:val="both"/>
      </w:pPr>
      <w:r>
        <w:t>Datos sectoriales agregados de AECANI.</w:t>
      </w:r>
    </w:p>
    <w:p w14:paraId="7FC77406" w14:textId="77777777" w:rsidR="007F073C" w:rsidRDefault="00000000">
      <w:pPr>
        <w:pStyle w:val="Ttulo2"/>
      </w:pPr>
      <w:r>
        <w:t>Evidencia científica relevante</w:t>
      </w:r>
    </w:p>
    <w:p w14:paraId="21BB1493" w14:textId="77777777" w:rsidR="007F073C" w:rsidRDefault="00000000">
      <w:pPr>
        <w:pStyle w:val="Prrafodelista"/>
        <w:numPr>
          <w:ilvl w:val="0"/>
          <w:numId w:val="2"/>
        </w:numPr>
        <w:spacing w:before="60" w:after="60" w:line="300" w:lineRule="auto"/>
        <w:jc w:val="both"/>
      </w:pPr>
      <w:proofErr w:type="spellStart"/>
      <w:r>
        <w:t>Tashkin</w:t>
      </w:r>
      <w:proofErr w:type="spellEnd"/>
      <w:r>
        <w:t xml:space="preserve"> D.P. et al. — Programa de investigación UCLA financiado por NIDA (Grant R01-DA03018, 1988-2018): NEJM 1988; </w:t>
      </w:r>
      <w:proofErr w:type="spellStart"/>
      <w:r>
        <w:t>Pharmacol</w:t>
      </w:r>
      <w:proofErr w:type="spellEnd"/>
      <w:r>
        <w:t xml:space="preserve"> </w:t>
      </w:r>
      <w:proofErr w:type="spellStart"/>
      <w:r>
        <w:t>Biochem</w:t>
      </w:r>
      <w:proofErr w:type="spellEnd"/>
      <w:r>
        <w:t xml:space="preserve"> </w:t>
      </w:r>
      <w:proofErr w:type="spellStart"/>
      <w:r>
        <w:t>Behav</w:t>
      </w:r>
      <w:proofErr w:type="spellEnd"/>
      <w:r>
        <w:t xml:space="preserve"> 1991; </w:t>
      </w:r>
      <w:proofErr w:type="spellStart"/>
      <w:r>
        <w:t>Hashibe</w:t>
      </w:r>
      <w:proofErr w:type="spellEnd"/>
      <w:r>
        <w:t xml:space="preserve"> et al. Cancer </w:t>
      </w:r>
      <w:proofErr w:type="spellStart"/>
      <w:r>
        <w:t>Epidemiology</w:t>
      </w:r>
      <w:proofErr w:type="spellEnd"/>
      <w:r>
        <w:t xml:space="preserve"> 2006; </w:t>
      </w:r>
      <w:proofErr w:type="spellStart"/>
      <w:r>
        <w:t>Annals</w:t>
      </w:r>
      <w:proofErr w:type="spellEnd"/>
      <w:r>
        <w:t xml:space="preserve"> ATS 2013; Chest 2018.</w:t>
      </w:r>
    </w:p>
    <w:p w14:paraId="211111C3" w14:textId="77777777" w:rsidR="007F073C" w:rsidRDefault="00000000">
      <w:pPr>
        <w:pStyle w:val="Prrafodelista"/>
        <w:numPr>
          <w:ilvl w:val="0"/>
          <w:numId w:val="2"/>
        </w:numPr>
        <w:spacing w:before="60" w:after="60" w:line="300" w:lineRule="auto"/>
        <w:jc w:val="both"/>
      </w:pPr>
      <w:r>
        <w:t xml:space="preserve">Zobel F., Notari L., Schneider E. (2019) — </w:t>
      </w:r>
      <w:proofErr w:type="spellStart"/>
      <w:r>
        <w:t>Cannabidiol</w:t>
      </w:r>
      <w:proofErr w:type="spellEnd"/>
      <w:r>
        <w:t xml:space="preserve">: </w:t>
      </w:r>
      <w:proofErr w:type="spellStart"/>
      <w:r>
        <w:t>analyse</w:t>
      </w:r>
      <w:proofErr w:type="spellEnd"/>
      <w:r>
        <w:t xml:space="preserve"> de </w:t>
      </w:r>
      <w:proofErr w:type="spellStart"/>
      <w:r>
        <w:t>situation</w:t>
      </w:r>
      <w:proofErr w:type="spellEnd"/>
      <w:r>
        <w:t xml:space="preserve">. Office </w:t>
      </w:r>
      <w:proofErr w:type="spellStart"/>
      <w:r>
        <w:t>Fédéral</w:t>
      </w:r>
      <w:proofErr w:type="spellEnd"/>
      <w:r>
        <w:t xml:space="preserve"> de la </w:t>
      </w:r>
      <w:proofErr w:type="spellStart"/>
      <w:r>
        <w:t>Santé</w:t>
      </w:r>
      <w:proofErr w:type="spellEnd"/>
      <w:r>
        <w:t xml:space="preserve"> Publique, Suiza.</w:t>
      </w:r>
    </w:p>
    <w:p w14:paraId="26E32ED2" w14:textId="77777777" w:rsidR="007F073C" w:rsidRDefault="00000000">
      <w:pPr>
        <w:pStyle w:val="Prrafodelista"/>
        <w:numPr>
          <w:ilvl w:val="0"/>
          <w:numId w:val="2"/>
        </w:numPr>
        <w:spacing w:before="60" w:after="60" w:line="300" w:lineRule="auto"/>
        <w:jc w:val="both"/>
      </w:pPr>
      <w:r>
        <w:t xml:space="preserve">Weed Care Basel — primer ensayo controlado aleatorizado mundial sobre acceso legal regulado al cannabis adulto. </w:t>
      </w:r>
      <w:proofErr w:type="spellStart"/>
      <w:r>
        <w:t>Addiction</w:t>
      </w:r>
      <w:proofErr w:type="spellEnd"/>
      <w:r>
        <w:t xml:space="preserve"> (2025).</w:t>
      </w:r>
    </w:p>
    <w:p w14:paraId="748804FA" w14:textId="77777777" w:rsidR="007F073C" w:rsidRDefault="00000000">
      <w:pPr>
        <w:pStyle w:val="Ttulo2"/>
      </w:pPr>
      <w:r>
        <w:t>Documentación AECANI complementaria</w:t>
      </w:r>
    </w:p>
    <w:p w14:paraId="2133F118" w14:textId="77777777" w:rsidR="007F073C" w:rsidRDefault="00000000">
      <w:pPr>
        <w:pStyle w:val="Prrafodelista"/>
        <w:numPr>
          <w:ilvl w:val="0"/>
          <w:numId w:val="2"/>
        </w:numPr>
        <w:spacing w:before="60" w:after="60" w:line="300" w:lineRule="auto"/>
        <w:jc w:val="both"/>
      </w:pPr>
      <w:r>
        <w:t>Manifiesto AECANI «Sentido Común».</w:t>
      </w:r>
    </w:p>
    <w:p w14:paraId="60B4EC60" w14:textId="77777777" w:rsidR="007F073C" w:rsidRDefault="00000000">
      <w:pPr>
        <w:pStyle w:val="Prrafodelista"/>
        <w:numPr>
          <w:ilvl w:val="0"/>
          <w:numId w:val="2"/>
        </w:numPr>
        <w:spacing w:before="60" w:after="60" w:line="300" w:lineRule="auto"/>
        <w:jc w:val="both"/>
      </w:pPr>
      <w:r>
        <w:t>Comentario TRIS AECANI sobre TRIS 2025/0044/ES (modificación RD 579/2017).</w:t>
      </w:r>
    </w:p>
    <w:p w14:paraId="17DD03BB" w14:textId="77777777" w:rsidR="007F073C" w:rsidRDefault="00000000">
      <w:pPr>
        <w:pStyle w:val="Prrafodelista"/>
        <w:numPr>
          <w:ilvl w:val="0"/>
          <w:numId w:val="2"/>
        </w:numPr>
        <w:spacing w:before="60" w:after="60" w:line="300" w:lineRule="auto"/>
        <w:jc w:val="both"/>
      </w:pPr>
      <w:r>
        <w:t>Propuesta AECANI de Real Decreto sobre control de cultivos y primera transformación (documento de trabajo, marzo 2026).</w:t>
      </w:r>
    </w:p>
    <w:p w14:paraId="14E4E325" w14:textId="77777777" w:rsidR="007F073C" w:rsidRDefault="00000000">
      <w:pPr>
        <w:pStyle w:val="Prrafodelista"/>
        <w:numPr>
          <w:ilvl w:val="0"/>
          <w:numId w:val="2"/>
        </w:numPr>
        <w:spacing w:before="60" w:after="60" w:line="300" w:lineRule="auto"/>
        <w:jc w:val="both"/>
      </w:pPr>
      <w:r>
        <w:t>Paquete de preguntas parlamentarias al Gobierno (Grupo Parlamentario Republicano, abril 2026).</w:t>
      </w:r>
    </w:p>
    <w:p w14:paraId="2BEABD7D" w14:textId="77777777" w:rsidR="007F073C" w:rsidRDefault="007F073C">
      <w:pPr>
        <w:spacing w:before="80" w:after="80"/>
      </w:pPr>
    </w:p>
    <w:p w14:paraId="67741CFB" w14:textId="77777777" w:rsidR="007F073C" w:rsidRDefault="00000000">
      <w:pPr>
        <w:pStyle w:val="Ttulo2"/>
      </w:pPr>
      <w:r>
        <w:t>Doctrina y posiciones administrativas españolas adicionales</w:t>
      </w:r>
    </w:p>
    <w:p w14:paraId="6C88A857" w14:textId="77777777" w:rsidR="007F073C" w:rsidRDefault="00000000">
      <w:pPr>
        <w:pStyle w:val="Prrafodelista"/>
      </w:pPr>
      <w:r>
        <w:lastRenderedPageBreak/>
        <w:t>Consulta vinculante de la Dirección General de Tributos V2242-22, de 26 de octubre de 2022 (IVA aplicable a las flores de cáñamo industrial).</w:t>
      </w:r>
    </w:p>
    <w:p w14:paraId="51AF05AB" w14:textId="77777777" w:rsidR="007F073C" w:rsidRDefault="00000000">
      <w:pPr>
        <w:pStyle w:val="Prrafodelista"/>
      </w:pPr>
      <w:r>
        <w:t>Circular 3/2020, de 27 de noviembre, del Comisionado para el Mercado de Tabacos sobre comercialización de productos derivados del cannabis en expendedurías.</w:t>
      </w:r>
    </w:p>
    <w:p w14:paraId="427958E6" w14:textId="77777777" w:rsidR="007F073C" w:rsidRDefault="00000000">
      <w:pPr>
        <w:pStyle w:val="Prrafodelista"/>
      </w:pPr>
      <w:r>
        <w:t>Documento de Consenso sobre aplicación de la Ley 28/2005 (Grupo de responsables de tabaquismo MSCBS-CCAA, revisado por Comisión de Salud Pública 13/11/2019).</w:t>
      </w:r>
    </w:p>
    <w:p w14:paraId="445438FC" w14:textId="77777777" w:rsidR="007F073C" w:rsidRDefault="00000000">
      <w:pPr>
        <w:pStyle w:val="Prrafodelista"/>
      </w:pPr>
      <w:r>
        <w:t>Lista positiva oficial de productos a base de hierbas para fumar (Ministerio de Sanidad).</w:t>
      </w:r>
    </w:p>
    <w:p w14:paraId="6E1AF5AF" w14:textId="77777777" w:rsidR="007F073C" w:rsidRDefault="00000000">
      <w:pPr>
        <w:pStyle w:val="Prrafodelista"/>
      </w:pPr>
      <w:r>
        <w:t>Presentación oficial «Impacto del tabaco y las nuevas formas de consumo en la infancia y la adolescencia», Susana Verdejo Fernández (</w:t>
      </w:r>
      <w:proofErr w:type="gramStart"/>
      <w:r>
        <w:t>Jefa</w:t>
      </w:r>
      <w:proofErr w:type="gramEnd"/>
      <w:r>
        <w:t xml:space="preserve"> de Área de Prevención y Control del Tabaquismo, Ministerio de Sanidad), I Jornada de Escuelas Promotoras de Salud, 15/10/2024.</w:t>
      </w:r>
    </w:p>
    <w:p w14:paraId="1B50281F" w14:textId="77777777" w:rsidR="007F073C" w:rsidRDefault="00000000">
      <w:pPr>
        <w:pStyle w:val="Prrafodelista"/>
      </w:pPr>
      <w:r>
        <w:t xml:space="preserve">Informe jurídico de Araceli Manjón-Cabeza Olmeda (Catedrática de Derecho Penal · directora de la Cátedra extraordinaria «Drogas Siglo XXI» — Universidad Complutense de Madrid), encargado por la Asociación Cannabis </w:t>
      </w:r>
      <w:proofErr w:type="gramStart"/>
      <w:r>
        <w:t>Hub</w:t>
      </w:r>
      <w:proofErr w:type="gramEnd"/>
      <w:r>
        <w:t>, sobre la regulación internacional del cáñamo industrial y del CBD (firma digital 14/07/2024).</w:t>
      </w:r>
    </w:p>
    <w:p>
      <w:pPr>
        <w:pStyle w:val="Prrafodelista"/>
      </w:pPr>
      <w:r>
        <w:t>Sequeros Sazatornil, F. — «La venta de semillas de cannabis, de equipos y materiales para su cultivo, así como su propaganda, como actos con trascendencia penal», Diario La Ley, año XXIV, núm. 5713, 6 de febrero de 2003 (Fiscal del Tribunal Supremo).</w:t>
      </w:r>
    </w:p>
    <w:p>
      <w:pPr>
        <w:pStyle w:val="Prrafodelista"/>
      </w:pPr>
      <w:r>
        <w:t>Instrucción del Fiscal de Sala Antidroga de junio de 2021 sobre flor de cáñamo y CBD.</w:t>
      </w:r>
    </w:p>
    <w:p w14:paraId="6D1FF650" w14:textId="77777777" w:rsidR="007F073C" w:rsidRDefault="00000000">
      <w:pPr>
        <w:pStyle w:val="Ttulo2"/>
      </w:pPr>
      <w:r>
        <w:t>Jurisprudencia comparada en materia de cáñamo y régimen del tabaco</w:t>
      </w:r>
    </w:p>
    <w:p w14:paraId="7E395F15" w14:textId="77777777" w:rsidR="007F073C" w:rsidRDefault="00000000">
      <w:pPr>
        <w:pStyle w:val="Prrafodelista"/>
      </w:pPr>
      <w:r>
        <w:t>Conclusiones del Abogado General Sr. E. Tanchev en el asunto TJUE C-663/18 (14/05/2020).</w:t>
      </w:r>
    </w:p>
    <w:p w14:paraId="7A01AAED"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83 de 14 de abril de 2015 (ECLI:</w:t>
      </w:r>
      <w:proofErr w:type="gramStart"/>
      <w:r>
        <w:t>IT:COST</w:t>
      </w:r>
      <w:proofErr w:type="gramEnd"/>
      <w:r>
        <w:t>:2015:83).</w:t>
      </w:r>
    </w:p>
    <w:p w14:paraId="2D074182"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240 de 15 de noviembre de 2017 (ECLI:</w:t>
      </w:r>
      <w:proofErr w:type="gramStart"/>
      <w:r>
        <w:t>IT:COST</w:t>
      </w:r>
      <w:proofErr w:type="gramEnd"/>
      <w:r>
        <w:t>:2017:240).</w:t>
      </w:r>
    </w:p>
    <w:p w14:paraId="0A68D200" w14:textId="77777777" w:rsidR="007F073C" w:rsidRDefault="00000000">
      <w:pPr>
        <w:pStyle w:val="Prrafodelista"/>
      </w:pPr>
      <w:proofErr w:type="spellStart"/>
      <w:r>
        <w:t>Bundesgericht</w:t>
      </w:r>
      <w:proofErr w:type="spellEnd"/>
      <w:r>
        <w:t xml:space="preserve"> suizo, Urteil 2C_348/2019, 2C_350/2019 y 2C_402/2019, de 29 de enero de 2020.</w:t>
      </w:r>
    </w:p>
    <w:p>
      <w:pPr>
        <w:pStyle w:val="Prrafodelista"/>
      </w:pPr>
      <w:r>
        <w:t>Conseil d'État de Francia, decisión nº 444887, de 29 de diciembre de 2022 (anula la prohibición de venta al consumidor de flor y hoja de cáñamo con &lt; 0,3 % THC).</w:t>
      </w:r>
    </w:p>
    <w:p>
      <w:pPr>
        <w:pStyle w:val="Prrafodelista"/>
      </w:pPr>
      <w:r>
        <w:t>Décret n° 2022-194, de 17 de febrero de 2022, relativo al cannabis a usos médicos (Francia).</w:t>
      </w:r>
    </w:p>
    <w:p>
      <w:pPr>
        <w:pStyle w:val="Prrafodelista"/>
      </w:pPr>
      <w:r>
        <w:t>Arrêté du 30 décembre 2021 portant application de l'article R. 5132-86 du code de la santé publique (Francia).</w:t>
      </w:r>
    </w:p>
    <w:p w14:paraId="724CFF32" w14:textId="77777777" w:rsidR="007F073C" w:rsidRDefault="00000000">
      <w:pPr>
        <w:pStyle w:val="Ttulo2"/>
      </w:pPr>
      <w:r>
        <w:t>Apoyo parlamentario</w:t>
      </w:r>
    </w:p>
    <w:p w14:paraId="0EE72005" w14:textId="77777777" w:rsidR="007F073C" w:rsidRDefault="00000000">
      <w:pPr>
        <w:pStyle w:val="Prrafodelista"/>
      </w:pPr>
      <w:r>
        <w:t xml:space="preserve">Proposición no de Ley en Comisión de Agricultura, presentada por los Grupos Parlamentarios Republicano, Sumar y EH Bildu, instando a la AEMPS a declarar la conformidad de su práctica administrativa con la jurisprudencia </w:t>
      </w:r>
      <w:proofErr w:type="spellStart"/>
      <w:r>
        <w:t>Kanavape</w:t>
      </w:r>
      <w:proofErr w:type="spellEnd"/>
      <w:r>
        <w:t xml:space="preserve"> (TJUE C-663/18).</w:t>
      </w:r>
    </w:p>
    <w:p w14:paraId="53C42739" w14:textId="77777777" w:rsidR="00C53E82" w:rsidRDefault="00000000">
      <w:pPr>
        <w:pStyle w:val="Ttulo2"/>
      </w:pPr>
      <w:r>
        <w:t>Cannabinoides sintéticos y HHC (cf. §4.5)</w:t>
      </w:r>
    </w:p>
    <w:p w14:paraId="27219385" w14:textId="77777777" w:rsidR="00C53E82" w:rsidRDefault="00000000">
      <w:pPr>
        <w:pStyle w:val="Prrafodelista"/>
      </w:pPr>
      <w:r>
        <w:t>EMCDDA · Hexahydrocannabinol (HHC) and related substances · Technical report, mayo 2023.</w:t>
      </w:r>
    </w:p>
    <w:p w14:paraId="4E2518AD" w14:textId="77777777" w:rsidR="00C53E82" w:rsidRDefault="00000000">
      <w:pPr>
        <w:pStyle w:val="Prrafodelista"/>
      </w:pPr>
      <w:r>
        <w:t>Plan Nacional sobre Drogas · Dossier «Cannabinoides Sintéticos», 11 de abril de 2025.</w:t>
      </w:r>
    </w:p>
    <w:p w14:paraId="00308A01" w14:textId="77777777" w:rsidR="00C53E82" w:rsidRDefault="00000000">
      <w:pPr>
        <w:pStyle w:val="Prrafodelista"/>
      </w:pPr>
      <w:r>
        <w:t>OEDA · Informe SEAT 2025 (Resumen Ejecutivo) · Sistema Español de Alerta Temprana sobre Nuevas Sustancias Psicoactivas.</w:t>
      </w:r>
    </w:p>
    <w:p w14:paraId="612B0414" w14:textId="77777777" w:rsidR="00C53E82" w:rsidRDefault="00000000">
      <w:pPr>
        <w:pStyle w:val="Prrafodelista"/>
      </w:pPr>
      <w:r>
        <w:t>Orden SND/380/2025, de 14 de abril, por la que se incluyen HHC y otros cannabinoides semi-sintéticos en la Lista II anexa al Real Decreto 2829/1977 (BOE-A-2025-8109, vigente desde 23/04/2025).</w:t>
      </w:r>
    </w:p>
    <w:p w14:paraId="4A486A8D" w14:textId="77777777" w:rsidR="007F073C" w:rsidRDefault="00000000">
      <w:pPr>
        <w:spacing w:before="80" w:after="80" w:line="320" w:lineRule="auto"/>
        <w:jc w:val="center"/>
      </w:pPr>
      <w:r>
        <w:rPr>
          <w:i/>
          <w:iCs/>
          <w:color w:val="808080"/>
        </w:rPr>
        <w:t>— Fin del dossier —</w:t>
      </w:r>
    </w:p>
    <w:sectPr w:rsidR="007F073C">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EB35" w14:textId="77777777" w:rsidR="000913E2" w:rsidRDefault="000913E2">
      <w:r>
        <w:separator/>
      </w:r>
    </w:p>
  </w:endnote>
  <w:endnote w:type="continuationSeparator" w:id="0">
    <w:p w14:paraId="56FDF3D5" w14:textId="77777777" w:rsidR="000913E2" w:rsidRDefault="00091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DEDF" w14:textId="77777777" w:rsidR="007F073C"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F62B5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4FDB" w14:textId="77777777" w:rsidR="000913E2" w:rsidRDefault="000913E2">
      <w:r>
        <w:separator/>
      </w:r>
    </w:p>
  </w:footnote>
  <w:footnote w:type="continuationSeparator" w:id="0">
    <w:p w14:paraId="4B3F0EE5" w14:textId="77777777" w:rsidR="000913E2" w:rsidRDefault="00091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F47F" w14:textId="77777777" w:rsidR="007F073C" w:rsidRDefault="00000000">
    <w:pPr>
      <w:jc w:val="right"/>
    </w:pPr>
    <w:r>
      <w:rPr>
        <w:i/>
        <w:iCs/>
        <w:color w:val="808080"/>
        <w:sz w:val="18"/>
        <w:szCs w:val="18"/>
      </w:rPr>
      <w:t xml:space="preserve">AECANI · Dossier CNMC · </w:t>
    </w:r>
    <w:proofErr w:type="gramStart"/>
    <w:r>
      <w:rPr>
        <w:i/>
        <w:iCs/>
        <w:color w:val="808080"/>
        <w:sz w:val="18"/>
        <w:szCs w:val="18"/>
      </w:rPr>
      <w:t>Abril</w:t>
    </w:r>
    <w:proofErr w:type="gramEnd"/>
    <w:r>
      <w:rPr>
        <w:i/>
        <w:iCs/>
        <w:color w:val="8080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48D9"/>
    <w:multiLevelType w:val="hybridMultilevel"/>
    <w:tmpl w:val="EDD83E66"/>
    <w:lvl w:ilvl="0" w:tplc="2552184C">
      <w:start w:val="1"/>
      <w:numFmt w:val="bullet"/>
      <w:lvlText w:val="•"/>
      <w:lvlJc w:val="left"/>
      <w:pPr>
        <w:ind w:left="540" w:hanging="240"/>
      </w:pPr>
    </w:lvl>
    <w:lvl w:ilvl="1" w:tplc="8F5C39EA">
      <w:numFmt w:val="decimal"/>
      <w:lvlText w:val=""/>
      <w:lvlJc w:val="left"/>
    </w:lvl>
    <w:lvl w:ilvl="2" w:tplc="4348B680">
      <w:numFmt w:val="decimal"/>
      <w:lvlText w:val=""/>
      <w:lvlJc w:val="left"/>
    </w:lvl>
    <w:lvl w:ilvl="3" w:tplc="DB0CE8DA">
      <w:numFmt w:val="decimal"/>
      <w:lvlText w:val=""/>
      <w:lvlJc w:val="left"/>
    </w:lvl>
    <w:lvl w:ilvl="4" w:tplc="BB5AFF48">
      <w:numFmt w:val="decimal"/>
      <w:lvlText w:val=""/>
      <w:lvlJc w:val="left"/>
    </w:lvl>
    <w:lvl w:ilvl="5" w:tplc="F2180BA0">
      <w:numFmt w:val="decimal"/>
      <w:lvlText w:val=""/>
      <w:lvlJc w:val="left"/>
    </w:lvl>
    <w:lvl w:ilvl="6" w:tplc="70F627F8">
      <w:numFmt w:val="decimal"/>
      <w:lvlText w:val=""/>
      <w:lvlJc w:val="left"/>
    </w:lvl>
    <w:lvl w:ilvl="7" w:tplc="A4501182">
      <w:numFmt w:val="decimal"/>
      <w:lvlText w:val=""/>
      <w:lvlJc w:val="left"/>
    </w:lvl>
    <w:lvl w:ilvl="8" w:tplc="E72E898C">
      <w:numFmt w:val="decimal"/>
      <w:lvlText w:val=""/>
      <w:lvlJc w:val="left"/>
    </w:lvl>
  </w:abstractNum>
  <w:abstractNum w:abstractNumId="1" w15:restartNumberingAfterBreak="0">
    <w:nsid w:val="1E322675"/>
    <w:multiLevelType w:val="hybridMultilevel"/>
    <w:tmpl w:val="3E5002FC"/>
    <w:lvl w:ilvl="0" w:tplc="B816AD30">
      <w:start w:val="1"/>
      <w:numFmt w:val="decimal"/>
      <w:lvlText w:val="%1."/>
      <w:lvlJc w:val="left"/>
      <w:pPr>
        <w:ind w:left="540" w:hanging="240"/>
      </w:pPr>
    </w:lvl>
    <w:lvl w:ilvl="1" w:tplc="B3DA6524">
      <w:numFmt w:val="decimal"/>
      <w:lvlText w:val=""/>
      <w:lvlJc w:val="left"/>
    </w:lvl>
    <w:lvl w:ilvl="2" w:tplc="8E6C4F26">
      <w:numFmt w:val="decimal"/>
      <w:lvlText w:val=""/>
      <w:lvlJc w:val="left"/>
    </w:lvl>
    <w:lvl w:ilvl="3" w:tplc="C2444A42">
      <w:numFmt w:val="decimal"/>
      <w:lvlText w:val=""/>
      <w:lvlJc w:val="left"/>
    </w:lvl>
    <w:lvl w:ilvl="4" w:tplc="4322C47E">
      <w:numFmt w:val="decimal"/>
      <w:lvlText w:val=""/>
      <w:lvlJc w:val="left"/>
    </w:lvl>
    <w:lvl w:ilvl="5" w:tplc="979A7DA4">
      <w:numFmt w:val="decimal"/>
      <w:lvlText w:val=""/>
      <w:lvlJc w:val="left"/>
    </w:lvl>
    <w:lvl w:ilvl="6" w:tplc="96327C16">
      <w:numFmt w:val="decimal"/>
      <w:lvlText w:val=""/>
      <w:lvlJc w:val="left"/>
    </w:lvl>
    <w:lvl w:ilvl="7" w:tplc="C59EEC18">
      <w:numFmt w:val="decimal"/>
      <w:lvlText w:val=""/>
      <w:lvlJc w:val="left"/>
    </w:lvl>
    <w:lvl w:ilvl="8" w:tplc="FFB684A2">
      <w:numFmt w:val="decimal"/>
      <w:lvlText w:val=""/>
      <w:lvlJc w:val="left"/>
    </w:lvl>
  </w:abstractNum>
  <w:abstractNum w:abstractNumId="2" w15:restartNumberingAfterBreak="0">
    <w:nsid w:val="494C1F7A"/>
    <w:multiLevelType w:val="hybridMultilevel"/>
    <w:tmpl w:val="E0884B94"/>
    <w:lvl w:ilvl="0" w:tplc="C3E6E914">
      <w:start w:val="1"/>
      <w:numFmt w:val="bullet"/>
      <w:lvlText w:val="●"/>
      <w:lvlJc w:val="left"/>
      <w:pPr>
        <w:ind w:left="720" w:hanging="360"/>
      </w:pPr>
    </w:lvl>
    <w:lvl w:ilvl="1" w:tplc="67F23A1A">
      <w:start w:val="1"/>
      <w:numFmt w:val="bullet"/>
      <w:lvlText w:val="○"/>
      <w:lvlJc w:val="left"/>
      <w:pPr>
        <w:ind w:left="1440" w:hanging="360"/>
      </w:pPr>
    </w:lvl>
    <w:lvl w:ilvl="2" w:tplc="7756BED0">
      <w:start w:val="1"/>
      <w:numFmt w:val="bullet"/>
      <w:lvlText w:val="■"/>
      <w:lvlJc w:val="left"/>
      <w:pPr>
        <w:ind w:left="2160" w:hanging="360"/>
      </w:pPr>
    </w:lvl>
    <w:lvl w:ilvl="3" w:tplc="B98478A8">
      <w:start w:val="1"/>
      <w:numFmt w:val="bullet"/>
      <w:lvlText w:val="●"/>
      <w:lvlJc w:val="left"/>
      <w:pPr>
        <w:ind w:left="2880" w:hanging="360"/>
      </w:pPr>
    </w:lvl>
    <w:lvl w:ilvl="4" w:tplc="68004C78">
      <w:start w:val="1"/>
      <w:numFmt w:val="bullet"/>
      <w:lvlText w:val="○"/>
      <w:lvlJc w:val="left"/>
      <w:pPr>
        <w:ind w:left="3600" w:hanging="360"/>
      </w:pPr>
    </w:lvl>
    <w:lvl w:ilvl="5" w:tplc="F286C0CE">
      <w:start w:val="1"/>
      <w:numFmt w:val="bullet"/>
      <w:lvlText w:val="■"/>
      <w:lvlJc w:val="left"/>
      <w:pPr>
        <w:ind w:left="4320" w:hanging="360"/>
      </w:pPr>
    </w:lvl>
    <w:lvl w:ilvl="6" w:tplc="34866464">
      <w:start w:val="1"/>
      <w:numFmt w:val="bullet"/>
      <w:lvlText w:val="●"/>
      <w:lvlJc w:val="left"/>
      <w:pPr>
        <w:ind w:left="5040" w:hanging="360"/>
      </w:pPr>
    </w:lvl>
    <w:lvl w:ilvl="7" w:tplc="B4C69F6E">
      <w:start w:val="1"/>
      <w:numFmt w:val="bullet"/>
      <w:lvlText w:val="●"/>
      <w:lvlJc w:val="left"/>
      <w:pPr>
        <w:ind w:left="5760" w:hanging="360"/>
      </w:pPr>
    </w:lvl>
    <w:lvl w:ilvl="8" w:tplc="E7F09234">
      <w:start w:val="1"/>
      <w:numFmt w:val="bullet"/>
      <w:lvlText w:val="●"/>
      <w:lvlJc w:val="left"/>
      <w:pPr>
        <w:ind w:left="6480" w:hanging="360"/>
      </w:pPr>
    </w:lvl>
  </w:abstractNum>
  <w:num w:numId="1" w16cid:durableId="1668511787">
    <w:abstractNumId w:val="2"/>
    <w:lvlOverride w:ilvl="0">
      <w:startOverride w:val="1"/>
    </w:lvlOverride>
  </w:num>
  <w:num w:numId="2" w16cid:durableId="785580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3C"/>
    <w:rsid w:val="000913E2"/>
    <w:rsid w:val="00104B98"/>
    <w:rsid w:val="006A26EB"/>
    <w:rsid w:val="007F073C"/>
    <w:rsid w:val="00B05E8D"/>
    <w:rsid w:val="00B555A6"/>
    <w:rsid w:val="00C53E82"/>
    <w:rsid w:val="00CB540F"/>
    <w:rsid w:val="00F62B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5DB1"/>
  <w15:docId w15:val="{AC6474ED-3685-47B9-99D6-3E61DD6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1F3864"/>
      <w:sz w:val="26"/>
      <w:szCs w:val="26"/>
    </w:rPr>
  </w:style>
  <w:style w:type="paragraph" w:styleId="Ttulo3">
    <w:name w:val="heading 3"/>
    <w:uiPriority w:val="9"/>
    <w:unhideWhenUsed/>
    <w:qFormat/>
    <w:pPr>
      <w:spacing w:before="220" w:after="12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35</Pages>
  <Words>12799</Words>
  <Characters>73853</Characters>
  <Application>Microsoft Office Word</Application>
  <DocSecurity>0</DocSecurity>
  <Lines>1172</Lines>
  <Paragraphs>518</Paragraphs>
  <ScaleCrop>false</ScaleCrop>
  <Company/>
  <LinksUpToDate>false</LinksUpToDate>
  <CharactersWithSpaces>86134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AECANI</dc:title>
  <dc:creator>AECANI</dc:creator>
  <cp:lastModifiedBy>Isidre Carballido</cp:lastModifiedBy>
  <cp:revision>3</cp:revision>
  <dcterms:created xsi:type="dcterms:W3CDTF">2026-04-28T09:41:00Z</dcterms:created>
  <dcterms:modified xsi:type="dcterms:W3CDTF">2026-04-28T12:29:00Z</dcterms:modified>
</cp:coreProperties>
</file>