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5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888888" w:sz="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Tropic Thunder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sz w:val="20"/>
                <w:szCs w:val="20"/>
              </w:rPr>
              <w:t xml:space="preserve">Resin8 Disposable</w:t>
            </w:r>
          </w:p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Net Wt: 1.0g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Run#: 1A4040300000273000125353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Prod: 4/3/26  Test: 4/6/26  Pkg: 4/7/26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THC: 82.43%  (824.3mg/pkg)</w:t>
            </w: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Total CBD: 0.75%  (7.5mg/pkg)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CBC: 1.21%  CBG: 2.30%  CBN: 1.34%  THCV: 0.91%</w:t>
            </w:r>
          </w:p>
          <w:p>
            <w:pPr>
              <w:pBdr>
                <w:bottom w:val="single" w:color="888888" w:sz="2"/>
              </w:pBdr>
              <w:spacing w:after="0" w:before="0" w:line="80" w:lineRule="exact"/>
            </w:pPr>
          </w:p>
          <w:p>
            <w:pPr>
              <w:spacing w:after="0" w:before="0" w:line="175" w:lineRule="exact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a-Pinene: 2.92%  Limonene: 1.55%  b-Pinene: 0.34%</w:t>
            </w:r>
          </w:p>
        </w:tc>
      </w:tr>
      <w:tr>
        <w:tc>
          <w:tcPr>
            <w:tcW w:type="dxa" w:w="25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top"/>
          </w:tcPr>
          <w:p>
            <w:pPr>
              <w:spacing w:after="0" w:before="0" w:line="175" w:lineRule="exact"/>
              <w:jc w:val="center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sz w:val="16"/>
                <w:szCs w:val="16"/>
              </w:rPr>
              <w:t xml:space="preserve">Extracted with CO2</w:t>
            </w:r>
          </w:p>
        </w:tc>
      </w:tr>
    </w:tbl>
    <w:p>
      <w:pPr>
        <w:spacing w:after="0" w:before="0" w:line="20" w:lineRule="exact"/>
      </w:pPr>
      <w:r>
        <w:rPr>
          <w:sz w:val="1"/>
          <w:szCs w:val="1"/>
        </w:rPr>
        <w:t xml:space="preserve"/>
      </w:r>
    </w:p>
    <w:sectPr>
      <w:pgSz w:w="2880" w:h="2880" w:orient="portrait"/>
      <w:pgMar w:top="144" w:right="144" w:bottom="144" w:left="14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2026-04-08T23:10:12.609Z</dcterms:created>
  <dcterms:modified xsi:type="dcterms:W3CDTF">2026-04-08T23:10:12.609Z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